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comment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r>
            <w:rPr>
              <w:rStyle w:val="IndexLink"/>
            </w:rPr>
            <w:t>1</w:t>
          </w:r>
          <w:r>
            <w:rPr/>
            <w:tab/>
            <w:t>Allgemeines</w:t>
            <w:tab/>
            <w:t>9</w:t>
          </w:r>
        </w:p>
        <w:p>
          <w:pPr>
            <w:pStyle w:val="TOC2"/>
            <w:tabs>
              <w:tab w:val="clear" w:pos="9062"/>
              <w:tab w:val="left" w:pos="567" w:leader="none"/>
              <w:tab w:val="right" w:pos="9071" w:leader="dot"/>
            </w:tabs>
            <w:rPr/>
          </w:pPr>
          <w:r>
            <w:rPr/>
            <w:t>1.1</w:t>
            <w:tab/>
            <w:t>Einleitung</w:t>
            <w:tab/>
            <w:t>9</w:t>
          </w:r>
        </w:p>
        <w:p>
          <w:pPr>
            <w:pStyle w:val="TOC2"/>
            <w:tabs>
              <w:tab w:val="clear" w:pos="9062"/>
              <w:tab w:val="left" w:pos="567" w:leader="none"/>
              <w:tab w:val="right" w:pos="9071" w:leader="dot"/>
            </w:tabs>
            <w:rPr/>
          </w:pPr>
          <w:r>
            <w:rPr/>
            <w:t>1.2</w:t>
            <w:tab/>
            <w:t>Anwendungshinweise</w:t>
            <w:tab/>
            <w:t>9</w:t>
          </w:r>
        </w:p>
        <w:p>
          <w:pPr>
            <w:pStyle w:val="TOC2"/>
            <w:tabs>
              <w:tab w:val="clear" w:pos="9062"/>
              <w:tab w:val="left" w:pos="567" w:leader="none"/>
              <w:tab w:val="right" w:pos="9071" w:leader="dot"/>
            </w:tabs>
            <w:rPr/>
          </w:pPr>
          <w:r>
            <w:rPr/>
            <w:t>1.3</w:t>
            <w:tab/>
            <w:t>Anwendungs- und Geltungsbereich</w:t>
            <w:tab/>
            <w:t>9</w:t>
          </w:r>
        </w:p>
        <w:p>
          <w:pPr>
            <w:pStyle w:val="TOC3"/>
            <w:tabs>
              <w:tab w:val="clear" w:pos="9062"/>
              <w:tab w:val="left" w:pos="709" w:leader="none"/>
              <w:tab w:val="right" w:pos="9071" w:leader="dot"/>
            </w:tabs>
            <w:rPr/>
          </w:pPr>
          <w:r>
            <w:rPr/>
            <w:t>1.3.1</w:t>
            <w:tab/>
            <w:t>Analyse und Registrierung</w:t>
            <w:tab/>
            <w:t>9</w:t>
          </w:r>
        </w:p>
        <w:p>
          <w:pPr>
            <w:pStyle w:val="TOC2"/>
            <w:tabs>
              <w:tab w:val="clear" w:pos="9062"/>
              <w:tab w:val="left" w:pos="567" w:leader="none"/>
              <w:tab w:val="right" w:pos="9071" w:leader="dot"/>
            </w:tabs>
            <w:rPr/>
          </w:pPr>
          <w:r>
            <w:rPr/>
            <w:t>1.4</w:t>
            <w:tab/>
            <w:t>Gültigkeit</w:t>
            <w:tab/>
            <w:t>10</w:t>
          </w:r>
        </w:p>
        <w:p>
          <w:pPr>
            <w:pStyle w:val="TOC1"/>
            <w:tabs>
              <w:tab w:val="clear" w:pos="9062"/>
              <w:tab w:val="left" w:pos="426" w:leader="none"/>
              <w:tab w:val="right" w:pos="9071" w:leader="dot"/>
            </w:tabs>
            <w:rPr/>
          </w:pPr>
          <w:r>
            <w:rPr/>
            <w:t>2</w:t>
            <w:tab/>
            <w:t>Verweisungen</w:t>
            <w:tab/>
            <w:t>10</w:t>
          </w:r>
        </w:p>
        <w:p>
          <w:pPr>
            <w:pStyle w:val="TOC2"/>
            <w:tabs>
              <w:tab w:val="clear" w:pos="9062"/>
              <w:tab w:val="left" w:pos="567" w:leader="none"/>
              <w:tab w:val="right" w:pos="9071" w:leader="dot"/>
            </w:tabs>
            <w:rPr/>
          </w:pPr>
          <w:r>
            <w:rPr/>
            <w:t>2.1</w:t>
            <w:tab/>
            <w:t>Normative Verweisungen</w:t>
            <w:tab/>
            <w:t>10</w:t>
          </w:r>
        </w:p>
        <w:p>
          <w:pPr>
            <w:pStyle w:val="TOC2"/>
            <w:tabs>
              <w:tab w:val="clear" w:pos="9062"/>
              <w:tab w:val="left" w:pos="567" w:leader="none"/>
              <w:tab w:val="right" w:pos="9071" w:leader="dot"/>
            </w:tabs>
            <w:rPr/>
          </w:pPr>
          <w:r>
            <w:rPr/>
            <w:t>2.2</w:t>
            <w:tab/>
            <w:t>Verweisungen auf Gesetzestexte</w:t>
            <w:tab/>
            <w:t>11</w:t>
          </w:r>
        </w:p>
        <w:p>
          <w:pPr>
            <w:pStyle w:val="TOC1"/>
            <w:tabs>
              <w:tab w:val="clear" w:pos="9062"/>
              <w:tab w:val="left" w:pos="426" w:leader="none"/>
              <w:tab w:val="right" w:pos="9071" w:leader="dot"/>
            </w:tabs>
            <w:rPr/>
          </w:pPr>
          <w:r>
            <w:rPr/>
            <w:t>3</w:t>
            <w:tab/>
            <w:t>Begriffe und Abkürzungen</w:t>
            <w:tab/>
            <w:t>11</w:t>
          </w:r>
        </w:p>
        <w:p>
          <w:pPr>
            <w:pStyle w:val="TOC2"/>
            <w:tabs>
              <w:tab w:val="clear" w:pos="9062"/>
              <w:tab w:val="left" w:pos="567" w:leader="none"/>
              <w:tab w:val="right" w:pos="9071" w:leader="dot"/>
            </w:tabs>
            <w:rPr/>
          </w:pPr>
          <w:r>
            <w:rPr/>
            <w:t>3.1</w:t>
            <w:tab/>
            <w:t>Begriffe</w:t>
            <w:tab/>
            <w:t>11</w:t>
          </w:r>
        </w:p>
        <w:p>
          <w:pPr>
            <w:pStyle w:val="TOC2"/>
            <w:tabs>
              <w:tab w:val="clear" w:pos="9062"/>
              <w:tab w:val="left" w:pos="567" w:leader="none"/>
              <w:tab w:val="right" w:pos="9071" w:leader="dot"/>
            </w:tabs>
            <w:rPr/>
          </w:pPr>
          <w:r>
            <w:rPr/>
            <w:t>3.2</w:t>
            <w:tab/>
            <w:t>Abkürzungen</w:t>
            <w:tab/>
            <w:t>15</w:t>
          </w:r>
        </w:p>
        <w:p>
          <w:pPr>
            <w:pStyle w:val="TOC1"/>
            <w:tabs>
              <w:tab w:val="clear" w:pos="9062"/>
              <w:tab w:val="left" w:pos="426" w:leader="none"/>
              <w:tab w:val="right" w:pos="9071" w:leader="dot"/>
            </w:tabs>
            <w:rPr/>
          </w:pPr>
          <w:r>
            <w:rPr/>
            <w:t>4</w:t>
            <w:tab/>
            <w:t>Organisation der Informationssicherheit</w:t>
            <w:tab/>
            <w:t>16</w:t>
          </w:r>
        </w:p>
        <w:p>
          <w:pPr>
            <w:pStyle w:val="TOC2"/>
            <w:tabs>
              <w:tab w:val="clear" w:pos="9062"/>
              <w:tab w:val="left" w:pos="567" w:leader="none"/>
              <w:tab w:val="right" w:pos="9071" w:leader="dot"/>
            </w:tabs>
            <w:rPr/>
          </w:pPr>
          <w:r>
            <w:rPr/>
            <w:t>4.1</w:t>
            <w:tab/>
            <w:t>Grundlagen</w:t>
            <w:tab/>
            <w:t>16</w:t>
          </w:r>
        </w:p>
        <w:p>
          <w:pPr>
            <w:pStyle w:val="TOC2"/>
            <w:tabs>
              <w:tab w:val="clear" w:pos="9062"/>
              <w:tab w:val="left" w:pos="567" w:leader="none"/>
              <w:tab w:val="right" w:pos="9071" w:leader="dot"/>
            </w:tabs>
            <w:rPr/>
          </w:pPr>
          <w:r>
            <w:rPr/>
            <w:t>4.2</w:t>
            <w:tab/>
            <w:t>Verantwortlichkeiten</w:t>
            <w:tab/>
            <w:t>16</w:t>
          </w:r>
        </w:p>
        <w:p>
          <w:pPr>
            <w:pStyle w:val="TOC3"/>
            <w:tabs>
              <w:tab w:val="clear" w:pos="9062"/>
              <w:tab w:val="left" w:pos="709" w:leader="none"/>
              <w:tab w:val="right" w:pos="9071" w:leader="dot"/>
            </w:tabs>
            <w:rPr/>
          </w:pPr>
          <w:r>
            <w:rPr/>
            <w:t>4.2.1</w:t>
            <w:tab/>
            <w:t>Anforderungen</w:t>
            <w:tab/>
            <w:t>16</w:t>
          </w:r>
        </w:p>
        <w:p>
          <w:pPr>
            <w:pStyle w:val="TOC3"/>
            <w:tabs>
              <w:tab w:val="clear" w:pos="9062"/>
              <w:tab w:val="left" w:pos="709" w:leader="none"/>
              <w:tab w:val="right" w:pos="9071" w:leader="dot"/>
            </w:tabs>
            <w:rPr/>
          </w:pPr>
          <w:r>
            <w:rPr/>
            <w:t>4.2.2</w:t>
            <w:tab/>
            <w:t>Zuweisung und Dokumentation</w:t>
            <w:tab/>
            <w:t>16</w:t>
          </w:r>
        </w:p>
        <w:p>
          <w:pPr>
            <w:pStyle w:val="TOC3"/>
            <w:tabs>
              <w:tab w:val="clear" w:pos="9062"/>
              <w:tab w:val="left" w:pos="709" w:leader="none"/>
              <w:tab w:val="right" w:pos="9071" w:leader="dot"/>
            </w:tabs>
            <w:rPr/>
          </w:pPr>
          <w:r>
            <w:rPr/>
            <w:t>4.2.3</w:t>
            <w:tab/>
            <w:t>Funktionstrennungen</w:t>
            <w:tab/>
            <w:t>16</w:t>
          </w:r>
        </w:p>
        <w:p>
          <w:pPr>
            <w:pStyle w:val="TOC3"/>
            <w:tabs>
              <w:tab w:val="clear" w:pos="9062"/>
              <w:tab w:val="left" w:pos="709" w:leader="none"/>
              <w:tab w:val="right" w:pos="9071" w:leader="dot"/>
            </w:tabs>
            <w:rPr/>
          </w:pPr>
          <w:r>
            <w:rPr/>
            <w:t>4.2.4</w:t>
            <w:tab/>
            <w:t>Zeitliche Ressourcen</w:t>
            <w:tab/>
            <w:t>16</w:t>
          </w:r>
        </w:p>
        <w:p>
          <w:pPr>
            <w:pStyle w:val="TOC3"/>
            <w:tabs>
              <w:tab w:val="clear" w:pos="9062"/>
              <w:tab w:val="left" w:pos="709" w:leader="none"/>
              <w:tab w:val="right" w:pos="9071" w:leader="dot"/>
            </w:tabs>
            <w:rPr/>
          </w:pPr>
          <w:r>
            <w:rPr/>
            <w:t>4.2.5</w:t>
            <w:tab/>
            <w:t>Delegieren von Aufgaben</w:t>
            <w:tab/>
            <w:t>16</w:t>
          </w:r>
        </w:p>
        <w:p>
          <w:pPr>
            <w:pStyle w:val="TOC2"/>
            <w:tabs>
              <w:tab w:val="clear" w:pos="9062"/>
              <w:tab w:val="left" w:pos="567" w:leader="none"/>
              <w:tab w:val="right" w:pos="9071" w:leader="dot"/>
            </w:tabs>
            <w:rPr/>
          </w:pPr>
          <w:r>
            <w:rPr/>
            <w:t>4.3</w:t>
            <w:tab/>
            <w:t>Topmanagement</w:t>
            <w:tab/>
            <w:t>17</w:t>
          </w:r>
        </w:p>
        <w:p>
          <w:pPr>
            <w:pStyle w:val="TOC2"/>
            <w:tabs>
              <w:tab w:val="clear" w:pos="9062"/>
              <w:tab w:val="left" w:pos="567" w:leader="none"/>
              <w:tab w:val="right" w:pos="9071" w:leader="dot"/>
            </w:tabs>
            <w:rPr/>
          </w:pPr>
          <w:r>
            <w:rPr/>
            <w:t>4.4</w:t>
            <w:tab/>
            <w:t>Informationssicherheitsbeauftragter</w:t>
            <w:tab/>
            <w:t>17</w:t>
          </w:r>
        </w:p>
        <w:p>
          <w:pPr>
            <w:pStyle w:val="TOC2"/>
            <w:tabs>
              <w:tab w:val="clear" w:pos="9062"/>
              <w:tab w:val="left" w:pos="567" w:leader="none"/>
              <w:tab w:val="right" w:pos="9071" w:leader="dot"/>
            </w:tabs>
            <w:rPr/>
          </w:pPr>
          <w:r>
            <w:rPr/>
            <w:t>4.5</w:t>
            <w:tab/>
            <w:t>Informationssicherheitsteam</w:t>
            <w:tab/>
            <w:t>17</w:t>
          </w:r>
        </w:p>
        <w:p>
          <w:pPr>
            <w:pStyle w:val="TOC2"/>
            <w:tabs>
              <w:tab w:val="clear" w:pos="9062"/>
              <w:tab w:val="left" w:pos="567" w:leader="none"/>
              <w:tab w:val="right" w:pos="9071" w:leader="dot"/>
            </w:tabs>
            <w:rPr/>
          </w:pPr>
          <w:r>
            <w:rPr/>
            <w:t>4.6</w:t>
            <w:tab/>
            <w:t>IT-Krisenmanager</w:t>
            <w:tab/>
            <w:t>18</w:t>
          </w:r>
        </w:p>
        <w:p>
          <w:pPr>
            <w:pStyle w:val="TOC2"/>
            <w:tabs>
              <w:tab w:val="clear" w:pos="9062"/>
              <w:tab w:val="left" w:pos="567" w:leader="none"/>
              <w:tab w:val="right" w:pos="9071" w:leader="dot"/>
            </w:tabs>
            <w:rPr/>
          </w:pPr>
          <w:r>
            <w:rPr/>
            <w:t>4.7</w:t>
            <w:tab/>
            <w:t>IT-Krisenstab</w:t>
            <w:tab/>
            <w:t>18</w:t>
          </w:r>
        </w:p>
        <w:p>
          <w:pPr>
            <w:pStyle w:val="TOC2"/>
            <w:tabs>
              <w:tab w:val="clear" w:pos="9062"/>
              <w:tab w:val="left" w:pos="567" w:leader="none"/>
              <w:tab w:val="right" w:pos="9071" w:leader="dot"/>
            </w:tabs>
            <w:rPr/>
          </w:pPr>
          <w:r>
            <w:rPr/>
            <w:t>4.8</w:t>
            <w:tab/>
            <w:t>IT-Verantwortliche</w:t>
            <w:tab/>
            <w:t>18</w:t>
          </w:r>
        </w:p>
        <w:p>
          <w:pPr>
            <w:pStyle w:val="TOC2"/>
            <w:tabs>
              <w:tab w:val="clear" w:pos="9062"/>
              <w:tab w:val="left" w:pos="567" w:leader="none"/>
              <w:tab w:val="right" w:pos="9071" w:leader="dot"/>
            </w:tabs>
            <w:rPr/>
          </w:pPr>
          <w:r>
            <w:rPr/>
            <w:t>4.9</w:t>
            <w:tab/>
            <w:t>Administratoren</w:t>
            <w:tab/>
            <w:t>18</w:t>
          </w:r>
        </w:p>
        <w:p>
          <w:pPr>
            <w:pStyle w:val="TOC2"/>
            <w:tabs>
              <w:tab w:val="clear" w:pos="9062"/>
              <w:tab w:val="left" w:pos="567" w:leader="none"/>
              <w:tab w:val="right" w:pos="9071" w:leader="dot"/>
            </w:tabs>
            <w:rPr/>
          </w:pPr>
          <w:r>
            <w:rPr/>
            <w:t>4.10</w:t>
            <w:tab/>
            <w:t>Vorgesetzte</w:t>
            <w:tab/>
            <w:t>18</w:t>
          </w:r>
        </w:p>
        <w:p>
          <w:pPr>
            <w:pStyle w:val="TOC2"/>
            <w:tabs>
              <w:tab w:val="clear" w:pos="9062"/>
              <w:tab w:val="left" w:pos="567" w:leader="none"/>
              <w:tab w:val="right" w:pos="9071" w:leader="dot"/>
            </w:tabs>
            <w:rPr/>
          </w:pPr>
          <w:r>
            <w:rPr/>
            <w:t>4.11</w:t>
            <w:tab/>
            <w:t>Mitarbeiter</w:t>
            <w:tab/>
            <w:t>19</w:t>
          </w:r>
        </w:p>
        <w:p>
          <w:pPr>
            <w:pStyle w:val="TOC2"/>
            <w:tabs>
              <w:tab w:val="clear" w:pos="9062"/>
              <w:tab w:val="left" w:pos="567" w:leader="none"/>
              <w:tab w:val="right" w:pos="9071" w:leader="dot"/>
            </w:tabs>
            <w:rPr/>
          </w:pPr>
          <w:r>
            <w:rPr/>
            <w:t>4.12</w:t>
            <w:tab/>
            <w:t>Projektverantwortliche</w:t>
            <w:tab/>
            <w:t>19</w:t>
          </w:r>
        </w:p>
        <w:p>
          <w:pPr>
            <w:pStyle w:val="TOC2"/>
            <w:tabs>
              <w:tab w:val="clear" w:pos="9062"/>
              <w:tab w:val="left" w:pos="567" w:leader="none"/>
              <w:tab w:val="right" w:pos="9071" w:leader="dot"/>
            </w:tabs>
            <w:rPr/>
          </w:pPr>
          <w:r>
            <w:rPr/>
            <w:t>4.13</w:t>
            <w:tab/>
            <w:t>Externe Personen</w:t>
            <w:tab/>
            <w:t>19</w:t>
          </w:r>
        </w:p>
        <w:p>
          <w:pPr>
            <w:pStyle w:val="TOC2"/>
            <w:tabs>
              <w:tab w:val="clear" w:pos="9062"/>
              <w:tab w:val="left" w:pos="567" w:leader="none"/>
              <w:tab w:val="right" w:pos="9071" w:leader="dot"/>
            </w:tabs>
            <w:rPr/>
          </w:pPr>
          <w:hyperlink w:anchor="__RefHeading___Toc19672_274587230">
            <w:r>
              <w:rPr>
                <w:rStyle w:val="IndexLink"/>
              </w:rPr>
              <w:t>4.14</w:t>
              <w:tab/>
              <w:tab/>
              <w:t>19</w:t>
            </w:r>
          </w:hyperlink>
        </w:p>
        <w:p>
          <w:pPr>
            <w:pStyle w:val="TOC2"/>
            <w:tabs>
              <w:tab w:val="clear" w:pos="9062"/>
              <w:tab w:val="left" w:pos="567" w:leader="none"/>
              <w:tab w:val="right" w:pos="9071" w:leader="dot"/>
            </w:tabs>
            <w:rPr/>
          </w:pPr>
          <w:hyperlink w:anchor="__RefHeading___Toc19674_274587230">
            <w:r>
              <w:rPr>
                <w:rStyle w:val="IndexLink"/>
              </w:rPr>
              <w:t>4.15</w:t>
              <w:tab/>
              <w:tab/>
              <w:t>19</w:t>
            </w:r>
          </w:hyperlink>
        </w:p>
        <w:p>
          <w:pPr>
            <w:pStyle w:val="TOC1"/>
            <w:tabs>
              <w:tab w:val="clear" w:pos="9062"/>
              <w:tab w:val="left" w:pos="426" w:leader="none"/>
              <w:tab w:val="right" w:pos="9071" w:leader="dot"/>
            </w:tabs>
            <w:rPr/>
          </w:pPr>
          <w:r>
            <w:rPr/>
            <w:t>5</w:t>
            <w:tab/>
            <w:t>Leitlinie zur Informationssicherheit (IS-Leitlinie)</w:t>
            <w:tab/>
            <w:t>19</w:t>
          </w:r>
        </w:p>
        <w:p>
          <w:pPr>
            <w:pStyle w:val="TOC2"/>
            <w:tabs>
              <w:tab w:val="clear" w:pos="9062"/>
              <w:tab w:val="left" w:pos="567" w:leader="none"/>
              <w:tab w:val="right" w:pos="9071" w:leader="dot"/>
            </w:tabs>
            <w:rPr/>
          </w:pPr>
          <w:r>
            <w:rPr/>
            <w:t>5.1</w:t>
            <w:tab/>
            <w:t>Grundlagen</w:t>
            <w:tab/>
            <w:t>19</w:t>
          </w:r>
        </w:p>
        <w:p>
          <w:pPr>
            <w:pStyle w:val="TOC2"/>
            <w:tabs>
              <w:tab w:val="clear" w:pos="9062"/>
              <w:tab w:val="left" w:pos="567" w:leader="none"/>
              <w:tab w:val="right" w:pos="9071" w:leader="dot"/>
            </w:tabs>
            <w:rPr/>
          </w:pPr>
          <w:r>
            <w:rPr/>
            <w:t>5.2</w:t>
            <w:tab/>
            <w:t>Allgemeine Anforderungen</w:t>
            <w:tab/>
            <w:t>20</w:t>
          </w:r>
        </w:p>
        <w:p>
          <w:pPr>
            <w:pStyle w:val="TOC2"/>
            <w:tabs>
              <w:tab w:val="clear" w:pos="9062"/>
              <w:tab w:val="left" w:pos="567" w:leader="none"/>
              <w:tab w:val="right" w:pos="9071" w:leader="dot"/>
            </w:tabs>
            <w:rPr/>
          </w:pPr>
          <w:r>
            <w:rPr/>
            <w:t>5.3</w:t>
            <w:tab/>
            <w:t>Inhalte</w:t>
            <w:tab/>
            <w:t>20</w:t>
          </w:r>
        </w:p>
        <w:p>
          <w:pPr>
            <w:pStyle w:val="TOC1"/>
            <w:tabs>
              <w:tab w:val="clear" w:pos="9062"/>
              <w:tab w:val="left" w:pos="426" w:leader="none"/>
              <w:tab w:val="right" w:pos="9071" w:leader="dot"/>
            </w:tabs>
            <w:rPr/>
          </w:pPr>
          <w:r>
            <w:rPr/>
            <w:t>6</w:t>
            <w:tab/>
            <w:t>Richtlinien zur Informationssicherheit (IS-Richtlinien)</w:t>
            <w:tab/>
            <w:t>20</w:t>
          </w:r>
        </w:p>
        <w:p>
          <w:pPr>
            <w:pStyle w:val="TOC2"/>
            <w:tabs>
              <w:tab w:val="clear" w:pos="9062"/>
              <w:tab w:val="left" w:pos="567" w:leader="none"/>
              <w:tab w:val="right" w:pos="9071" w:leader="dot"/>
            </w:tabs>
            <w:rPr/>
          </w:pPr>
          <w:r>
            <w:rPr/>
            <w:t>6.1</w:t>
            <w:tab/>
            <w:t>Grundlagen</w:t>
            <w:tab/>
            <w:t>20</w:t>
          </w:r>
        </w:p>
        <w:p>
          <w:pPr>
            <w:pStyle w:val="TOC2"/>
            <w:tabs>
              <w:tab w:val="clear" w:pos="9062"/>
              <w:tab w:val="left" w:pos="567" w:leader="none"/>
              <w:tab w:val="right" w:pos="9071" w:leader="dot"/>
            </w:tabs>
            <w:rPr/>
          </w:pPr>
          <w:r>
            <w:rPr/>
            <w:t>6.2</w:t>
            <w:tab/>
            <w:t>Allgemeine Anforderungen</w:t>
            <w:tab/>
            <w:t>20</w:t>
          </w:r>
        </w:p>
        <w:p>
          <w:pPr>
            <w:pStyle w:val="TOC2"/>
            <w:tabs>
              <w:tab w:val="clear" w:pos="9062"/>
              <w:tab w:val="left" w:pos="567" w:leader="none"/>
              <w:tab w:val="right" w:pos="9071" w:leader="dot"/>
            </w:tabs>
            <w:rPr/>
          </w:pPr>
          <w:r>
            <w:rPr/>
            <w:t>6.3</w:t>
            <w:tab/>
            <w:t>Inhalte</w:t>
            <w:tab/>
            <w:t>20</w:t>
          </w:r>
        </w:p>
        <w:p>
          <w:pPr>
            <w:pStyle w:val="TOC2"/>
            <w:tabs>
              <w:tab w:val="clear" w:pos="9062"/>
              <w:tab w:val="left" w:pos="567" w:leader="none"/>
              <w:tab w:val="right" w:pos="9071" w:leader="dot"/>
            </w:tabs>
            <w:rPr/>
          </w:pPr>
          <w:r>
            <w:rPr/>
            <w:t>6.4</w:t>
            <w:tab/>
            <w:t>Aufbau und Funktionsweise des ISMS</w:t>
            <w:tab/>
            <w:t>20</w:t>
          </w:r>
        </w:p>
        <w:p>
          <w:pPr>
            <w:pStyle w:val="TOC2"/>
            <w:tabs>
              <w:tab w:val="clear" w:pos="9062"/>
              <w:tab w:val="left" w:pos="567" w:leader="none"/>
              <w:tab w:val="right" w:pos="9071" w:leader="dot"/>
            </w:tabs>
            <w:rPr/>
          </w:pPr>
          <w:r>
            <w:rPr/>
            <w:t>6.5</w:t>
            <w:tab/>
            <w:t>Regelungen für Nutzer</w:t>
            <w:tab/>
            <w:t>21</w:t>
          </w:r>
        </w:p>
        <w:p>
          <w:pPr>
            <w:pStyle w:val="TOC2"/>
            <w:tabs>
              <w:tab w:val="clear" w:pos="9062"/>
              <w:tab w:val="left" w:pos="567" w:leader="none"/>
              <w:tab w:val="right" w:pos="9071" w:leader="dot"/>
            </w:tabs>
            <w:rPr/>
          </w:pPr>
          <w:r>
            <w:rPr/>
            <w:t>6.6</w:t>
            <w:tab/>
            <w:t>Weitere Richtlinien</w:t>
            <w:tab/>
            <w:t>22</w:t>
          </w:r>
        </w:p>
        <w:p>
          <w:pPr>
            <w:pStyle w:val="TOC1"/>
            <w:tabs>
              <w:tab w:val="clear" w:pos="9062"/>
              <w:tab w:val="left" w:pos="426" w:leader="none"/>
              <w:tab w:val="right" w:pos="9071" w:leader="dot"/>
            </w:tabs>
            <w:rPr/>
          </w:pPr>
          <w:r>
            <w:rPr/>
            <w:t>7</w:t>
            <w:tab/>
            <w:t>Mitarbeiter</w:t>
            <w:tab/>
            <w:t>22</w:t>
          </w:r>
        </w:p>
        <w:p>
          <w:pPr>
            <w:pStyle w:val="TOC2"/>
            <w:tabs>
              <w:tab w:val="clear" w:pos="9062"/>
              <w:tab w:val="left" w:pos="567" w:leader="none"/>
              <w:tab w:val="right" w:pos="9071" w:leader="dot"/>
            </w:tabs>
            <w:rPr/>
          </w:pPr>
          <w:r>
            <w:rPr/>
            <w:t>7.1</w:t>
            <w:tab/>
            <w:t>Grundlagen</w:t>
            <w:tab/>
            <w:t>22</w:t>
          </w:r>
        </w:p>
        <w:p>
          <w:pPr>
            <w:pStyle w:val="TOC2"/>
            <w:tabs>
              <w:tab w:val="clear" w:pos="9062"/>
              <w:tab w:val="left" w:pos="567" w:leader="none"/>
              <w:tab w:val="right" w:pos="9071" w:leader="dot"/>
            </w:tabs>
            <w:rPr/>
          </w:pPr>
          <w:r>
            <w:rPr/>
            <w:t>7.2</w:t>
            <w:tab/>
            <w:t>Vor Aufnahme der Tätigkeit</w:t>
            <w:tab/>
            <w:t>22</w:t>
          </w:r>
        </w:p>
        <w:p>
          <w:pPr>
            <w:pStyle w:val="TOC2"/>
            <w:tabs>
              <w:tab w:val="clear" w:pos="9062"/>
              <w:tab w:val="left" w:pos="567" w:leader="none"/>
              <w:tab w:val="right" w:pos="9071" w:leader="dot"/>
            </w:tabs>
            <w:rPr/>
          </w:pPr>
          <w:r>
            <w:rPr/>
            <w:t>7.3</w:t>
            <w:tab/>
            <w:t>Aufnahme der Tätigkeit</w:t>
            <w:tab/>
            <w:t>22</w:t>
          </w:r>
        </w:p>
        <w:p>
          <w:pPr>
            <w:pStyle w:val="TOC2"/>
            <w:tabs>
              <w:tab w:val="clear" w:pos="9062"/>
              <w:tab w:val="left" w:pos="567" w:leader="none"/>
              <w:tab w:val="right" w:pos="9071" w:leader="dot"/>
            </w:tabs>
            <w:rPr/>
          </w:pPr>
          <w:r>
            <w:rPr/>
            <w:t>7.4</w:t>
            <w:tab/>
            <w:t>Beendigung oder Wechsel der Tätigkeit</w:t>
            <w:tab/>
            <w:t>22</w:t>
          </w:r>
        </w:p>
        <w:p>
          <w:pPr>
            <w:pStyle w:val="TOC1"/>
            <w:tabs>
              <w:tab w:val="clear" w:pos="9062"/>
              <w:tab w:val="left" w:pos="426" w:leader="none"/>
              <w:tab w:val="right" w:pos="9071" w:leader="dot"/>
            </w:tabs>
            <w:rPr/>
          </w:pPr>
          <w:r>
            <w:rPr/>
            <w:t>8</w:t>
            <w:tab/>
            <w:t>Wissen</w:t>
            <w:tab/>
            <w:t>23</w:t>
          </w:r>
        </w:p>
        <w:p>
          <w:pPr>
            <w:pStyle w:val="TOC2"/>
            <w:tabs>
              <w:tab w:val="clear" w:pos="9062"/>
              <w:tab w:val="left" w:pos="567" w:leader="none"/>
              <w:tab w:val="right" w:pos="9071" w:leader="dot"/>
            </w:tabs>
            <w:rPr/>
          </w:pPr>
          <w:r>
            <w:rPr/>
            <w:t>8.1</w:t>
            <w:tab/>
            <w:t>Grundlagen</w:t>
            <w:tab/>
            <w:t>23</w:t>
          </w:r>
        </w:p>
        <w:p>
          <w:pPr>
            <w:pStyle w:val="TOC2"/>
            <w:tabs>
              <w:tab w:val="clear" w:pos="9062"/>
              <w:tab w:val="left" w:pos="567" w:leader="none"/>
              <w:tab w:val="right" w:pos="9071" w:leader="dot"/>
            </w:tabs>
            <w:rPr/>
          </w:pPr>
          <w:r>
            <w:rPr/>
            <w:t>8.2</w:t>
            <w:tab/>
            <w:t>Aktualität des Wissens</w:t>
            <w:tab/>
            <w:t>23</w:t>
          </w:r>
        </w:p>
        <w:p>
          <w:pPr>
            <w:pStyle w:val="TOC2"/>
            <w:tabs>
              <w:tab w:val="clear" w:pos="9062"/>
              <w:tab w:val="left" w:pos="567" w:leader="none"/>
              <w:tab w:val="right" w:pos="9071" w:leader="dot"/>
            </w:tabs>
            <w:rPr/>
          </w:pPr>
          <w:r>
            <w:rPr/>
            <w:t>8.3</w:t>
            <w:tab/>
            <w:t>Schulung und Sensibilisierung</w:t>
            <w:tab/>
            <w:t>23</w:t>
          </w:r>
        </w:p>
        <w:p>
          <w:pPr>
            <w:pStyle w:val="TOC1"/>
            <w:tabs>
              <w:tab w:val="clear" w:pos="9062"/>
              <w:tab w:val="left" w:pos="426" w:leader="none"/>
              <w:tab w:val="right" w:pos="9071" w:leader="dot"/>
            </w:tabs>
            <w:rPr/>
          </w:pPr>
          <w:r>
            <w:rPr/>
            <w:t>9</w:t>
            <w:tab/>
            <w:t>Schutzkategorien</w:t>
            <w:tab/>
            <w:t>24</w:t>
          </w:r>
        </w:p>
        <w:p>
          <w:pPr>
            <w:pStyle w:val="TOC2"/>
            <w:tabs>
              <w:tab w:val="clear" w:pos="9062"/>
              <w:tab w:val="left" w:pos="567" w:leader="none"/>
              <w:tab w:val="right" w:pos="9071" w:leader="dot"/>
            </w:tabs>
            <w:rPr/>
          </w:pPr>
          <w:r>
            <w:rPr/>
            <w:t>9.1</w:t>
            <w:tab/>
            <w:t>Grundlagen</w:t>
            <w:tab/>
            <w:t>24</w:t>
          </w:r>
        </w:p>
        <w:p>
          <w:pPr>
            <w:pStyle w:val="TOC2"/>
            <w:tabs>
              <w:tab w:val="clear" w:pos="9062"/>
              <w:tab w:val="left" w:pos="567" w:leader="none"/>
              <w:tab w:val="right" w:pos="9071" w:leader="dot"/>
            </w:tabs>
            <w:rPr/>
          </w:pPr>
          <w:r>
            <w:rPr/>
            <w:t>9.2</w:t>
            <w:tab/>
            <w:t>Prozesse</w:t>
            <w:tab/>
            <w:t>24</w:t>
          </w:r>
        </w:p>
        <w:p>
          <w:pPr>
            <w:pStyle w:val="TOC2"/>
            <w:tabs>
              <w:tab w:val="clear" w:pos="9062"/>
              <w:tab w:val="left" w:pos="567" w:leader="none"/>
              <w:tab w:val="right" w:pos="9071" w:leader="dot"/>
            </w:tabs>
            <w:rPr/>
          </w:pPr>
          <w:r>
            <w:rPr/>
            <w:t>9.3</w:t>
            <w:tab/>
            <w:t>Wichtige IT-Ressourcen</w:t>
            <w:tab/>
            <w:t>25</w:t>
          </w:r>
        </w:p>
        <w:p>
          <w:pPr>
            <w:pStyle w:val="TOC2"/>
            <w:tabs>
              <w:tab w:val="clear" w:pos="9062"/>
              <w:tab w:val="left" w:pos="567" w:leader="none"/>
              <w:tab w:val="right" w:pos="9071" w:leader="dot"/>
            </w:tabs>
            <w:rPr/>
          </w:pPr>
          <w:r>
            <w:rPr/>
            <w:t>9.4</w:t>
            <w:tab/>
            <w:t>Kritische Informationen</w:t>
            <w:tab/>
            <w:t>25</w:t>
          </w:r>
        </w:p>
        <w:p>
          <w:pPr>
            <w:pStyle w:val="TOC2"/>
            <w:tabs>
              <w:tab w:val="clear" w:pos="9062"/>
              <w:tab w:val="left" w:pos="567" w:leader="none"/>
              <w:tab w:val="right" w:pos="9071" w:leader="dot"/>
            </w:tabs>
            <w:rPr/>
          </w:pPr>
          <w:r>
            <w:rPr/>
            <w:t>9.5</w:t>
            <w:tab/>
            <w:t>Kritische IT-Ressourcen</w:t>
            <w:tab/>
            <w:t>25</w:t>
          </w:r>
        </w:p>
        <w:p>
          <w:pPr>
            <w:pStyle w:val="TOC2"/>
            <w:tabs>
              <w:tab w:val="clear" w:pos="9062"/>
              <w:tab w:val="left" w:pos="567" w:leader="none"/>
              <w:tab w:val="right" w:pos="9071" w:leader="dot"/>
            </w:tabs>
            <w:rPr/>
          </w:pPr>
          <w:r>
            <w:rPr/>
            <w:t>9.6</w:t>
            <w:tab/>
            <w:t>Weitere Schutzkategorien</w:t>
            <w:tab/>
            <w:t>26</w:t>
          </w:r>
        </w:p>
        <w:p>
          <w:pPr>
            <w:pStyle w:val="TOC1"/>
            <w:tabs>
              <w:tab w:val="clear" w:pos="9062"/>
              <w:tab w:val="left" w:pos="426" w:leader="none"/>
              <w:tab w:val="right" w:pos="9071" w:leader="dot"/>
            </w:tabs>
            <w:rPr/>
          </w:pPr>
          <w:r>
            <w:rPr/>
            <w:t>10</w:t>
            <w:tab/>
            <w:t>IT-Systeme</w:t>
            <w:tab/>
            <w:t>26</w:t>
          </w:r>
        </w:p>
        <w:p>
          <w:pPr>
            <w:pStyle w:val="TOC2"/>
            <w:tabs>
              <w:tab w:val="clear" w:pos="9062"/>
              <w:tab w:val="left" w:pos="567" w:leader="none"/>
              <w:tab w:val="right" w:pos="9071" w:leader="dot"/>
            </w:tabs>
            <w:rPr/>
          </w:pPr>
          <w:r>
            <w:rPr/>
            <w:t>10.1</w:t>
            <w:tab/>
            <w:t>Grundlagen</w:t>
            <w:tab/>
            <w:t>26</w:t>
          </w:r>
        </w:p>
        <w:p>
          <w:pPr>
            <w:pStyle w:val="TOC2"/>
            <w:tabs>
              <w:tab w:val="clear" w:pos="9062"/>
              <w:tab w:val="left" w:pos="567" w:leader="none"/>
              <w:tab w:val="right" w:pos="9071" w:leader="dot"/>
            </w:tabs>
            <w:rPr/>
          </w:pPr>
          <w:r>
            <w:rPr/>
            <w:t>10.2</w:t>
            <w:tab/>
            <w:t>Inventarisierung</w:t>
            <w:tab/>
            <w:t>26</w:t>
          </w:r>
        </w:p>
        <w:p>
          <w:pPr>
            <w:pStyle w:val="TOC2"/>
            <w:tabs>
              <w:tab w:val="clear" w:pos="9062"/>
              <w:tab w:val="left" w:pos="567" w:leader="none"/>
              <w:tab w:val="right" w:pos="9071" w:leader="dot"/>
            </w:tabs>
            <w:rPr/>
          </w:pPr>
          <w:r>
            <w:rPr/>
            <w:t>10.3</w:t>
            <w:tab/>
            <w:t>Lebenszyklus</w:t>
            <w:tab/>
            <w:t>26</w:t>
          </w:r>
        </w:p>
        <w:p>
          <w:pPr>
            <w:pStyle w:val="TOC3"/>
            <w:tabs>
              <w:tab w:val="clear" w:pos="9062"/>
              <w:tab w:val="left" w:pos="709" w:leader="none"/>
              <w:tab w:val="right" w:pos="9071" w:leader="dot"/>
            </w:tabs>
            <w:rPr/>
          </w:pPr>
          <w:r>
            <w:rPr/>
            <w:t>10.3.1</w:t>
            <w:tab/>
            <w:t>Beschreibung</w:t>
            <w:tab/>
            <w:t>26</w:t>
          </w:r>
        </w:p>
        <w:p>
          <w:pPr>
            <w:pStyle w:val="TOC3"/>
            <w:tabs>
              <w:tab w:val="clear" w:pos="9062"/>
              <w:tab w:val="left" w:pos="709" w:leader="none"/>
              <w:tab w:val="right" w:pos="9071" w:leader="dot"/>
            </w:tabs>
            <w:rPr/>
          </w:pPr>
          <w:r>
            <w:rPr/>
            <w:t>10.3.2</w:t>
            <w:tab/>
            <w:t>Inbetriebnahme und Änderung</w:t>
            <w:tab/>
            <w:t>26</w:t>
          </w:r>
        </w:p>
        <w:p>
          <w:pPr>
            <w:pStyle w:val="TOC3"/>
            <w:tabs>
              <w:tab w:val="clear" w:pos="9062"/>
              <w:tab w:val="left" w:pos="709" w:leader="none"/>
              <w:tab w:val="right" w:pos="9071" w:leader="dot"/>
            </w:tabs>
            <w:rPr/>
          </w:pPr>
          <w:r>
            <w:rPr/>
            <w:t>10.3.3</w:t>
            <w:tab/>
            <w:t>Ausmusterung und Wiederverwendung</w:t>
            <w:tab/>
            <w:t>27</w:t>
          </w:r>
        </w:p>
        <w:p>
          <w:pPr>
            <w:pStyle w:val="TOC2"/>
            <w:tabs>
              <w:tab w:val="clear" w:pos="9062"/>
              <w:tab w:val="left" w:pos="567" w:leader="none"/>
              <w:tab w:val="right" w:pos="9071" w:leader="dot"/>
            </w:tabs>
            <w:rPr/>
          </w:pPr>
          <w:r>
            <w:rPr/>
            <w:t>10.4</w:t>
            <w:tab/>
            <w:t>Basisschutz</w:t>
            <w:tab/>
            <w:t>27</w:t>
          </w:r>
        </w:p>
        <w:p>
          <w:pPr>
            <w:pStyle w:val="TOC3"/>
            <w:tabs>
              <w:tab w:val="clear" w:pos="9062"/>
              <w:tab w:val="left" w:pos="709" w:leader="none"/>
              <w:tab w:val="right" w:pos="9071" w:leader="dot"/>
            </w:tabs>
            <w:rPr/>
          </w:pPr>
          <w:r>
            <w:rPr/>
            <w:t>10.4.1</w:t>
            <w:tab/>
            <w:t>Funktionalitäten und Maßnahmen</w:t>
            <w:tab/>
            <w:t>27</w:t>
          </w:r>
        </w:p>
        <w:p>
          <w:pPr>
            <w:pStyle w:val="TOC3"/>
            <w:tabs>
              <w:tab w:val="clear" w:pos="9062"/>
              <w:tab w:val="left" w:pos="709" w:leader="none"/>
              <w:tab w:val="right" w:pos="9071" w:leader="dot"/>
            </w:tabs>
            <w:rPr/>
          </w:pPr>
          <w:r>
            <w:rPr/>
            <w:t>10.4.2</w:t>
            <w:tab/>
            <w:t>Software</w:t>
            <w:tab/>
            <w:t>27</w:t>
          </w:r>
        </w:p>
        <w:p>
          <w:pPr>
            <w:pStyle w:val="TOC3"/>
            <w:tabs>
              <w:tab w:val="clear" w:pos="9062"/>
              <w:tab w:val="left" w:pos="709" w:leader="none"/>
              <w:tab w:val="right" w:pos="9071" w:leader="dot"/>
            </w:tabs>
            <w:rPr/>
          </w:pPr>
          <w:r>
            <w:rPr/>
            <w:t>10.4.3</w:t>
            <w:tab/>
            <w:t>Beschränkung des Netzwerkverkehrs</w:t>
            <w:tab/>
            <w:t>27</w:t>
          </w:r>
        </w:p>
        <w:p>
          <w:pPr>
            <w:pStyle w:val="TOC3"/>
            <w:tabs>
              <w:tab w:val="clear" w:pos="9062"/>
              <w:tab w:val="left" w:pos="709" w:leader="none"/>
              <w:tab w:val="right" w:pos="9071" w:leader="dot"/>
            </w:tabs>
            <w:rPr/>
          </w:pPr>
          <w:r>
            <w:rPr/>
            <w:t>10.4.4</w:t>
            <w:tab/>
            <w:t>Protokollierung</w:t>
            <w:tab/>
            <w:t>28</w:t>
          </w:r>
        </w:p>
        <w:p>
          <w:pPr>
            <w:pStyle w:val="TOC3"/>
            <w:tabs>
              <w:tab w:val="clear" w:pos="9062"/>
              <w:tab w:val="left" w:pos="709" w:leader="none"/>
              <w:tab w:val="right" w:pos="9071" w:leader="dot"/>
            </w:tabs>
            <w:rPr/>
          </w:pPr>
          <w:r>
            <w:rPr/>
            <w:t>10.4.5</w:t>
            <w:tab/>
            <w:t>Externe Schnittstellen und Laufwerke</w:t>
            <w:tab/>
            <w:t>28</w:t>
          </w:r>
        </w:p>
        <w:p>
          <w:pPr>
            <w:pStyle w:val="TOC3"/>
            <w:tabs>
              <w:tab w:val="clear" w:pos="9062"/>
              <w:tab w:val="left" w:pos="709" w:leader="none"/>
              <w:tab w:val="right" w:pos="9071" w:leader="dot"/>
            </w:tabs>
            <w:rPr/>
          </w:pPr>
          <w:r>
            <w:rPr/>
            <w:t>10.4.6</w:t>
            <w:tab/>
            <w:t>Schadsoftware</w:t>
            <w:tab/>
            <w:t>28</w:t>
          </w:r>
        </w:p>
        <w:p>
          <w:pPr>
            <w:pStyle w:val="TOC3"/>
            <w:tabs>
              <w:tab w:val="clear" w:pos="9062"/>
              <w:tab w:val="left" w:pos="709" w:leader="none"/>
              <w:tab w:val="right" w:pos="9071" w:leader="dot"/>
            </w:tabs>
            <w:rPr/>
          </w:pPr>
          <w:r>
            <w:rPr/>
            <w:t>10.4.7</w:t>
            <w:tab/>
            <w:t>Starten von fremden Medien</w:t>
            <w:tab/>
            <w:t>28</w:t>
          </w:r>
        </w:p>
        <w:p>
          <w:pPr>
            <w:pStyle w:val="TOC3"/>
            <w:tabs>
              <w:tab w:val="clear" w:pos="9062"/>
              <w:tab w:val="left" w:pos="709" w:leader="none"/>
              <w:tab w:val="right" w:pos="9071" w:leader="dot"/>
            </w:tabs>
            <w:rPr/>
          </w:pPr>
          <w:r>
            <w:rPr/>
            <w:t>10.4.8</w:t>
            <w:tab/>
            <w:t>Authentifizierung</w:t>
            <w:tab/>
            <w:t>28</w:t>
          </w:r>
        </w:p>
        <w:p>
          <w:pPr>
            <w:pStyle w:val="TOC3"/>
            <w:tabs>
              <w:tab w:val="clear" w:pos="9062"/>
              <w:tab w:val="left" w:pos="709" w:leader="none"/>
              <w:tab w:val="right" w:pos="9071" w:leader="dot"/>
            </w:tabs>
            <w:rPr/>
          </w:pPr>
          <w:r>
            <w:rPr/>
            <w:t>10.4.9</w:t>
            <w:tab/>
            <w:t>Zugänge und Zugriffe</w:t>
            <w:tab/>
            <w:t>29</w:t>
          </w:r>
        </w:p>
        <w:p>
          <w:pPr>
            <w:pStyle w:val="TOC3"/>
            <w:tabs>
              <w:tab w:val="clear" w:pos="9062"/>
              <w:tab w:val="left" w:pos="709" w:leader="none"/>
              <w:tab w:val="right" w:pos="9071" w:leader="dot"/>
            </w:tabs>
            <w:rPr/>
          </w:pPr>
          <w:r>
            <w:rPr/>
            <w:t>10.4.10</w:t>
            <w:tab/>
            <w:t>Beschränkung administrativer Rechte</w:t>
            <w:tab/>
            <w:t>29</w:t>
          </w:r>
        </w:p>
        <w:p>
          <w:pPr>
            <w:pStyle w:val="TOC2"/>
            <w:tabs>
              <w:tab w:val="clear" w:pos="9062"/>
              <w:tab w:val="left" w:pos="567" w:leader="none"/>
              <w:tab w:val="right" w:pos="9071" w:leader="dot"/>
            </w:tabs>
            <w:rPr/>
          </w:pPr>
          <w:r>
            <w:rPr/>
            <w:t>10.5</w:t>
            <w:tab/>
            <w:t>Zusätzliche Maßnahmen für mobile IT-Systeme</w:t>
            <w:tab/>
            <w:t>29</w:t>
          </w:r>
        </w:p>
        <w:p>
          <w:pPr>
            <w:pStyle w:val="TOC3"/>
            <w:tabs>
              <w:tab w:val="clear" w:pos="9062"/>
              <w:tab w:val="left" w:pos="709" w:leader="none"/>
              <w:tab w:val="right" w:pos="9071" w:leader="dot"/>
            </w:tabs>
            <w:rPr/>
          </w:pPr>
          <w:r>
            <w:rPr/>
            <w:t>10.5.1</w:t>
            <w:tab/>
            <w:t>Grundlagen</w:t>
            <w:tab/>
            <w:t>29</w:t>
          </w:r>
        </w:p>
        <w:p>
          <w:pPr>
            <w:pStyle w:val="TOC3"/>
            <w:tabs>
              <w:tab w:val="clear" w:pos="9062"/>
              <w:tab w:val="left" w:pos="709" w:leader="none"/>
              <w:tab w:val="right" w:pos="9071" w:leader="dot"/>
            </w:tabs>
            <w:rPr/>
          </w:pPr>
          <w:r>
            <w:rPr/>
            <w:t>10.5.2</w:t>
            <w:tab/>
            <w:t>IS-Richtlinie</w:t>
            <w:tab/>
            <w:t>29</w:t>
          </w:r>
        </w:p>
        <w:p>
          <w:pPr>
            <w:pStyle w:val="TOC3"/>
            <w:tabs>
              <w:tab w:val="clear" w:pos="9062"/>
              <w:tab w:val="left" w:pos="709" w:leader="none"/>
              <w:tab w:val="right" w:pos="9071" w:leader="dot"/>
            </w:tabs>
            <w:rPr/>
          </w:pPr>
          <w:r>
            <w:rPr/>
            <w:t>10.5.3</w:t>
            <w:tab/>
            <w:t>Schutz der Informationen</w:t>
            <w:tab/>
            <w:t>30</w:t>
          </w:r>
        </w:p>
        <w:p>
          <w:pPr>
            <w:pStyle w:val="TOC3"/>
            <w:tabs>
              <w:tab w:val="clear" w:pos="9062"/>
              <w:tab w:val="left" w:pos="709" w:leader="none"/>
              <w:tab w:val="right" w:pos="9071" w:leader="dot"/>
            </w:tabs>
            <w:rPr/>
          </w:pPr>
          <w:r>
            <w:rPr/>
            <w:t>10.5.4</w:t>
            <w:tab/>
            <w:t>Verlust</w:t>
            <w:tab/>
            <w:t>30</w:t>
          </w:r>
        </w:p>
        <w:p>
          <w:pPr>
            <w:pStyle w:val="TOC2"/>
            <w:tabs>
              <w:tab w:val="clear" w:pos="9062"/>
              <w:tab w:val="left" w:pos="567" w:leader="none"/>
              <w:tab w:val="right" w:pos="9071" w:leader="dot"/>
            </w:tabs>
            <w:rPr/>
          </w:pPr>
          <w:r>
            <w:rPr/>
            <w:t>10.6</w:t>
            <w:tab/>
            <w:t>Zusätzliche Maßnahmen für wichtige IT-Systeme</w:t>
            <w:tab/>
            <w:t>30</w:t>
          </w:r>
        </w:p>
        <w:p>
          <w:pPr>
            <w:pStyle w:val="TOC3"/>
            <w:tabs>
              <w:tab w:val="clear" w:pos="9062"/>
              <w:tab w:val="left" w:pos="709" w:leader="none"/>
              <w:tab w:val="right" w:pos="9071" w:leader="dot"/>
            </w:tabs>
            <w:rPr/>
          </w:pPr>
          <w:r>
            <w:rPr/>
            <w:t>10.6.1</w:t>
            <w:tab/>
            <w:t>Dokumentation</w:t>
            <w:tab/>
            <w:t>30</w:t>
          </w:r>
        </w:p>
        <w:p>
          <w:pPr>
            <w:pStyle w:val="TOC3"/>
            <w:tabs>
              <w:tab w:val="clear" w:pos="9062"/>
              <w:tab w:val="left" w:pos="709" w:leader="none"/>
              <w:tab w:val="right" w:pos="9071" w:leader="dot"/>
            </w:tabs>
            <w:rPr/>
          </w:pPr>
          <w:r>
            <w:rPr/>
            <w:t>10.6.2</w:t>
            <w:tab/>
            <w:t>Datensicherung</w:t>
            <w:tab/>
            <w:t>31</w:t>
          </w:r>
        </w:p>
        <w:p>
          <w:pPr>
            <w:pStyle w:val="TOC3"/>
            <w:tabs>
              <w:tab w:val="clear" w:pos="9062"/>
              <w:tab w:val="left" w:pos="709" w:leader="none"/>
              <w:tab w:val="right" w:pos="9071" w:leader="dot"/>
            </w:tabs>
            <w:rPr/>
          </w:pPr>
          <w:r>
            <w:rPr/>
            <w:t>10.6.3</w:t>
            <w:tab/>
            <w:t>Notbetriebsniveau</w:t>
            <w:tab/>
            <w:t>31</w:t>
          </w:r>
        </w:p>
        <w:p>
          <w:pPr>
            <w:pStyle w:val="TOC3"/>
            <w:tabs>
              <w:tab w:val="clear" w:pos="9062"/>
              <w:tab w:val="left" w:pos="709" w:leader="none"/>
              <w:tab w:val="right" w:pos="9071" w:leader="dot"/>
            </w:tabs>
            <w:rPr/>
          </w:pPr>
          <w:r>
            <w:rPr/>
            <w:t>10.6.4</w:t>
            <w:tab/>
            <w:t>Überwachung</w:t>
            <w:tab/>
            <w:t>31</w:t>
          </w:r>
        </w:p>
        <w:p>
          <w:pPr>
            <w:pStyle w:val="TOC3"/>
            <w:tabs>
              <w:tab w:val="clear" w:pos="9062"/>
              <w:tab w:val="left" w:pos="709" w:leader="none"/>
              <w:tab w:val="right" w:pos="9071" w:leader="dot"/>
            </w:tabs>
            <w:rPr/>
          </w:pPr>
          <w:r>
            <w:rPr/>
            <w:t>10.6.5</w:t>
            <w:tab/>
            <w:t>Beschränkung des Netzwerkverkehrs</w:t>
            <w:tab/>
            <w:t>31</w:t>
          </w:r>
        </w:p>
        <w:p>
          <w:pPr>
            <w:pStyle w:val="TOC3"/>
            <w:tabs>
              <w:tab w:val="clear" w:pos="9062"/>
              <w:tab w:val="left" w:pos="709" w:leader="none"/>
              <w:tab w:val="right" w:pos="9071" w:leader="dot"/>
            </w:tabs>
            <w:rPr/>
          </w:pPr>
          <w:r>
            <w:rPr/>
            <w:t>10.6.6</w:t>
            <w:tab/>
            <w:t>Wichtige Individualsoftware</w:t>
            <w:tab/>
            <w:t>31</w:t>
          </w:r>
        </w:p>
        <w:p>
          <w:pPr>
            <w:pStyle w:val="TOC2"/>
            <w:tabs>
              <w:tab w:val="clear" w:pos="9062"/>
              <w:tab w:val="left" w:pos="567" w:leader="none"/>
              <w:tab w:val="right" w:pos="9071" w:leader="dot"/>
            </w:tabs>
            <w:rPr/>
          </w:pPr>
          <w:r>
            <w:rPr/>
            <w:t>10.7</w:t>
            <w:tab/>
            <w:t>Zusätzliche Maßnahmen für kritische IT-Systeme</w:t>
            <w:tab/>
            <w:t>31</w:t>
          </w:r>
        </w:p>
        <w:p>
          <w:pPr>
            <w:pStyle w:val="TOC3"/>
            <w:tabs>
              <w:tab w:val="clear" w:pos="9062"/>
              <w:tab w:val="left" w:pos="709" w:leader="none"/>
              <w:tab w:val="right" w:pos="9071" w:leader="dot"/>
            </w:tabs>
            <w:rPr/>
          </w:pPr>
          <w:r>
            <w:rPr/>
            <w:t>10.7.1</w:t>
            <w:tab/>
            <w:t>Grundlagen</w:t>
            <w:tab/>
            <w:t>31</w:t>
          </w:r>
        </w:p>
        <w:p>
          <w:pPr>
            <w:pStyle w:val="TOC3"/>
            <w:tabs>
              <w:tab w:val="clear" w:pos="9062"/>
              <w:tab w:val="left" w:pos="709" w:leader="none"/>
              <w:tab w:val="right" w:pos="9071" w:leader="dot"/>
            </w:tabs>
            <w:rPr/>
          </w:pPr>
          <w:r>
            <w:rPr/>
            <w:t>10.7.2</w:t>
            <w:tab/>
            <w:t>Robustheit</w:t>
            <w:tab/>
            <w:t>31</w:t>
          </w:r>
        </w:p>
        <w:p>
          <w:pPr>
            <w:pStyle w:val="TOC3"/>
            <w:tabs>
              <w:tab w:val="clear" w:pos="9062"/>
              <w:tab w:val="left" w:pos="709" w:leader="none"/>
              <w:tab w:val="right" w:pos="9071" w:leader="dot"/>
            </w:tabs>
            <w:rPr/>
          </w:pPr>
          <w:r>
            <w:rPr/>
            <w:t>10.7.3</w:t>
            <w:tab/>
            <w:t>Kryptografische Maßnahmen</w:t>
            <w:tab/>
            <w:t>31</w:t>
          </w:r>
        </w:p>
        <w:p>
          <w:pPr>
            <w:pStyle w:val="TOC3"/>
            <w:tabs>
              <w:tab w:val="clear" w:pos="9062"/>
              <w:tab w:val="left" w:pos="709" w:leader="none"/>
              <w:tab w:val="right" w:pos="9071" w:leader="dot"/>
            </w:tabs>
            <w:rPr/>
          </w:pPr>
          <w:r>
            <w:rPr/>
            <w:t>10.7.4</w:t>
            <w:tab/>
            <w:t>Externe Schnittstellen und Laufwerke</w:t>
            <w:tab/>
            <w:t>31</w:t>
          </w:r>
        </w:p>
        <w:p>
          <w:pPr>
            <w:pStyle w:val="TOC3"/>
            <w:tabs>
              <w:tab w:val="clear" w:pos="9062"/>
              <w:tab w:val="left" w:pos="709" w:leader="none"/>
              <w:tab w:val="right" w:pos="9071" w:leader="dot"/>
            </w:tabs>
            <w:rPr/>
          </w:pPr>
          <w:r>
            <w:rPr/>
            <w:t>10.7.5</w:t>
            <w:tab/>
            <w:t>Änderungsmanagement</w:t>
            <w:tab/>
            <w:t>32</w:t>
          </w:r>
        </w:p>
        <w:p>
          <w:pPr>
            <w:pStyle w:val="TOC3"/>
            <w:tabs>
              <w:tab w:val="clear" w:pos="9062"/>
              <w:tab w:val="left" w:pos="709" w:leader="none"/>
              <w:tab w:val="right" w:pos="9071" w:leader="dot"/>
            </w:tabs>
            <w:rPr/>
          </w:pPr>
          <w:r>
            <w:rPr/>
            <w:t>10.7.6</w:t>
            <w:tab/>
            <w:t>Ersatzsysteme und -verfahren</w:t>
            <w:tab/>
            <w:t>32</w:t>
          </w:r>
        </w:p>
        <w:p>
          <w:pPr>
            <w:pStyle w:val="TOC1"/>
            <w:tabs>
              <w:tab w:val="clear" w:pos="9062"/>
              <w:tab w:val="left" w:pos="426" w:leader="none"/>
              <w:tab w:val="right" w:pos="9071" w:leader="dot"/>
            </w:tabs>
            <w:rPr/>
          </w:pPr>
          <w:r>
            <w:rPr/>
            <w:t>11</w:t>
            <w:tab/>
            <w:t>Netzwerke und Verbindungen</w:t>
            <w:tab/>
            <w:t>32</w:t>
          </w:r>
        </w:p>
        <w:p>
          <w:pPr>
            <w:pStyle w:val="TOC2"/>
            <w:tabs>
              <w:tab w:val="clear" w:pos="9062"/>
              <w:tab w:val="left" w:pos="567" w:leader="none"/>
              <w:tab w:val="right" w:pos="9071" w:leader="dot"/>
            </w:tabs>
            <w:rPr/>
          </w:pPr>
          <w:r>
            <w:rPr/>
            <w:t>11.1</w:t>
            <w:tab/>
            <w:t>Grundlagen</w:t>
            <w:tab/>
            <w:t>32</w:t>
          </w:r>
        </w:p>
        <w:p>
          <w:pPr>
            <w:pStyle w:val="TOC2"/>
            <w:tabs>
              <w:tab w:val="clear" w:pos="9062"/>
              <w:tab w:val="left" w:pos="567" w:leader="none"/>
              <w:tab w:val="right" w:pos="9071" w:leader="dot"/>
            </w:tabs>
            <w:rPr/>
          </w:pPr>
          <w:r>
            <w:rPr/>
            <w:t>11.2</w:t>
            <w:tab/>
            <w:t>Netzwerkplan</w:t>
            <w:tab/>
            <w:t>32</w:t>
          </w:r>
        </w:p>
        <w:p>
          <w:pPr>
            <w:pStyle w:val="TOC2"/>
            <w:tabs>
              <w:tab w:val="clear" w:pos="9062"/>
              <w:tab w:val="left" w:pos="567" w:leader="none"/>
              <w:tab w:val="right" w:pos="9071" w:leader="dot"/>
            </w:tabs>
            <w:rPr/>
          </w:pPr>
          <w:r>
            <w:rPr/>
            <w:t>11.3</w:t>
            <w:tab/>
            <w:t>Aktive Netzwerkkomponenten</w:t>
            <w:tab/>
            <w:t>32</w:t>
          </w:r>
        </w:p>
        <w:p>
          <w:pPr>
            <w:pStyle w:val="TOC2"/>
            <w:tabs>
              <w:tab w:val="clear" w:pos="9062"/>
              <w:tab w:val="left" w:pos="567" w:leader="none"/>
              <w:tab w:val="right" w:pos="9071" w:leader="dot"/>
            </w:tabs>
            <w:rPr/>
          </w:pPr>
          <w:r>
            <w:rPr/>
            <w:t>11.4</w:t>
            <w:tab/>
            <w:t>Netzübergänge</w:t>
            <w:tab/>
            <w:t>32</w:t>
          </w:r>
        </w:p>
        <w:p>
          <w:pPr>
            <w:pStyle w:val="TOC2"/>
            <w:tabs>
              <w:tab w:val="clear" w:pos="9062"/>
              <w:tab w:val="left" w:pos="567" w:leader="none"/>
              <w:tab w:val="right" w:pos="9071" w:leader="dot"/>
            </w:tabs>
            <w:rPr/>
          </w:pPr>
          <w:r>
            <w:rPr/>
            <w:t>11.5</w:t>
            <w:tab/>
            <w:t>Basisschutz</w:t>
            <w:tab/>
            <w:t>33</w:t>
          </w:r>
        </w:p>
        <w:p>
          <w:pPr>
            <w:pStyle w:val="TOC3"/>
            <w:tabs>
              <w:tab w:val="clear" w:pos="9062"/>
              <w:tab w:val="left" w:pos="709" w:leader="none"/>
              <w:tab w:val="right" w:pos="9071" w:leader="dot"/>
            </w:tabs>
            <w:rPr/>
          </w:pPr>
          <w:r>
            <w:rPr/>
            <w:t>11.5.1</w:t>
            <w:tab/>
            <w:t>Grundanforderungen</w:t>
            <w:tab/>
            <w:t>33</w:t>
          </w:r>
        </w:p>
        <w:p>
          <w:pPr>
            <w:pStyle w:val="TOC3"/>
            <w:tabs>
              <w:tab w:val="clear" w:pos="9062"/>
              <w:tab w:val="left" w:pos="709" w:leader="none"/>
              <w:tab w:val="right" w:pos="9071" w:leader="dot"/>
            </w:tabs>
            <w:rPr/>
          </w:pPr>
          <w:r>
            <w:rPr/>
            <w:t>11.5.2</w:t>
            <w:tab/>
            <w:t>Netzwerkanschlüsse</w:t>
            <w:tab/>
            <w:t>33</w:t>
          </w:r>
        </w:p>
        <w:p>
          <w:pPr>
            <w:pStyle w:val="TOC3"/>
            <w:tabs>
              <w:tab w:val="clear" w:pos="9062"/>
              <w:tab w:val="left" w:pos="709" w:leader="none"/>
              <w:tab w:val="right" w:pos="9071" w:leader="dot"/>
            </w:tabs>
            <w:rPr/>
          </w:pPr>
          <w:r>
            <w:rPr/>
            <w:t>11.5.3</w:t>
            <w:tab/>
            <w:t>Segmentierung</w:t>
            <w:tab/>
            <w:t>33</w:t>
          </w:r>
        </w:p>
        <w:p>
          <w:pPr>
            <w:pStyle w:val="TOC3"/>
            <w:tabs>
              <w:tab w:val="clear" w:pos="9062"/>
              <w:tab w:val="left" w:pos="709" w:leader="none"/>
              <w:tab w:val="right" w:pos="9071" w:leader="dot"/>
            </w:tabs>
            <w:rPr/>
          </w:pPr>
          <w:r>
            <w:rPr/>
            <w:t>11.5.4</w:t>
            <w:tab/>
            <w:t>Fernzugang</w:t>
            <w:tab/>
            <w:t>33</w:t>
          </w:r>
        </w:p>
        <w:p>
          <w:pPr>
            <w:pStyle w:val="TOC3"/>
            <w:tabs>
              <w:tab w:val="clear" w:pos="9062"/>
              <w:tab w:val="left" w:pos="709" w:leader="none"/>
              <w:tab w:val="right" w:pos="9071" w:leader="dot"/>
            </w:tabs>
            <w:rPr/>
          </w:pPr>
          <w:r>
            <w:rPr/>
            <w:t>11.5.5</w:t>
            <w:tab/>
            <w:t>Netzwerkkopplung</w:t>
            <w:tab/>
            <w:t>34</w:t>
          </w:r>
        </w:p>
        <w:p>
          <w:pPr>
            <w:pStyle w:val="TOC2"/>
            <w:tabs>
              <w:tab w:val="clear" w:pos="9062"/>
              <w:tab w:val="left" w:pos="567" w:leader="none"/>
              <w:tab w:val="right" w:pos="9071" w:leader="dot"/>
            </w:tabs>
            <w:rPr/>
          </w:pPr>
          <w:r>
            <w:rPr/>
            <w:t>11.6</w:t>
            <w:tab/>
            <w:t>Zusätzliche Maßnahmen für wichtige Verbindungen</w:t>
            <w:tab/>
            <w:t>34</w:t>
          </w:r>
        </w:p>
        <w:p>
          <w:pPr>
            <w:pStyle w:val="TOC1"/>
            <w:tabs>
              <w:tab w:val="clear" w:pos="9062"/>
              <w:tab w:val="left" w:pos="426" w:leader="none"/>
              <w:tab w:val="right" w:pos="9071" w:leader="dot"/>
            </w:tabs>
            <w:rPr/>
          </w:pPr>
          <w:r>
            <w:rPr/>
            <w:t>12</w:t>
            <w:tab/>
            <w:t>Mobile Datenträger</w:t>
            <w:tab/>
            <w:t>34</w:t>
          </w:r>
        </w:p>
        <w:p>
          <w:pPr>
            <w:pStyle w:val="TOC2"/>
            <w:tabs>
              <w:tab w:val="clear" w:pos="9062"/>
              <w:tab w:val="left" w:pos="567" w:leader="none"/>
              <w:tab w:val="right" w:pos="9071" w:leader="dot"/>
            </w:tabs>
            <w:rPr/>
          </w:pPr>
          <w:r>
            <w:rPr/>
            <w:t>12.1</w:t>
            <w:tab/>
            <w:t>Grundlagen</w:t>
            <w:tab/>
            <w:t>34</w:t>
          </w:r>
        </w:p>
        <w:p>
          <w:pPr>
            <w:pStyle w:val="TOC2"/>
            <w:tabs>
              <w:tab w:val="clear" w:pos="9062"/>
              <w:tab w:val="left" w:pos="567" w:leader="none"/>
              <w:tab w:val="right" w:pos="9071" w:leader="dot"/>
            </w:tabs>
            <w:rPr/>
          </w:pPr>
          <w:r>
            <w:rPr/>
            <w:t>12.2</w:t>
            <w:tab/>
            <w:t>IS-Richtlinie</w:t>
            <w:tab/>
            <w:t>34</w:t>
          </w:r>
        </w:p>
        <w:p>
          <w:pPr>
            <w:pStyle w:val="TOC2"/>
            <w:tabs>
              <w:tab w:val="clear" w:pos="9062"/>
              <w:tab w:val="left" w:pos="567" w:leader="none"/>
              <w:tab w:val="right" w:pos="9071" w:leader="dot"/>
            </w:tabs>
            <w:rPr/>
          </w:pPr>
          <w:r>
            <w:rPr/>
            <w:t>12.3</w:t>
            <w:tab/>
            <w:t>Zusätzliche Maßnahmen für wichtige mobile Datenträger</w:t>
            <w:tab/>
            <w:t>34</w:t>
          </w:r>
        </w:p>
        <w:p>
          <w:pPr>
            <w:pStyle w:val="TOC1"/>
            <w:tabs>
              <w:tab w:val="clear" w:pos="9062"/>
              <w:tab w:val="left" w:pos="426" w:leader="none"/>
              <w:tab w:val="right" w:pos="9071" w:leader="dot"/>
            </w:tabs>
            <w:rPr/>
          </w:pPr>
          <w:r>
            <w:rPr/>
            <w:t>13</w:t>
            <w:tab/>
            <w:t>Umgebung</w:t>
            <w:tab/>
            <w:t>35</w:t>
          </w:r>
        </w:p>
        <w:p>
          <w:pPr>
            <w:pStyle w:val="TOC2"/>
            <w:tabs>
              <w:tab w:val="clear" w:pos="9062"/>
              <w:tab w:val="left" w:pos="567" w:leader="none"/>
              <w:tab w:val="right" w:pos="9071" w:leader="dot"/>
            </w:tabs>
            <w:rPr/>
          </w:pPr>
          <w:r>
            <w:rPr/>
            <w:t>13.1</w:t>
            <w:tab/>
            <w:t>Grundlagen</w:t>
            <w:tab/>
            <w:t>35</w:t>
          </w:r>
        </w:p>
        <w:p>
          <w:pPr>
            <w:pStyle w:val="TOC2"/>
            <w:tabs>
              <w:tab w:val="clear" w:pos="9062"/>
              <w:tab w:val="left" w:pos="567" w:leader="none"/>
              <w:tab w:val="right" w:pos="9071" w:leader="dot"/>
            </w:tabs>
            <w:rPr/>
          </w:pPr>
          <w:r>
            <w:rPr/>
            <w:t>13.2</w:t>
            <w:tab/>
            <w:t>Server, aktive Netzwerkkomponenten und Netzwerkverteilstellen</w:t>
            <w:tab/>
            <w:t>35</w:t>
          </w:r>
        </w:p>
        <w:p>
          <w:pPr>
            <w:pStyle w:val="TOC2"/>
            <w:tabs>
              <w:tab w:val="clear" w:pos="9062"/>
              <w:tab w:val="left" w:pos="567" w:leader="none"/>
              <w:tab w:val="right" w:pos="9071" w:leader="dot"/>
            </w:tabs>
            <w:rPr/>
          </w:pPr>
          <w:r>
            <w:rPr/>
            <w:t>13.3</w:t>
            <w:tab/>
            <w:t>Datenleitungen</w:t>
            <w:tab/>
            <w:t>35</w:t>
          </w:r>
        </w:p>
        <w:p>
          <w:pPr>
            <w:pStyle w:val="TOC2"/>
            <w:tabs>
              <w:tab w:val="clear" w:pos="9062"/>
              <w:tab w:val="left" w:pos="567" w:leader="none"/>
              <w:tab w:val="right" w:pos="9071" w:leader="dot"/>
            </w:tabs>
            <w:rPr/>
          </w:pPr>
          <w:r>
            <w:rPr/>
            <w:t>13.4</w:t>
            <w:tab/>
            <w:t>Zusätzliche Maßnahmen für wichtige IT-Systeme</w:t>
            <w:tab/>
            <w:t>35</w:t>
          </w:r>
        </w:p>
        <w:p>
          <w:pPr>
            <w:pStyle w:val="TOC1"/>
            <w:tabs>
              <w:tab w:val="clear" w:pos="9062"/>
              <w:tab w:val="left" w:pos="426" w:leader="none"/>
              <w:tab w:val="right" w:pos="9071" w:leader="dot"/>
            </w:tabs>
            <w:rPr/>
          </w:pPr>
          <w:r>
            <w:rPr/>
            <w:t>14</w:t>
            <w:tab/>
            <w:t>Externe IT-Ressourcen</w:t>
            <w:tab/>
            <w:t>36</w:t>
          </w:r>
        </w:p>
        <w:p>
          <w:pPr>
            <w:pStyle w:val="TOC2"/>
            <w:tabs>
              <w:tab w:val="clear" w:pos="9062"/>
              <w:tab w:val="left" w:pos="567" w:leader="none"/>
              <w:tab w:val="right" w:pos="9071" w:leader="dot"/>
            </w:tabs>
            <w:rPr/>
          </w:pPr>
          <w:r>
            <w:rPr/>
            <w:t>14.1</w:t>
            <w:tab/>
            <w:t>Grundlagen</w:t>
            <w:tab/>
            <w:t>36</w:t>
          </w:r>
        </w:p>
        <w:p>
          <w:pPr>
            <w:pStyle w:val="TOC2"/>
            <w:tabs>
              <w:tab w:val="clear" w:pos="9062"/>
              <w:tab w:val="left" w:pos="567" w:leader="none"/>
              <w:tab w:val="right" w:pos="9071" w:leader="dot"/>
            </w:tabs>
            <w:rPr/>
          </w:pPr>
          <w:r>
            <w:rPr/>
            <w:t>14.2</w:t>
            <w:tab/>
            <w:t>IS-Richtlinie</w:t>
            <w:tab/>
            <w:t>36</w:t>
          </w:r>
        </w:p>
        <w:p>
          <w:pPr>
            <w:pStyle w:val="TOC2"/>
            <w:tabs>
              <w:tab w:val="clear" w:pos="9062"/>
              <w:tab w:val="left" w:pos="567" w:leader="none"/>
              <w:tab w:val="right" w:pos="9071" w:leader="dot"/>
            </w:tabs>
            <w:rPr/>
          </w:pPr>
          <w:r>
            <w:rPr/>
            <w:t>14.3</w:t>
            <w:tab/>
            <w:t>Vertragsgestaltung</w:t>
            <w:tab/>
            <w:t>36</w:t>
          </w:r>
        </w:p>
        <w:p>
          <w:pPr>
            <w:pStyle w:val="TOC2"/>
            <w:tabs>
              <w:tab w:val="clear" w:pos="9062"/>
              <w:tab w:val="left" w:pos="567" w:leader="none"/>
              <w:tab w:val="right" w:pos="9071" w:leader="dot"/>
            </w:tabs>
            <w:rPr/>
          </w:pPr>
          <w:r>
            <w:rPr/>
            <w:t>14.4</w:t>
            <w:tab/>
            <w:t>Zusätzliche Maßnahmen für wichtige externe IT-Ressourcen</w:t>
            <w:tab/>
            <w:t>36</w:t>
          </w:r>
        </w:p>
        <w:p>
          <w:pPr>
            <w:pStyle w:val="TOC3"/>
            <w:tabs>
              <w:tab w:val="clear" w:pos="9062"/>
              <w:tab w:val="left" w:pos="709" w:leader="none"/>
              <w:tab w:val="right" w:pos="9071" w:leader="dot"/>
            </w:tabs>
            <w:rPr/>
          </w:pPr>
          <w:r>
            <w:rPr/>
            <w:t>14.4.1</w:t>
            <w:tab/>
            <w:t>Vorbereitung</w:t>
            <w:tab/>
            <w:t>36</w:t>
          </w:r>
        </w:p>
        <w:p>
          <w:pPr>
            <w:pStyle w:val="TOC3"/>
            <w:tabs>
              <w:tab w:val="clear" w:pos="9062"/>
              <w:tab w:val="left" w:pos="709" w:leader="none"/>
              <w:tab w:val="right" w:pos="9071" w:leader="dot"/>
            </w:tabs>
            <w:rPr/>
          </w:pPr>
          <w:r>
            <w:rPr/>
            <w:t>14.4.2</w:t>
            <w:tab/>
            <w:t>Vertragsgestaltung</w:t>
            <w:tab/>
            <w:t>36</w:t>
          </w:r>
        </w:p>
        <w:p>
          <w:pPr>
            <w:pStyle w:val="TOC1"/>
            <w:tabs>
              <w:tab w:val="clear" w:pos="9062"/>
              <w:tab w:val="left" w:pos="426" w:leader="none"/>
              <w:tab w:val="right" w:pos="9071" w:leader="dot"/>
            </w:tabs>
            <w:rPr/>
          </w:pPr>
          <w:r>
            <w:rPr/>
            <w:t>15</w:t>
            <w:tab/>
            <w:t>Zugänge, Zugriffs- und Zutrittsrechte</w:t>
            <w:tab/>
            <w:t>37</w:t>
          </w:r>
        </w:p>
        <w:p>
          <w:pPr>
            <w:pStyle w:val="TOC2"/>
            <w:tabs>
              <w:tab w:val="clear" w:pos="9062"/>
              <w:tab w:val="left" w:pos="567" w:leader="none"/>
              <w:tab w:val="right" w:pos="9071" w:leader="dot"/>
            </w:tabs>
            <w:rPr/>
          </w:pPr>
          <w:r>
            <w:rPr/>
            <w:t>15.1</w:t>
            <w:tab/>
            <w:t>Grundlagen</w:t>
            <w:tab/>
            <w:t>37</w:t>
          </w:r>
        </w:p>
        <w:p>
          <w:pPr>
            <w:pStyle w:val="TOC2"/>
            <w:tabs>
              <w:tab w:val="clear" w:pos="9062"/>
              <w:tab w:val="left" w:pos="567" w:leader="none"/>
              <w:tab w:val="right" w:pos="9071" w:leader="dot"/>
            </w:tabs>
            <w:rPr/>
          </w:pPr>
          <w:r>
            <w:rPr/>
            <w:t>15.2</w:t>
            <w:tab/>
            <w:t>Verwaltung</w:t>
            <w:tab/>
            <w:t>37</w:t>
          </w:r>
        </w:p>
        <w:p>
          <w:pPr>
            <w:pStyle w:val="TOC2"/>
            <w:tabs>
              <w:tab w:val="clear" w:pos="9062"/>
              <w:tab w:val="left" w:pos="567" w:leader="none"/>
              <w:tab w:val="right" w:pos="9071" w:leader="dot"/>
            </w:tabs>
            <w:rPr/>
          </w:pPr>
          <w:r>
            <w:rPr/>
            <w:t>15.3</w:t>
            <w:tab/>
            <w:t>Zusätzliche Maßnahmen für kritische IT-Systeme und Informationen</w:t>
            <w:tab/>
            <w:t>38</w:t>
          </w:r>
        </w:p>
        <w:p>
          <w:pPr>
            <w:pStyle w:val="TOC1"/>
            <w:tabs>
              <w:tab w:val="clear" w:pos="9062"/>
              <w:tab w:val="left" w:pos="426" w:leader="none"/>
              <w:tab w:val="right" w:pos="9071" w:leader="dot"/>
            </w:tabs>
            <w:rPr/>
          </w:pPr>
          <w:r>
            <w:rPr/>
            <w:t>16</w:t>
            <w:tab/>
            <w:t>Datensicherung und -wiederherstellung</w:t>
            <w:tab/>
            <w:t>38</w:t>
          </w:r>
        </w:p>
        <w:p>
          <w:pPr>
            <w:pStyle w:val="TOC2"/>
            <w:tabs>
              <w:tab w:val="clear" w:pos="9062"/>
              <w:tab w:val="left" w:pos="567" w:leader="none"/>
              <w:tab w:val="right" w:pos="9071" w:leader="dot"/>
            </w:tabs>
            <w:rPr/>
          </w:pPr>
          <w:r>
            <w:rPr/>
            <w:t>16.1</w:t>
            <w:tab/>
            <w:t>Grundlagen</w:t>
            <w:tab/>
            <w:t>38</w:t>
          </w:r>
        </w:p>
        <w:p>
          <w:pPr>
            <w:pStyle w:val="TOC2"/>
            <w:tabs>
              <w:tab w:val="clear" w:pos="9062"/>
              <w:tab w:val="left" w:pos="567" w:leader="none"/>
              <w:tab w:val="right" w:pos="9071" w:leader="dot"/>
            </w:tabs>
            <w:rPr/>
          </w:pPr>
          <w:r>
            <w:rPr/>
            <w:t>16.2</w:t>
            <w:tab/>
            <w:t>Speicherorte</w:t>
            <w:tab/>
            <w:t>38</w:t>
          </w:r>
        </w:p>
        <w:p>
          <w:pPr>
            <w:pStyle w:val="TOC2"/>
            <w:tabs>
              <w:tab w:val="clear" w:pos="9062"/>
              <w:tab w:val="left" w:pos="567" w:leader="none"/>
              <w:tab w:val="right" w:pos="9071" w:leader="dot"/>
            </w:tabs>
            <w:rPr/>
          </w:pPr>
          <w:r>
            <w:rPr/>
            <w:t>16.3</w:t>
            <w:tab/>
            <w:t>Verfahren</w:t>
            <w:tab/>
            <w:t>38</w:t>
          </w:r>
        </w:p>
        <w:p>
          <w:pPr>
            <w:pStyle w:val="TOC2"/>
            <w:tabs>
              <w:tab w:val="clear" w:pos="9062"/>
              <w:tab w:val="left" w:pos="567" w:leader="none"/>
              <w:tab w:val="right" w:pos="9071" w:leader="dot"/>
            </w:tabs>
            <w:rPr/>
          </w:pPr>
          <w:r>
            <w:rPr/>
            <w:t>16.4</w:t>
            <w:tab/>
            <w:t>Weiterentwicklung</w:t>
            <w:tab/>
            <w:t>39</w:t>
          </w:r>
        </w:p>
        <w:p>
          <w:pPr>
            <w:pStyle w:val="TOC2"/>
            <w:tabs>
              <w:tab w:val="clear" w:pos="9062"/>
              <w:tab w:val="left" w:pos="567" w:leader="none"/>
              <w:tab w:val="right" w:pos="9071" w:leader="dot"/>
            </w:tabs>
            <w:rPr/>
          </w:pPr>
          <w:r>
            <w:rPr/>
            <w:t>16.5</w:t>
            <w:tab/>
            <w:t>Basisschutz</w:t>
            <w:tab/>
            <w:t>39</w:t>
          </w:r>
        </w:p>
        <w:p>
          <w:pPr>
            <w:pStyle w:val="TOC3"/>
            <w:tabs>
              <w:tab w:val="clear" w:pos="9062"/>
              <w:tab w:val="left" w:pos="709" w:leader="none"/>
              <w:tab w:val="right" w:pos="9071" w:leader="dot"/>
            </w:tabs>
            <w:rPr/>
          </w:pPr>
          <w:r>
            <w:rPr/>
            <w:t>16.5.1</w:t>
            <w:tab/>
            <w:t>Basisschutz-Maßnahmen</w:t>
            <w:tab/>
            <w:t>39</w:t>
          </w:r>
        </w:p>
        <w:p>
          <w:pPr>
            <w:pStyle w:val="TOC3"/>
            <w:tabs>
              <w:tab w:val="clear" w:pos="9062"/>
              <w:tab w:val="left" w:pos="709" w:leader="none"/>
              <w:tab w:val="right" w:pos="9071" w:leader="dot"/>
            </w:tabs>
            <w:rPr/>
          </w:pPr>
          <w:r>
            <w:rPr/>
            <w:t>16.5.2</w:t>
            <w:tab/>
            <w:t>IT-Systeme für die Datensicherung und -wiederherstellung</w:t>
            <w:tab/>
            <w:t>39</w:t>
          </w:r>
        </w:p>
        <w:p>
          <w:pPr>
            <w:pStyle w:val="TOC3"/>
            <w:tabs>
              <w:tab w:val="clear" w:pos="9062"/>
              <w:tab w:val="left" w:pos="709" w:leader="none"/>
              <w:tab w:val="right" w:pos="9071" w:leader="dot"/>
            </w:tabs>
            <w:rPr/>
          </w:pPr>
          <w:r>
            <w:rPr/>
            <w:t>16.5.3</w:t>
            <w:tab/>
            <w:t>Speicherorte</w:t>
            <w:tab/>
            <w:t>40</w:t>
          </w:r>
        </w:p>
        <w:p>
          <w:pPr>
            <w:pStyle w:val="TOC3"/>
            <w:tabs>
              <w:tab w:val="clear" w:pos="9062"/>
              <w:tab w:val="left" w:pos="709" w:leader="none"/>
              <w:tab w:val="right" w:pos="9071" w:leader="dot"/>
            </w:tabs>
            <w:rPr/>
          </w:pPr>
          <w:r>
            <w:rPr/>
            <w:t>16.5.4</w:t>
            <w:tab/>
            <w:t>Server</w:t>
            <w:tab/>
            <w:t>40</w:t>
          </w:r>
        </w:p>
        <w:p>
          <w:pPr>
            <w:pStyle w:val="TOC3"/>
            <w:tabs>
              <w:tab w:val="clear" w:pos="9062"/>
              <w:tab w:val="left" w:pos="709" w:leader="none"/>
              <w:tab w:val="right" w:pos="9071" w:leader="dot"/>
            </w:tabs>
            <w:rPr/>
          </w:pPr>
          <w:r>
            <w:rPr/>
            <w:t>16.5.5</w:t>
            <w:tab/>
            <w:t>Aktive Netzwerkkomponenten</w:t>
            <w:tab/>
            <w:t>40</w:t>
          </w:r>
        </w:p>
        <w:p>
          <w:pPr>
            <w:pStyle w:val="TOC3"/>
            <w:tabs>
              <w:tab w:val="clear" w:pos="9062"/>
              <w:tab w:val="left" w:pos="709" w:leader="none"/>
              <w:tab w:val="right" w:pos="9071" w:leader="dot"/>
            </w:tabs>
            <w:rPr/>
          </w:pPr>
          <w:r>
            <w:rPr/>
            <w:t>16.5.6</w:t>
            <w:tab/>
            <w:t>Mobile IT-Systeme</w:t>
            <w:tab/>
            <w:t>40</w:t>
          </w:r>
        </w:p>
        <w:p>
          <w:pPr>
            <w:pStyle w:val="TOC2"/>
            <w:tabs>
              <w:tab w:val="clear" w:pos="9062"/>
              <w:tab w:val="left" w:pos="567" w:leader="none"/>
              <w:tab w:val="right" w:pos="9071" w:leader="dot"/>
            </w:tabs>
            <w:rPr/>
          </w:pPr>
          <w:r>
            <w:rPr/>
            <w:t>16.6</w:t>
            <w:tab/>
            <w:t>Zusätzliche Maßnahmen für wichtige IT-Systeme</w:t>
            <w:tab/>
            <w:t>40</w:t>
          </w:r>
        </w:p>
        <w:p>
          <w:pPr>
            <w:pStyle w:val="TOC3"/>
            <w:tabs>
              <w:tab w:val="clear" w:pos="9062"/>
              <w:tab w:val="left" w:pos="709" w:leader="none"/>
              <w:tab w:val="right" w:pos="9071" w:leader="dot"/>
            </w:tabs>
            <w:rPr/>
          </w:pPr>
          <w:r>
            <w:rPr/>
            <w:t>16.6.1</w:t>
            <w:tab/>
            <w:t>Datensicherung</w:t>
            <w:tab/>
            <w:t>40</w:t>
          </w:r>
        </w:p>
        <w:p>
          <w:pPr>
            <w:pStyle w:val="TOC3"/>
            <w:tabs>
              <w:tab w:val="clear" w:pos="9062"/>
              <w:tab w:val="left" w:pos="709" w:leader="none"/>
              <w:tab w:val="right" w:pos="9071" w:leader="dot"/>
            </w:tabs>
            <w:rPr/>
          </w:pPr>
          <w:r>
            <w:rPr/>
            <w:t>16.6.2</w:t>
            <w:tab/>
            <w:t>Risikomanagement</w:t>
            <w:tab/>
            <w:t>40</w:t>
          </w:r>
        </w:p>
        <w:p>
          <w:pPr>
            <w:pStyle w:val="TOC3"/>
            <w:tabs>
              <w:tab w:val="clear" w:pos="9062"/>
              <w:tab w:val="left" w:pos="709" w:leader="none"/>
              <w:tab w:val="right" w:pos="9071" w:leader="dot"/>
            </w:tabs>
            <w:rPr/>
          </w:pPr>
          <w:r>
            <w:rPr/>
            <w:t>16.6.3</w:t>
            <w:tab/>
            <w:t>Verfahren</w:t>
            <w:tab/>
            <w:t>40</w:t>
          </w:r>
        </w:p>
        <w:p>
          <w:pPr>
            <w:pStyle w:val="TOC1"/>
            <w:tabs>
              <w:tab w:val="clear" w:pos="9062"/>
              <w:tab w:val="left" w:pos="426" w:leader="none"/>
              <w:tab w:val="right" w:pos="9071" w:leader="dot"/>
            </w:tabs>
            <w:rPr/>
          </w:pPr>
          <w:r>
            <w:rPr/>
            <w:t>17</w:t>
            <w:tab/>
            <w:t>Sicherheitsvorfälle</w:t>
            <w:tab/>
            <w:t>40</w:t>
          </w:r>
        </w:p>
        <w:p>
          <w:pPr>
            <w:pStyle w:val="TOC2"/>
            <w:tabs>
              <w:tab w:val="clear" w:pos="9062"/>
              <w:tab w:val="left" w:pos="567" w:leader="none"/>
              <w:tab w:val="right" w:pos="9071" w:leader="dot"/>
            </w:tabs>
            <w:rPr/>
          </w:pPr>
          <w:r>
            <w:rPr/>
            <w:t>17.1</w:t>
            <w:tab/>
            <w:t>Grundlagen</w:t>
            <w:tab/>
            <w:t>40</w:t>
          </w:r>
        </w:p>
        <w:p>
          <w:pPr>
            <w:pStyle w:val="TOC2"/>
            <w:tabs>
              <w:tab w:val="clear" w:pos="9062"/>
              <w:tab w:val="left" w:pos="567" w:leader="none"/>
              <w:tab w:val="right" w:pos="9071" w:leader="dot"/>
            </w:tabs>
            <w:rPr/>
          </w:pPr>
          <w:r>
            <w:rPr/>
            <w:t>17.2</w:t>
            <w:tab/>
            <w:t>IS-Richtlinie</w:t>
            <w:tab/>
            <w:t>40</w:t>
          </w:r>
        </w:p>
        <w:p>
          <w:pPr>
            <w:pStyle w:val="TOC2"/>
            <w:tabs>
              <w:tab w:val="clear" w:pos="9062"/>
              <w:tab w:val="left" w:pos="567" w:leader="none"/>
              <w:tab w:val="right" w:pos="9071" w:leader="dot"/>
            </w:tabs>
            <w:rPr/>
          </w:pPr>
          <w:r>
            <w:rPr/>
            <w:t>17.3</w:t>
            <w:tab/>
            <w:t>Erkennen</w:t>
            <w:tab/>
            <w:t>41</w:t>
          </w:r>
        </w:p>
        <w:p>
          <w:pPr>
            <w:pStyle w:val="TOC2"/>
            <w:tabs>
              <w:tab w:val="clear" w:pos="9062"/>
              <w:tab w:val="left" w:pos="567" w:leader="none"/>
              <w:tab w:val="right" w:pos="9071" w:leader="dot"/>
            </w:tabs>
            <w:rPr/>
          </w:pPr>
          <w:r>
            <w:rPr/>
            <w:t>17.4</w:t>
            <w:tab/>
            <w:t>Reaktion auf Sicherheitsvorfälle</w:t>
            <w:tab/>
            <w:t>41</w:t>
          </w:r>
        </w:p>
        <w:p>
          <w:pPr>
            <w:pStyle w:val="TOC2"/>
            <w:tabs>
              <w:tab w:val="clear" w:pos="9062"/>
              <w:tab w:val="left" w:pos="567" w:leader="none"/>
              <w:tab w:val="right" w:pos="9071" w:leader="dot"/>
            </w:tabs>
            <w:rPr/>
          </w:pPr>
          <w:r>
            <w:rPr/>
            <w:t>17.5</w:t>
            <w:tab/>
            <w:t>Vorbereitung auf den Ausfall wichtiger IT-Ressourcen</w:t>
            <w:tab/>
            <w:t>42</w:t>
          </w:r>
        </w:p>
        <w:p>
          <w:pPr>
            <w:pStyle w:val="TOC3"/>
            <w:tabs>
              <w:tab w:val="clear" w:pos="9062"/>
              <w:tab w:val="left" w:pos="709" w:leader="none"/>
              <w:tab w:val="right" w:pos="9071" w:leader="dot"/>
            </w:tabs>
            <w:rPr/>
          </w:pPr>
          <w:r>
            <w:rPr/>
            <w:t>17.5.1</w:t>
            <w:tab/>
            <w:t>Wiederanlaufpläne</w:t>
            <w:tab/>
            <w:t>42</w:t>
          </w:r>
        </w:p>
        <w:p>
          <w:pPr>
            <w:pStyle w:val="TOC3"/>
            <w:tabs>
              <w:tab w:val="clear" w:pos="9062"/>
              <w:tab w:val="left" w:pos="709" w:leader="none"/>
              <w:tab w:val="right" w:pos="9071" w:leader="dot"/>
            </w:tabs>
            <w:rPr/>
          </w:pPr>
          <w:r>
            <w:rPr/>
            <w:t>17.5.2</w:t>
            <w:tab/>
            <w:t>Abhängigkeiten</w:t>
            <w:tab/>
            <w:t>43</w:t>
          </w:r>
        </w:p>
        <w:p>
          <w:pPr>
            <w:pStyle w:val="TOC1"/>
            <w:tabs>
              <w:tab w:val="clear" w:pos="9062"/>
              <w:tab w:val="left" w:pos="426" w:leader="none"/>
              <w:tab w:val="right" w:pos="9071" w:leader="dot"/>
            </w:tabs>
            <w:rPr/>
          </w:pPr>
          <w:r>
            <w:rPr/>
            <w:t>18</w:t>
            <w:tab/>
            <w:t>IT-Krisen</w:t>
            <w:tab/>
            <w:t>43</w:t>
          </w:r>
        </w:p>
        <w:p>
          <w:pPr>
            <w:pStyle w:val="TOC2"/>
            <w:tabs>
              <w:tab w:val="clear" w:pos="9062"/>
              <w:tab w:val="left" w:pos="567" w:leader="none"/>
              <w:tab w:val="right" w:pos="9071" w:leader="dot"/>
            </w:tabs>
            <w:rPr/>
          </w:pPr>
          <w:r>
            <w:rPr/>
            <w:t>18.1</w:t>
            <w:tab/>
            <w:t>Grundlagen</w:t>
            <w:tab/>
            <w:t>43</w:t>
          </w:r>
        </w:p>
        <w:p>
          <w:pPr>
            <w:pStyle w:val="TOC2"/>
            <w:tabs>
              <w:tab w:val="clear" w:pos="9062"/>
              <w:tab w:val="left" w:pos="567" w:leader="none"/>
              <w:tab w:val="right" w:pos="9071" w:leader="dot"/>
            </w:tabs>
            <w:rPr/>
          </w:pPr>
          <w:r>
            <w:rPr/>
            <w:t>18.2</w:t>
            <w:tab/>
            <w:t>IS-Richtlinie</w:t>
            <w:tab/>
            <w:t>43</w:t>
          </w:r>
        </w:p>
        <w:p>
          <w:pPr>
            <w:pStyle w:val="TOC2"/>
            <w:tabs>
              <w:tab w:val="clear" w:pos="9062"/>
              <w:tab w:val="left" w:pos="567" w:leader="none"/>
              <w:tab w:val="right" w:pos="9071" w:leader="dot"/>
            </w:tabs>
            <w:rPr/>
          </w:pPr>
          <w:r>
            <w:rPr/>
            <w:t>18.3</w:t>
            <w:tab/>
            <w:t>IT-Krisenplan</w:t>
            <w:tab/>
            <w:t>43</w:t>
          </w:r>
        </w:p>
        <w:p>
          <w:pPr>
            <w:pStyle w:val="TOC2"/>
            <w:tabs>
              <w:tab w:val="clear" w:pos="9062"/>
              <w:tab w:val="left" w:pos="567" w:leader="none"/>
              <w:tab w:val="right" w:pos="9071" w:leader="dot"/>
            </w:tabs>
            <w:rPr/>
          </w:pPr>
          <w:r>
            <w:rPr/>
            <w:t>18.4</w:t>
            <w:tab/>
            <w:t>Vorbereitung auf IT-Krisen</w:t>
            <w:tab/>
            <w:t>44</w:t>
          </w:r>
        </w:p>
        <w:p>
          <w:pPr>
            <w:pStyle w:val="TOC2"/>
            <w:tabs>
              <w:tab w:val="clear" w:pos="9062"/>
              <w:tab w:val="left" w:pos="567" w:leader="none"/>
              <w:tab w:val="right" w:pos="9071" w:leader="dot"/>
            </w:tabs>
            <w:rPr/>
          </w:pPr>
          <w:r>
            <w:rPr/>
            <w:t>18.5</w:t>
            <w:tab/>
            <w:t>Gesicherte Kommunikation</w:t>
            <w:tab/>
            <w:t>44</w:t>
          </w:r>
        </w:p>
        <w:p>
          <w:pPr>
            <w:pStyle w:val="TOC1"/>
            <w:tabs>
              <w:tab w:val="clear" w:pos="9062"/>
              <w:tab w:val="left" w:pos="426" w:leader="none"/>
              <w:tab w:val="right" w:pos="9071" w:leader="dot"/>
            </w:tabs>
            <w:rPr/>
          </w:pPr>
          <w:r>
            <w:rPr/>
            <w:t>19</w:t>
            <w:tab/>
            <w:t>Überwachung und Steuerung</w:t>
            <w:tab/>
            <w:t>45</w:t>
          </w:r>
        </w:p>
        <w:p>
          <w:pPr>
            <w:pStyle w:val="TOC2"/>
            <w:tabs>
              <w:tab w:val="clear" w:pos="9062"/>
              <w:tab w:val="left" w:pos="567" w:leader="none"/>
              <w:tab w:val="right" w:pos="9071" w:leader="dot"/>
            </w:tabs>
            <w:rPr/>
          </w:pPr>
          <w:r>
            <w:rPr/>
            <w:t>19.1</w:t>
            <w:tab/>
            <w:t>Grundlagen</w:t>
            <w:tab/>
            <w:t>45</w:t>
          </w:r>
        </w:p>
        <w:p>
          <w:pPr>
            <w:pStyle w:val="TOC2"/>
            <w:tabs>
              <w:tab w:val="clear" w:pos="9062"/>
              <w:tab w:val="left" w:pos="567" w:leader="none"/>
              <w:tab w:val="right" w:pos="9071" w:leader="dot"/>
            </w:tabs>
            <w:rPr/>
          </w:pPr>
          <w:r>
            <w:rPr/>
            <w:t>19.2</w:t>
            <w:tab/>
            <w:t>Kennzahlen</w:t>
            <w:tab/>
            <w:t>45</w:t>
          </w:r>
        </w:p>
        <w:p>
          <w:pPr>
            <w:pStyle w:val="TOC1"/>
            <w:tabs>
              <w:tab w:val="clear" w:pos="9062"/>
              <w:tab w:val="left" w:pos="426" w:leader="none"/>
              <w:tab w:val="right" w:pos="9071" w:leader="dot"/>
            </w:tabs>
            <w:rPr/>
          </w:pPr>
          <w:r>
            <w:rPr/>
            <w:t>20</w:t>
            <w:tab/>
            <w:t>Kryptografie</w:t>
            <w:tab/>
            <w:t>45</w:t>
          </w:r>
        </w:p>
        <w:p>
          <w:pPr>
            <w:pStyle w:val="TOC2"/>
            <w:tabs>
              <w:tab w:val="clear" w:pos="9062"/>
              <w:tab w:val="left" w:pos="567" w:leader="none"/>
              <w:tab w:val="right" w:pos="9071" w:leader="dot"/>
            </w:tabs>
            <w:rPr/>
          </w:pPr>
          <w:r>
            <w:rPr/>
            <w:t>20.1</w:t>
            <w:tab/>
            <w:t>Grundlagen</w:t>
            <w:tab/>
            <w:t>45</w:t>
          </w:r>
        </w:p>
        <w:p>
          <w:pPr>
            <w:pStyle w:val="TOC2"/>
            <w:tabs>
              <w:tab w:val="clear" w:pos="9062"/>
              <w:tab w:val="left" w:pos="567" w:leader="none"/>
              <w:tab w:val="right" w:pos="9071" w:leader="dot"/>
            </w:tabs>
            <w:rPr/>
          </w:pPr>
          <w:r>
            <w:rPr/>
            <w:t>20.2</w:t>
            <w:tab/>
            <w:t>Basisschutz</w:t>
            <w:tab/>
            <w:t>45</w:t>
          </w:r>
        </w:p>
        <w:p>
          <w:pPr>
            <w:pStyle w:val="TOC3"/>
            <w:tabs>
              <w:tab w:val="clear" w:pos="9062"/>
              <w:tab w:val="left" w:pos="709" w:leader="none"/>
              <w:tab w:val="right" w:pos="9071" w:leader="dot"/>
            </w:tabs>
            <w:rPr/>
          </w:pPr>
          <w:r>
            <w:rPr/>
            <w:t>20.2.1</w:t>
            <w:tab/>
            <w:t>Auswahl und Konfiguration</w:t>
            <w:tab/>
            <w:t>46</w:t>
          </w:r>
        </w:p>
        <w:p>
          <w:pPr>
            <w:pStyle w:val="TOC3"/>
            <w:tabs>
              <w:tab w:val="clear" w:pos="9062"/>
              <w:tab w:val="left" w:pos="709" w:leader="none"/>
              <w:tab w:val="right" w:pos="9071" w:leader="dot"/>
            </w:tabs>
            <w:rPr/>
          </w:pPr>
          <w:r>
            <w:rPr/>
            <w:t>20.2.2</w:t>
            <w:tab/>
            <w:t>Schlüsselmanagement</w:t>
            <w:tab/>
            <w:t>46</w:t>
          </w:r>
        </w:p>
        <w:p>
          <w:pPr>
            <w:pStyle w:val="TOC3"/>
            <w:tabs>
              <w:tab w:val="clear" w:pos="9062"/>
              <w:tab w:val="left" w:pos="709" w:leader="none"/>
              <w:tab w:val="right" w:pos="9071" w:leader="dot"/>
            </w:tabs>
            <w:rPr/>
          </w:pPr>
          <w:r>
            <w:rPr/>
            <w:t>20.2.3</w:t>
            <w:tab/>
            <w:t>Verbesserung</w:t>
            <w:tab/>
            <w:t>46</w:t>
          </w:r>
        </w:p>
        <w:p>
          <w:pPr>
            <w:pStyle w:val="TOC2"/>
            <w:tabs>
              <w:tab w:val="clear" w:pos="9062"/>
              <w:tab w:val="left" w:pos="567" w:leader="none"/>
              <w:tab w:val="right" w:pos="9071" w:leader="dot"/>
            </w:tabs>
            <w:rPr/>
          </w:pPr>
          <w:r>
            <w:rPr/>
            <w:t>20.3</w:t>
            <w:tab/>
            <w:t>Kritische Informationen</w:t>
            <w:tab/>
            <w:t>46</w:t>
          </w:r>
        </w:p>
        <w:p>
          <w:pPr>
            <w:pStyle w:val="TOC1"/>
            <w:tabs>
              <w:tab w:val="clear" w:pos="9062"/>
              <w:tab w:val="left" w:pos="426" w:leader="none"/>
              <w:tab w:val="right" w:pos="9071" w:leader="dot"/>
            </w:tabs>
            <w:rPr/>
          </w:pPr>
          <w:r>
            <w:rPr/>
            <w:t>21</w:t>
            <w:tab/>
            <w:t>Entwicklungen</w:t>
            <w:tab/>
            <w:t>47</w:t>
          </w:r>
        </w:p>
        <w:p>
          <w:pPr>
            <w:pStyle w:val="TOC2"/>
            <w:tabs>
              <w:tab w:val="clear" w:pos="9062"/>
              <w:tab w:val="left" w:pos="567" w:leader="none"/>
              <w:tab w:val="right" w:pos="9071" w:leader="dot"/>
            </w:tabs>
            <w:rPr/>
          </w:pPr>
          <w:r>
            <w:rPr/>
            <w:t>21.1</w:t>
            <w:tab/>
            <w:t>Grundlagen</w:t>
            <w:tab/>
            <w:t>47</w:t>
          </w:r>
        </w:p>
        <w:p>
          <w:pPr>
            <w:pStyle w:val="TOC2"/>
            <w:tabs>
              <w:tab w:val="clear" w:pos="9062"/>
              <w:tab w:val="left" w:pos="567" w:leader="none"/>
              <w:tab w:val="right" w:pos="9071" w:leader="dot"/>
            </w:tabs>
            <w:rPr/>
          </w:pPr>
          <w:r>
            <w:rPr/>
            <w:t>21.2</w:t>
            <w:tab/>
            <w:t>Generelle Anforderungen</w:t>
            <w:tab/>
            <w:t>47</w:t>
          </w:r>
        </w:p>
        <w:p>
          <w:pPr>
            <w:pStyle w:val="TOC2"/>
            <w:tabs>
              <w:tab w:val="clear" w:pos="9062"/>
              <w:tab w:val="left" w:pos="567" w:leader="none"/>
              <w:tab w:val="right" w:pos="9071" w:leader="dot"/>
            </w:tabs>
            <w:rPr/>
          </w:pPr>
          <w:r>
            <w:rPr/>
            <w:t>21.3</w:t>
            <w:tab/>
          </w:r>
          <w:r>
            <w:rPr>
              <w:i w:val="false"/>
              <w:iCs w:val="false"/>
            </w:rPr>
            <w:t>Entwicklung von Software</w:t>
          </w:r>
          <w:r>
            <w:rPr/>
            <w:tab/>
            <w:t>47</w:t>
          </w:r>
        </w:p>
        <w:p>
          <w:pPr>
            <w:pStyle w:val="TOC6"/>
            <w:tabs>
              <w:tab w:val="clear" w:pos="9062"/>
              <w:tab w:val="left" w:pos="1134" w:leader="none"/>
              <w:tab w:val="right" w:pos="9071" w:leader="dot"/>
            </w:tabs>
            <w:rPr/>
          </w:pPr>
          <w:r>
            <w:rPr/>
            <w:t>Anhang A</w:t>
            <w:tab/>
            <w:t>Verfahren und Risikomanagement</w:t>
            <w:tab/>
            <w:t>48</w:t>
          </w:r>
        </w:p>
        <w:p>
          <w:pPr>
            <w:pStyle w:val="TOC7"/>
            <w:tabs>
              <w:tab w:val="clear" w:pos="9062"/>
              <w:tab w:val="left" w:pos="567" w:leader="none"/>
              <w:tab w:val="right" w:pos="9071" w:leader="dot"/>
            </w:tabs>
            <w:rPr/>
          </w:pPr>
          <w:r>
            <w:rPr/>
            <w:t>A.1</w:t>
            <w:tab/>
            <w:t>Verfahren</w:t>
            <w:tab/>
            <w:t>48</w:t>
          </w:r>
        </w:p>
        <w:p>
          <w:pPr>
            <w:pStyle w:val="TOC7"/>
            <w:tabs>
              <w:tab w:val="clear" w:pos="9062"/>
              <w:tab w:val="left" w:pos="567" w:leader="none"/>
              <w:tab w:val="right" w:pos="9071" w:leader="dot"/>
            </w:tabs>
            <w:rPr/>
          </w:pPr>
          <w:r>
            <w:rPr/>
            <w:t>A.2</w:t>
            <w:tab/>
            <w:t>Risikomanagement</w:t>
            <w:tab/>
            <w:t>48</w:t>
          </w:r>
        </w:p>
        <w:p>
          <w:pPr>
            <w:pStyle w:val="TOC8"/>
            <w:tabs>
              <w:tab w:val="clear" w:pos="9062"/>
              <w:tab w:val="left" w:pos="709" w:leader="none"/>
              <w:tab w:val="right" w:pos="9071" w:leader="dot"/>
            </w:tabs>
            <w:rPr/>
          </w:pPr>
          <w:r>
            <w:rPr/>
            <w:t>A.2.1</w:t>
            <w:tab/>
            <w:t>Definitionen und Analysen</w:t>
            <w:tab/>
            <w:t>48</w:t>
          </w:r>
        </w:p>
        <w:p>
          <w:pPr>
            <w:pStyle w:val="TOC8"/>
            <w:tabs>
              <w:tab w:val="clear" w:pos="9062"/>
              <w:tab w:val="left" w:pos="709" w:leader="none"/>
              <w:tab w:val="right" w:pos="9071" w:leader="dot"/>
            </w:tabs>
            <w:rPr/>
          </w:pPr>
          <w:r>
            <w:rPr/>
            <w:t>A.2.2</w:t>
            <w:tab/>
            <w:t>Methodik</w:t>
            <w:tab/>
            <w:t>48</w:t>
          </w:r>
        </w:p>
        <w:p>
          <w:pPr>
            <w:pStyle w:val="TOC8"/>
            <w:tabs>
              <w:tab w:val="clear" w:pos="9062"/>
              <w:tab w:val="left" w:pos="709" w:leader="none"/>
              <w:tab w:val="right" w:pos="9071" w:leader="dot"/>
            </w:tabs>
            <w:rPr/>
          </w:pPr>
          <w:r>
            <w:rPr/>
            <w:t>A.2.3</w:t>
            <w:tab/>
            <w:t>Risikoidentifikation</w:t>
            <w:tab/>
            <w:t>48</w:t>
          </w:r>
        </w:p>
        <w:p>
          <w:pPr>
            <w:pStyle w:val="TOC8"/>
            <w:tabs>
              <w:tab w:val="clear" w:pos="9062"/>
              <w:tab w:val="left" w:pos="709" w:leader="none"/>
              <w:tab w:val="right" w:pos="9071" w:leader="dot"/>
            </w:tabs>
            <w:rPr/>
          </w:pPr>
          <w:r>
            <w:rPr/>
            <w:t>A.2.4</w:t>
            <w:tab/>
            <w:t>Risikoanalyse</w:t>
            <w:tab/>
            <w:t>49</w:t>
          </w:r>
        </w:p>
        <w:p>
          <w:pPr>
            <w:pStyle w:val="TOC8"/>
            <w:tabs>
              <w:tab w:val="clear" w:pos="9062"/>
              <w:tab w:val="left" w:pos="709" w:leader="none"/>
              <w:tab w:val="right" w:pos="9071" w:leader="dot"/>
            </w:tabs>
            <w:rPr/>
          </w:pPr>
          <w:r>
            <w:rPr/>
            <w:t>A.2.5</w:t>
            <w:tab/>
            <w:t>Risikobehandlung</w:t>
            <w:tab/>
            <w:t>49</w:t>
          </w:r>
        </w:p>
        <w:p>
          <w:pPr>
            <w:pStyle w:val="TOC8"/>
            <w:tabs>
              <w:tab w:val="clear" w:pos="9062"/>
              <w:tab w:val="left" w:pos="709" w:leader="none"/>
              <w:tab w:val="right" w:pos="9071" w:leader="dot"/>
            </w:tabs>
            <w:rPr/>
          </w:pPr>
          <w:r>
            <w:rPr/>
            <w:t>A.2.6</w:t>
            <w:tab/>
            <w:t>Wiederholung und Anpassung</w:t>
            <w:tab/>
            <w:t>49</w:t>
          </w:r>
          <w:r>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413808700"/>
      <w:bookmarkStart w:id="6" w:name="_Toc413809510"/>
      <w:bookmarkStart w:id="7" w:name="_Toc413073863"/>
      <w:bookmarkStart w:id="8" w:name="_Toc178588044"/>
      <w:bookmarkStart w:id="9" w:name="_Toc414354570"/>
      <w:bookmarkStart w:id="10" w:name="_Toc178761299"/>
      <w:bookmarkStart w:id="11" w:name="_Toc187327020"/>
      <w:bookmarkStart w:id="12" w:name="_Toc414345060"/>
      <w:bookmarkStart w:id="13" w:name="_Toc409684807"/>
      <w:bookmarkStart w:id="14" w:name="_Toc413143655"/>
      <w:bookmarkStart w:id="15" w:name="_Ref184204200"/>
      <w:bookmarkStart w:id="16" w:name="_Toc531165009"/>
      <w:bookmarkStart w:id="17" w:name="_Toc12164565"/>
      <w:bookmarkEnd w:id="3"/>
      <w:bookmarkEnd w:id="4"/>
      <w:bookmarkEnd w:id="5"/>
      <w:bookmarkEnd w:id="6"/>
      <w:bookmarkEnd w:id="7"/>
      <w:bookmarkEnd w:id="9"/>
      <w:bookmarkEnd w:id="12"/>
      <w:bookmarkEnd w:id="13"/>
      <w:bookmarkEnd w:id="14"/>
      <w:bookmarkEnd w:id="17"/>
      <w:r>
        <w:rPr>
          <w:lang w:val="de-DE"/>
        </w:rPr>
        <w:t>Allgemeines</w:t>
      </w:r>
      <w:bookmarkEnd w:id="8"/>
      <w:bookmarkEnd w:id="10"/>
      <w:bookmarkEnd w:id="11"/>
      <w:bookmarkEnd w:id="15"/>
      <w:bookmarkEnd w:id="16"/>
    </w:p>
    <w:p>
      <w:pPr>
        <w:pStyle w:val="Heading2"/>
        <w:ind w:hanging="0" w:left="0"/>
        <w:rPr>
          <w:lang w:val="de-DE"/>
        </w:rPr>
      </w:pPr>
      <w:bookmarkStart w:id="18" w:name="__RefHeading___Toc31908_2021121348"/>
      <w:bookmarkStart w:id="19" w:name="_Toc187327021"/>
      <w:bookmarkStart w:id="20" w:name="_Toc413143656"/>
      <w:bookmarkStart w:id="21" w:name="_Ref184204232"/>
      <w:bookmarkStart w:id="22" w:name="_Toc178761300"/>
      <w:bookmarkEnd w:id="18"/>
      <w:bookmarkEnd w:id="20"/>
      <w:r>
        <w:rPr>
          <w:lang w:val="de-DE"/>
        </w:rPr>
        <w:t>Einleitung</w:t>
      </w:r>
      <w:bookmarkEnd w:id="19"/>
      <w:bookmarkEnd w:id="21"/>
      <w:bookmarkEnd w:id="22"/>
    </w:p>
    <w:p>
      <w:pPr>
        <w:pStyle w:val="Normal"/>
        <w:rPr>
          <w:lang w:val="de-DE"/>
        </w:rPr>
      </w:pPr>
      <w:r>
        <w:rPr/>
        <w:t xml:space="preserve">Mit den gesetzlichen Regelungen zu NIS-2 geht eine erweiterte Reichweite des Anwendungsbereichs sowie deutlich erhöhte Anforderungen gegenüber bisherigen Regelungen </w:t>
      </w:r>
      <w:ins w:id="0" w:author="Mark Semmler" w:date="2026-01-10T14:46:42Z">
        <w:r>
          <w:rPr/>
          <w:t xml:space="preserve">zur Informationssicherheit </w:t>
        </w:r>
      </w:ins>
      <w:r>
        <w:rPr/>
        <w:t xml:space="preserve">einher. In der Folge </w:t>
      </w:r>
      <w:ins w:id="1" w:author="Mark Semmler" w:date="2026-01-10T14:46:42Z">
        <w:r>
          <w:rPr/>
          <w:t>sind</w:t>
        </w:r>
      </w:ins>
      <w:del w:id="2" w:author="Mark Semmler" w:date="2026-01-10T14:46:42Z">
        <w:r>
          <w:rPr/>
          <w:delText>sehen sich</w:delText>
        </w:r>
      </w:del>
      <w:r>
        <w:rPr/>
        <w:t xml:space="preserve">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78588045"/>
      <w:bookmarkStart w:id="25" w:name="_Toc187327022"/>
      <w:bookmarkStart w:id="26" w:name="rl%2525252525252525252525252525252525252"/>
      <w:bookmarkStart w:id="27" w:name="rl%2525252525252525252525252525252525251"/>
      <w:bookmarkStart w:id="28" w:name="_Ref184204245"/>
      <w:bookmarkStart w:id="29" w:name="_Toc530662875"/>
      <w:bookmarkStart w:id="30" w:name="_Toc531165010"/>
      <w:bookmarkStart w:id="31" w:name="del_3del_2_anwendungshinweise"/>
      <w:bookmarkStart w:id="32" w:name="_Toc178761301"/>
      <w:bookmarkEnd w:id="23"/>
      <w:bookmarkEnd w:id="26"/>
      <w:bookmarkEnd w:id="27"/>
      <w:r>
        <w:rPr>
          <w:lang w:val="de-DE"/>
        </w:rPr>
        <w:t>Anwendungshinweise</w:t>
      </w:r>
      <w:bookmarkEnd w:id="24"/>
      <w:bookmarkEnd w:id="25"/>
      <w:bookmarkEnd w:id="28"/>
      <w:bookmarkEnd w:id="29"/>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ins w:id="3" w:author="Mark Semmler" w:date="2026-01-10T14:46:42Z">
        <w:r>
          <w:rPr>
            <w:shd w:fill="EEEEEE" w:val="clear"/>
            <w:lang w:val="de-DE"/>
          </w:rPr>
        </w:r>
      </w:ins>
      <w:commentRangeEnd w:id="0"/>
      <w:r>
        <w:commentReference w:id="0"/>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178588046"/>
      <w:bookmarkStart w:id="37" w:name="_Toc530662876"/>
      <w:bookmarkStart w:id="38" w:name="_Toc178761302"/>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 xml:space="preserve">Die Richtlinien </w:t>
      </w:r>
      <w:ins w:id="4" w:author="Mark Semmler" w:date="2026-01-10T14:46:42Z">
        <w:r>
          <w:rPr>
            <w:lang w:val="de-DE"/>
          </w:rPr>
          <w:t>DÜRFEN</w:t>
        </w:r>
      </w:ins>
      <w:del w:id="5" w:author="Mark Semmler" w:date="2026-01-10T14:46:42Z">
        <w:r>
          <w:rPr>
            <w:lang w:val="de-DE"/>
          </w:rPr>
          <w:delText>KÖNNEN</w:delText>
        </w:r>
      </w:del>
      <w:r>
        <w:rPr>
          <w:lang w:val="de-DE"/>
        </w:rPr>
        <w:t xml:space="preserve"> NICHT als ausreichend für die Umsetzung der Anforderungen an Betreiber </w:t>
      </w:r>
      <w:ins w:id="6" w:author="Mark Semmler" w:date="2026-01-10T14:46:42Z">
        <w:r>
          <w:rPr>
            <w:lang w:val="de-DE"/>
          </w:rPr>
          <w:t>kritischer</w:t>
        </w:r>
      </w:ins>
      <w:del w:id="7" w:author="Mark Semmler" w:date="2026-01-10T14:46:42Z">
        <w:r>
          <w:rPr>
            <w:lang w:val="de-DE"/>
          </w:rPr>
          <w:delText>Kritischer</w:delText>
        </w:r>
      </w:del>
      <w:r>
        <w:rPr>
          <w:lang w:val="de-DE"/>
        </w:rPr>
        <w:t xml:space="preserve">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w:t>
      </w:r>
      <w:ins w:id="8" w:author="Mark Semmler" w:date="2026-01-10T14:46:42Z">
        <w:r>
          <w:rPr>
            <w:rFonts w:eastAsia="Arial" w:cs="DejaVu Sans"/>
            <w:color w:val="auto"/>
            <w:kern w:val="0"/>
            <w:sz w:val="20"/>
            <w:szCs w:val="22"/>
            <w:lang w:val="de-DE" w:eastAsia="en-US" w:bidi="ar-SA"/>
          </w:rPr>
          <w:t> </w:t>
        </w:r>
      </w:ins>
      <w:del w:id="9" w:author="Mark Semmler" w:date="2026-01-10T14:46:42Z">
        <w:r>
          <w:rPr>
            <w:rFonts w:eastAsia="Arial" w:cs="DejaVu Sans"/>
            <w:color w:val="auto"/>
            <w:kern w:val="0"/>
            <w:sz w:val="20"/>
            <w:szCs w:val="22"/>
            <w:lang w:val="de-DE" w:eastAsia="en-US" w:bidi="ar-SA"/>
          </w:rPr>
          <w:delText xml:space="preserve"> </w:delText>
        </w:r>
      </w:del>
      <w:r>
        <w:rPr>
          <w:rFonts w:eastAsia="Arial" w:cs="DejaVu Sans"/>
          <w:color w:val="auto"/>
          <w:kern w:val="0"/>
          <w:sz w:val="20"/>
          <w:szCs w:val="22"/>
          <w:lang w:val="de-DE" w:eastAsia="en-US" w:bidi="ar-SA"/>
        </w:rPr>
        <w:t>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del w:id="10" w:author="Mark Semmler" w:date="2026-01-10T14:46:42Z">
        <w:r>
          <w:rPr>
            <w:lang w:val="de-DE"/>
          </w:rPr>
          <w:delText xml:space="preserve"> </w:delText>
        </w:r>
      </w:del>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Es wird geprüft, ob die Organisation als „wichtige“ oder „</w:t>
      </w:r>
      <w:del w:id="11" w:author="Mark Semmler" w:date="2026-01-10T14:09:57Z">
        <w:r>
          <w:rPr>
            <w:lang w:val="de-DE"/>
          </w:rPr>
          <w:delText>sehr</w:delText>
        </w:r>
      </w:del>
      <w:ins w:id="12" w:author="Mark Semmler" w:date="2026-01-10T14:09:57Z">
        <w:r>
          <w:rPr>
            <w:lang w:val="de-DE"/>
          </w:rPr>
          <w:t>besonders</w:t>
        </w:r>
      </w:ins>
      <w:del w:id="13" w:author="Mark Semmler" w:date="2026-01-10T14:46:42Z">
        <w:r>
          <w:rPr>
            <w:lang w:val="de-DE"/>
          </w:rPr>
          <w:delText>sehr</w:delText>
        </w:r>
      </w:del>
      <w:r>
        <w:rPr>
          <w:lang w:val="de-DE"/>
        </w:rPr>
        <w:t xml:space="preserve">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 a. die entsprechende vom BSI zur Verfügung gestellte Betroffenheitsprüfung genutzt werden.</w:t>
      </w:r>
    </w:p>
    <w:p>
      <w:pPr>
        <w:pStyle w:val="Normal"/>
        <w:numPr>
          <w:ilvl w:val="0"/>
          <w:numId w:val="80"/>
        </w:numPr>
        <w:rPr>
          <w:lang w:val="de-DE"/>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lang w:val="de-DE"/>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178588047"/>
      <w:bookmarkStart w:id="42" w:name="_Toc187327024"/>
      <w:bookmarkStart w:id="43" w:name="del_4del_3_gueltigkeit"/>
      <w:bookmarkStart w:id="44" w:name="_Toc531165012"/>
      <w:bookmarkStart w:id="45" w:name="_Toc530662877"/>
      <w:bookmarkStart w:id="46" w:name="rl%2525252525252525252525252525252525253"/>
      <w:bookmarkStart w:id="47" w:name="_Toc178761303"/>
      <w:bookmarkEnd w:id="40"/>
      <w:bookmarkEnd w:id="46"/>
      <w:r>
        <w:rPr>
          <w:lang w:val="de-DE"/>
        </w:rPr>
        <w:t>Gültigkeit</w:t>
      </w:r>
      <w:bookmarkEnd w:id="41"/>
      <w:bookmarkEnd w:id="42"/>
      <w:bookmarkEnd w:id="43"/>
      <w:bookmarkEnd w:id="44"/>
      <w:bookmarkEnd w:id="45"/>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530662878"/>
      <w:bookmarkStart w:id="50" w:name="_Toc531165013"/>
      <w:bookmarkStart w:id="51" w:name="_Toc178761304"/>
      <w:bookmarkStart w:id="52" w:name="normative_verweise"/>
      <w:bookmarkStart w:id="53" w:name="_Toc178588048"/>
      <w:bookmarkStart w:id="54" w:name="_Toc187327025"/>
      <w:bookmarkStart w:id="55" w:name="_Ref184204270"/>
      <w:bookmarkEnd w:id="48"/>
      <w:r>
        <w:rPr>
          <w:lang w:val="de-DE"/>
        </w:rPr>
        <w:t>Verweisunge</w:t>
      </w:r>
      <w:bookmarkEnd w:id="49"/>
      <w:bookmarkEnd w:id="50"/>
      <w:bookmarkEnd w:id="51"/>
      <w:bookmarkEnd w:id="52"/>
      <w:bookmarkEnd w:id="53"/>
      <w:bookmarkEnd w:id="55"/>
      <w:r>
        <w:rPr>
          <w:lang w:val="de-DE"/>
        </w:rPr>
        <w:t>n</w:t>
      </w:r>
      <w:bookmarkEnd w:id="54"/>
    </w:p>
    <w:p>
      <w:pPr>
        <w:pStyle w:val="Heading2"/>
        <w:ind w:hanging="0" w:left="0"/>
        <w:rPr>
          <w:lang w:val="de-DE"/>
        </w:rPr>
      </w:pPr>
      <w:bookmarkStart w:id="56" w:name="__RefHeading___Toc31918_2021121348_Copy_"/>
      <w:bookmarkStart w:id="57" w:name="_Toc178588048_Copy_1"/>
      <w:bookmarkStart w:id="58" w:name="_Ref184204270_Copy_1"/>
      <w:bookmarkStart w:id="59" w:name="normative_verweise_Copy_1"/>
      <w:bookmarkStart w:id="60" w:name="_Toc178761304_Copy_1"/>
      <w:bookmarkStart w:id="61" w:name="_Toc531165013_Copy_1"/>
      <w:bookmarkStart w:id="62" w:name="_Toc187327025_Copy_1"/>
      <w:bookmarkStart w:id="63" w:name="rl%2525252525252525252525252525252525254"/>
      <w:bookmarkStart w:id="64" w:name="_Toc530662878_Copy_1"/>
      <w:bookmarkEnd w:id="56"/>
      <w:bookmarkEnd w:id="63"/>
      <w:r>
        <w:rPr>
          <w:lang w:val="de-DE"/>
        </w:rPr>
        <w:t>Normative Verweisunge</w:t>
      </w:r>
      <w:bookmarkEnd w:id="57"/>
      <w:bookmarkEnd w:id="58"/>
      <w:bookmarkEnd w:id="59"/>
      <w:bookmarkEnd w:id="60"/>
      <w:bookmarkEnd w:id="61"/>
      <w:bookmarkEnd w:id="64"/>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w:t>
      </w:r>
      <w:ins w:id="14" w:author="Mark Semmler" w:date="2026-01-10T14:46:42Z">
        <w:r>
          <w:rPr>
            <w:b/>
            <w:shd w:fill="EEEEEE" w:val="clear"/>
            <w:lang w:val="de-DE"/>
          </w:rPr>
          <w:t> </w:t>
        </w:r>
      </w:ins>
      <w:del w:id="15" w:author="Mark Semmler" w:date="2026-01-10T14:46:42Z">
        <w:r>
          <w:rPr>
            <w:b/>
            <w:shd w:fill="EEEEEE" w:val="clear"/>
            <w:lang w:val="de-DE"/>
          </w:rPr>
          <w:delText xml:space="preserve"> </w:delText>
        </w:r>
      </w:del>
      <w:r>
        <w:rPr>
          <w:b/>
          <w:shd w:fill="EEEEEE" w:val="clear"/>
          <w:lang w:val="de-DE"/>
        </w:rPr>
        <w:t>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w:t>
      </w:r>
      <w:ins w:id="16" w:author="Mark Semmler" w:date="2026-01-10T14:46:42Z">
        <w:r>
          <w:rPr>
            <w:b/>
            <w:shd w:fill="EEEEEE" w:val="clear"/>
            <w:lang w:val="de-DE"/>
          </w:rPr>
          <w:t> </w:t>
        </w:r>
      </w:ins>
      <w:del w:id="17" w:author="Mark Semmler" w:date="2026-01-10T14:46:42Z">
        <w:r>
          <w:rPr>
            <w:b/>
            <w:shd w:fill="EEEEEE" w:val="clear"/>
            <w:lang w:val="de-DE"/>
          </w:rPr>
          <w:delText xml:space="preserve"> </w:delText>
        </w:r>
      </w:del>
      <w:r>
        <w:rPr>
          <w:b/>
          <w:shd w:fill="EEEEEE" w:val="clear"/>
          <w:lang w:val="de-DE"/>
        </w:rPr>
        <w:t>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w:t>
      </w:r>
      <w:ins w:id="18" w:author="Mark Semmler" w:date="2026-01-10T14:46:42Z">
        <w:r>
          <w:rPr>
            <w:b/>
            <w:shd w:fill="EEEEEE" w:val="clear"/>
            <w:lang w:val="de-DE"/>
          </w:rPr>
          <w:t> </w:t>
        </w:r>
      </w:ins>
      <w:del w:id="19" w:author="Mark Semmler" w:date="2026-01-10T14:46:42Z">
        <w:r>
          <w:rPr>
            <w:b/>
            <w:shd w:fill="EEEEEE" w:val="clear"/>
            <w:lang w:val="de-DE"/>
          </w:rPr>
          <w:delText xml:space="preserve"> </w:delText>
        </w:r>
      </w:del>
      <w:r>
        <w:rPr>
          <w:b/>
          <w:shd w:fill="EEEEEE" w:val="clear"/>
          <w:lang w:val="de-DE"/>
        </w:rPr>
        <w:t>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w:t>
      </w:r>
      <w:ins w:id="20" w:author="Mark Semmler" w:date="2026-01-10T14:46:42Z">
        <w:r>
          <w:rPr>
            <w:b/>
            <w:shd w:fill="EEEEEE" w:val="clear"/>
            <w:lang w:val="de-DE"/>
          </w:rPr>
          <w:t> </w:t>
        </w:r>
      </w:ins>
      <w:del w:id="21" w:author="Mark Semmler" w:date="2026-01-10T14:46:42Z">
        <w:r>
          <w:rPr>
            <w:b/>
            <w:shd w:fill="EEEEEE" w:val="clear"/>
            <w:lang w:val="de-DE"/>
          </w:rPr>
          <w:delText xml:space="preserve"> </w:delText>
        </w:r>
      </w:del>
      <w:r>
        <w:rPr>
          <w:b/>
          <w:shd w:fill="EEEEEE" w:val="clear"/>
          <w:lang w:val="de-DE"/>
        </w:rPr>
        <w:t>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w:t>
      </w:r>
      <w:ins w:id="22" w:author="Mark Semmler" w:date="2026-01-10T14:46:42Z">
        <w:r>
          <w:rPr>
            <w:rStyle w:val="Hyperlink"/>
            <w:b/>
            <w:bCs/>
            <w:color w:val="000000"/>
            <w:u w:val="none"/>
            <w:shd w:fill="EEEEEE" w:val="clear"/>
            <w:lang w:val="de-DE"/>
          </w:rPr>
          <w:t> </w:t>
        </w:r>
      </w:ins>
      <w:del w:id="23" w:author="Mark Semmler" w:date="2026-01-10T14:46:42Z">
        <w:r>
          <w:rPr>
            <w:rStyle w:val="Hyperlink"/>
            <w:b/>
            <w:bCs/>
            <w:color w:val="000000"/>
            <w:u w:val="none"/>
            <w:shd w:fill="auto" w:val="clear"/>
            <w:lang w:val="de-DE"/>
          </w:rPr>
          <w:delText xml:space="preserve"> </w:delText>
        </w:r>
      </w:del>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VdS</w:t>
      </w:r>
      <w:ins w:id="24" w:author="Mark Semmler" w:date="2026-01-10T14:46:42Z">
        <w:r>
          <w:rPr>
            <w:rStyle w:val="Hyperlink"/>
            <w:b/>
            <w:bCs/>
            <w:color w:val="000000"/>
            <w:u w:val="none"/>
            <w:shd w:fill="EEEEEE" w:val="clear"/>
            <w:lang w:val="de-DE"/>
          </w:rPr>
          <w:t> </w:t>
        </w:r>
      </w:ins>
      <w:del w:id="25" w:author="Mark Semmler" w:date="2026-01-10T14:46:42Z">
        <w:r>
          <w:rPr>
            <w:rStyle w:val="Hyperlink"/>
            <w:b/>
            <w:bCs/>
            <w:color w:val="000000"/>
            <w:u w:val="none"/>
            <w:shd w:fill="EEEEEE" w:val="clear"/>
            <w:lang w:val="de-DE"/>
          </w:rPr>
          <w:delText xml:space="preserve"> </w:delText>
        </w:r>
      </w:del>
      <w:r>
        <w:rPr>
          <w:rStyle w:val="Hyperlink"/>
          <w:b/>
          <w:bCs/>
          <w:color w:val="000000"/>
          <w:u w:val="none"/>
          <w:shd w:fill="EEEEEE" w:val="clear"/>
          <w:lang w:val="de-DE"/>
        </w:rPr>
        <w:t>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w:t>
      </w:r>
      <w:ins w:id="26" w:author="Mark Semmler" w:date="2026-01-10T14:46:42Z">
        <w:r>
          <w:rPr>
            <w:rStyle w:val="Hyperlink"/>
            <w:b/>
            <w:bCs/>
            <w:color w:val="000000"/>
            <w:u w:val="none"/>
            <w:shd w:fill="EEEEEE" w:val="clear"/>
            <w:lang w:val="de-DE"/>
          </w:rPr>
          <w:t> </w:t>
        </w:r>
      </w:ins>
      <w:del w:id="27" w:author="Mark Semmler" w:date="2026-01-10T14:46:42Z">
        <w:r>
          <w:rPr>
            <w:rStyle w:val="Hyperlink"/>
            <w:b/>
            <w:bCs/>
            <w:color w:val="000000"/>
            <w:u w:val="none"/>
            <w:shd w:fill="auto" w:val="clear"/>
            <w:lang w:val="de-DE"/>
          </w:rPr>
          <w:delText xml:space="preserve"> </w:delText>
        </w:r>
      </w:del>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commentRangeStart w:id="1"/>
      <w:r>
        <w:rPr>
          <w:lang w:val="de-DE"/>
        </w:rPr>
        <w:t>Verweisungen</w:t>
      </w:r>
      <w:ins w:id="28" w:author="Mark Semmler" w:date="2026-01-10T14:46:42Z">
        <w:r>
          <w:rPr>
            <w:lang w:val="de-DE"/>
          </w:rPr>
        </w:r>
      </w:ins>
      <w:commentRangeEnd w:id="1"/>
      <w:r>
        <w:commentReference w:id="1"/>
      </w:r>
      <w:r>
        <w:rPr>
          <w:lang w:val="de-DE"/>
        </w:rPr>
        <w:t xml:space="preserv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ins w:id="29" w:author="Mark Semmler" w:date="2026-01-10T14:46:42Z">
        <w:r>
          <w:rPr>
            <w:lang w:val="de-DE"/>
          </w:rPr>
          <w:t>.</w:t>
        </w:r>
      </w:ins>
      <w:del w:id="30" w:author="Mark Semmler" w:date="2026-01-10T14:46:42Z">
        <w:r>
          <w:rPr>
            <w:lang w:val="de-DE"/>
          </w:rPr>
          <w:delText>:</w:delText>
        </w:r>
      </w:del>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78761305"/>
      <w:bookmarkStart w:id="70" w:name="_Toc178588049"/>
      <w:bookmarkStart w:id="71" w:name="_Toc530662879"/>
      <w:bookmarkStart w:id="72" w:name="_Ref184204279"/>
      <w:bookmarkStart w:id="73" w:name="_Toc187327026"/>
      <w:bookmarkStart w:id="74" w:name="_Toc531165014"/>
      <w:bookmarkEnd w:id="68"/>
      <w:r>
        <w:rPr>
          <w:shd w:fill="EEEEEE" w:val="clear"/>
          <w:lang w:val="de-DE"/>
        </w:rPr>
        <w:t>Begriffe</w:t>
      </w:r>
      <w:bookmarkEnd w:id="70"/>
      <w:bookmarkEnd w:id="71"/>
      <w:bookmarkEnd w:id="74"/>
      <w:r>
        <w:rPr>
          <w:shd w:fill="EEEEEE" w:val="clear"/>
          <w:lang w:val="de-DE"/>
        </w:rPr>
        <w:t xml:space="preserve"> und Abkürzungen</w:t>
      </w:r>
      <w:bookmarkEnd w:id="69"/>
      <w:bookmarkEnd w:id="72"/>
      <w:bookmarkEnd w:id="73"/>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ins w:id="33" w:author="Mark Semmler" w:date="2026-01-10T14:46:42Z"/>
        </w:rPr>
      </w:pPr>
      <w:ins w:id="31" w:author="Mark Semmler" w:date="2026-01-10T14:46:42Z">
        <w:r>
          <w:rPr>
            <w:rStyle w:val="StrongEmphasis"/>
            <w:shd w:fill="auto" w:val="clear"/>
            <w:lang w:val="de-DE"/>
          </w:rPr>
          <w:t>Administrationszone:</w:t>
        </w:r>
      </w:ins>
      <w:ins w:id="32" w:author="Mark Semmler" w:date="2026-01-10T14:46:42Z">
        <w:r>
          <w:rPr>
            <w:rStyle w:val="StrongEmphasis"/>
            <w:b w:val="false"/>
            <w:bCs w:val="false"/>
            <w:shd w:fill="auto" w:val="clear"/>
            <w:lang w:val="de-DE"/>
          </w:rPr>
          <w:t xml:space="preserve"> klar abgegrenzter Bereich einer IT-Infrastruktur in dem ein administrativer Zugang gültig ist</w:t>
        </w:r>
      </w:ins>
    </w:p>
    <w:p>
      <w:pPr>
        <w:pStyle w:val="Normal"/>
        <w:rPr>
          <w:del w:id="36" w:author="Mark Semmler" w:date="2026-01-10T14:46:42Z"/>
        </w:rPr>
      </w:pPr>
      <w:del w:id="34" w:author="Mark Semmler" w:date="2026-01-10T14:46:42Z">
        <w:r>
          <w:rPr>
            <w:rStyle w:val="StrongEmphasis"/>
            <w:shd w:fill="auto" w:val="clear"/>
            <w:lang w:val="de-DE"/>
          </w:rPr>
          <w:delText>administrativer Zugang:</w:delText>
        </w:r>
      </w:del>
      <w:del w:id="35" w:author="Mark Semmler" w:date="2026-01-10T14:46:42Z">
        <w:r>
          <w:rPr>
            <w:shd w:fill="auto" w:val="clear"/>
            <w:lang w:val="de-DE"/>
          </w:rPr>
          <w:delText xml:space="preserve"> Zugang der dazu befähigt, Einstellungen zu tätigen, die andere Nutzer oder das IT-System selbst betreffen</w:delText>
        </w:r>
      </w:del>
    </w:p>
    <w:p>
      <w:pPr>
        <w:pStyle w:val="Normal"/>
        <w:rPr>
          <w:ins w:id="39" w:author="Mark Semmler" w:date="2026-01-10T14:46:42Z"/>
        </w:rPr>
      </w:pPr>
      <w:ins w:id="37" w:author="Mark Semmler" w:date="2026-01-10T14:46:42Z">
        <w:r>
          <w:rPr>
            <w:rStyle w:val="StrongEmphasis"/>
            <w:shd w:fill="auto" w:val="clear"/>
            <w:lang w:val="de-DE"/>
          </w:rPr>
          <w:t>administrativer Zugang:</w:t>
        </w:r>
      </w:ins>
      <w:ins w:id="38" w:author="Mark Semmler" w:date="2026-01-10T14:46:42Z">
        <w:r>
          <w:rPr>
            <w:shd w:fill="auto" w:val="clear"/>
            <w:lang w:val="de-DE"/>
          </w:rPr>
          <w:t xml:space="preserve"> Zugang, der dazu befähigt, Einstellungen zu tätigen, die andere Nutzer oder das IT-System selbst betreffen</w:t>
        </w:r>
      </w:ins>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w:t>
      </w:r>
      <w:ins w:id="40" w:author="Mark Semmler" w:date="2026-01-10T14:46:42Z">
        <w:r>
          <w:rPr>
            <w:shd w:fill="EEEEEE" w:val="clear"/>
            <w:lang w:val="de-DE"/>
          </w:rPr>
          <w:t>einer IT-Infrastruktur</w:t>
        </w:r>
      </w:ins>
      <w:del w:id="41" w:author="Mark Semmler" w:date="2026-01-10T14:46:42Z">
        <w:r>
          <w:rPr>
            <w:shd w:fill="EEEEEE" w:val="clear"/>
            <w:lang w:val="de-DE"/>
          </w:rPr>
          <w:delText>eines Netzwerks</w:delText>
        </w:r>
      </w:del>
      <w:r>
        <w:rPr>
          <w:shd w:fill="EEEEEE" w:val="clear"/>
          <w:lang w:val="de-DE"/>
        </w:rPr>
        <w:t xml:space="preserve">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w:t>
      </w:r>
      <w:ins w:id="42" w:author="Mark Semmler" w:date="2026-01-10T14:46:42Z">
        <w:r>
          <w:rPr>
            <w:rStyle w:val="StrongEmphasis"/>
            <w:rFonts w:eastAsia="Bitstream Vera Sans" w:cs="Bitstream Vera Sans"/>
            <w:b/>
            <w:bCs w:val="false"/>
            <w:color w:val="000000"/>
            <w:sz w:val="20"/>
            <w:szCs w:val="24"/>
            <w:shd w:fill="EEEEEE" w:val="clear"/>
            <w:lang w:val="de-DE" w:eastAsia="en-US" w:bidi="en-US"/>
          </w:rPr>
          <w:t> </w:t>
        </w:r>
      </w:ins>
      <w:del w:id="43" w:author="Mark Semmler" w:date="2026-01-10T14:46:42Z">
        <w:r>
          <w:rPr>
            <w:rStyle w:val="StrongEmphasis"/>
            <w:rFonts w:eastAsia="Bitstream Vera Sans" w:cs="Bitstream Vera Sans"/>
            <w:b w:val="false"/>
            <w:bCs w:val="false"/>
            <w:color w:val="000000"/>
            <w:sz w:val="20"/>
            <w:szCs w:val="24"/>
            <w:shd w:fill="auto" w:val="clear"/>
            <w:lang w:val="de-DE" w:eastAsia="en-US" w:bidi="en-US"/>
          </w:rPr>
          <w:delText xml:space="preserve"> </w:delText>
        </w:r>
      </w:del>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ins w:id="46" w:author="Mark Semmler" w:date="2026-01-10T14:46:42Z"/>
        </w:rPr>
      </w:pPr>
      <w:ins w:id="44" w:author="Mark Semmler" w:date="2026-01-10T14:46:42Z">
        <w:r>
          <w:rPr>
            <w:rStyle w:val="StrongEmphasis"/>
            <w:shd w:fill="auto" w:val="clear"/>
            <w:lang w:val="de-DE"/>
          </w:rPr>
          <w:t>IS-Leitlinie:</w:t>
        </w:r>
      </w:ins>
      <w:ins w:id="45" w:author="Mark Semmler" w:date="2026-01-10T14:46:42Z">
        <w:r>
          <w:rPr>
            <w:rStyle w:val="StrongEmphasis"/>
            <w:b w:val="false"/>
            <w:bCs w:val="false"/>
            <w:shd w:fill="auto" w:val="clear"/>
            <w:lang w:val="de-DE"/>
          </w:rPr>
          <w:t xml:space="preserve"> Leitlinie für die Informationssicherheit</w:t>
        </w:r>
      </w:ins>
    </w:p>
    <w:p>
      <w:pPr>
        <w:pStyle w:val="Normal"/>
        <w:rPr>
          <w:b w:val="false"/>
          <w:bCs w:val="false"/>
          <w:shd w:fill="EEEEEE" w:val="clear"/>
          <w:lang w:val="de-DE"/>
          <w:del w:id="51" w:author="Mark Semmler" w:date="2026-01-10T14:46:42Z"/>
        </w:rPr>
      </w:pPr>
      <w:del w:id="47" w:author="Mark Semmler" w:date="2026-01-10T14:46:42Z">
        <w:r>
          <w:rPr>
            <w:rStyle w:val="StrongEmphasis"/>
            <w:shd w:fill="EEEEEE" w:val="clear"/>
            <w:lang w:val="de-DE"/>
          </w:rPr>
          <w:delText>IS-Leitlinie:</w:delText>
        </w:r>
      </w:del>
      <w:del w:id="48" w:author="Mark Semmler" w:date="2026-01-10T14:46:42Z">
        <w:r>
          <w:rPr>
            <w:rStyle w:val="StrongEmphasis"/>
            <w:b w:val="false"/>
            <w:bCs w:val="false"/>
            <w:shd w:fill="EEEEEE" w:val="clear"/>
            <w:lang w:val="de-DE"/>
          </w:rPr>
          <w:delText xml:space="preserve"> </w:delText>
        </w:r>
      </w:del>
      <w:commentRangeStart w:id="2"/>
      <w:del w:id="49" w:author="Mark Semmler" w:date="2026-01-10T14:46:42Z">
        <w:r>
          <w:rPr>
            <w:rStyle w:val="StrongEmphasis"/>
            <w:b w:val="false"/>
            <w:bCs w:val="false"/>
            <w:shd w:fill="EEEEEE" w:val="clear"/>
            <w:lang w:val="de-DE"/>
          </w:rPr>
          <w:delText>zentrales Dokument für die ge</w:delText>
          <w:softHyphen/>
          <w:delText>samte Informationssicherheit; in ihr werden die zu erreichenden Ziele durch das Top</w:delText>
          <w:softHyphen/>
          <w:delText>management vorgegeben und Verantwortlichkeiten definiert</w:delText>
        </w:r>
      </w:del>
      <w:commentRangeEnd w:id="2"/>
      <w:r>
        <w:commentReference w:id="2"/>
      </w:r>
      <w:del w:id="50" w:author="Mark Semmler" w:date="2026-01-10T14:46:42Z">
        <w:r>
          <w:rPr>
            <w:rStyle w:val="StrongEmphasis"/>
            <w:b w:val="false"/>
            <w:bCs w:val="false"/>
            <w:shd w:fill="EEEEEE" w:val="clear"/>
            <w:lang w:val="de-DE"/>
          </w:rPr>
          <w:commentReference w:id="3"/>
        </w:r>
      </w:del>
    </w:p>
    <w:p>
      <w:pPr>
        <w:pStyle w:val="Normal"/>
        <w:rPr/>
      </w:pPr>
      <w:r>
        <w:rPr>
          <w:rStyle w:val="StrongEmphasis"/>
          <w:shd w:fill="auto" w:val="clear"/>
          <w:lang w:val="de-DE"/>
        </w:rPr>
        <w:t>IS-Richtlinie:</w:t>
      </w:r>
      <w:r>
        <w:rPr>
          <w:shd w:fill="auto" w:val="clear"/>
          <w:lang w:val="de-DE"/>
        </w:rPr>
        <w:t xml:space="preserve"> </w:t>
      </w:r>
      <w:ins w:id="52" w:author="Mark Semmler" w:date="2026-01-10T14:46:42Z">
        <w:r>
          <w:rPr>
            <w:shd w:fill="auto" w:val="clear"/>
            <w:lang w:val="de-DE"/>
          </w:rPr>
          <w:t xml:space="preserve">Richtlinie </w:t>
        </w:r>
      </w:ins>
      <w:del w:id="53" w:author="Mark Semmler" w:date="2026-01-10T14:46:42Z">
        <w:r>
          <w:rPr>
            <w:shd w:fill="EEEEEE" w:val="clear"/>
            <w:lang w:val="de-DE"/>
          </w:rPr>
          <w:delText xml:space="preserve">Dokument, in dem Regelungen </w:delText>
        </w:r>
      </w:del>
      <w:r>
        <w:rPr>
          <w:shd w:fill="auto" w:val="clear"/>
          <w:lang w:val="de-DE"/>
        </w:rPr>
        <w:t>für die Informationssicherheit</w:t>
      </w:r>
      <w:del w:id="54" w:author="Mark Semmler" w:date="2026-01-10T14:46:42Z">
        <w:r>
          <w:rPr>
            <w:shd w:fill="EEEEEE" w:val="clear"/>
            <w:lang w:val="de-DE"/>
          </w:rPr>
          <w:delText xml:space="preserve"> gesammelt sind</w:delText>
        </w:r>
      </w:del>
      <w:del w:id="55" w:author="Mark Semmler" w:date="2026-01-10T14:46:42Z">
        <w:r>
          <w:rPr>
            <w:shd w:fill="EEEEEE" w:val="clear"/>
            <w:lang w:val="de-DE"/>
          </w:rPr>
          <w:commentReference w:id="4"/>
        </w:r>
      </w:del>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ins w:id="56" w:author="Mark Semmler" w:date="2026-01-10T14:46:42Z">
        <w:r>
          <w:rPr>
            <w:b/>
            <w:shd w:fill="EEEEEE" w:val="clear"/>
            <w:lang w:val="de-DE"/>
          </w:rPr>
          <w:t> </w:t>
        </w:r>
      </w:ins>
      <w:del w:id="57" w:author="Mark Semmler" w:date="2026-01-10T14:46:42Z">
        <w:r>
          <w:rPr>
            <w:b/>
            <w:shd w:fill="EEEEEE" w:val="clear"/>
            <w:lang w:val="de-DE"/>
          </w:rPr>
          <w:delText xml:space="preserve"> </w:delText>
        </w:r>
      </w:del>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moveTo w:id="60" w:author="Mark Semmler" w:date="2026-01-10T14:46:42Z"/>
        </w:rPr>
      </w:pPr>
      <w:ins w:id="58" w:author="Mark Semmler" w:date="2026-01-10T14:46:42Z">
        <w:r>
          <w:rPr>
            <w:rStyle w:val="StrongEmphasis"/>
            <w:shd w:fill="auto" w:val="clear"/>
            <w:lang w:val="de-DE"/>
          </w:rPr>
          <w:t>Lieferant:</w:t>
        </w:r>
      </w:ins>
      <w:ins w:id="59" w:author="Mark Semmler" w:date="2026-01-10T14:46:42Z">
        <w:r>
          <w:rPr>
            <w:rStyle w:val="StrongEmphasis"/>
            <w:b w:val="false"/>
            <w:bCs w:val="false"/>
            <w:shd w:fill="auto" w:val="clear"/>
            <w:lang w:val="de-DE"/>
          </w:rPr>
          <w:t xml:space="preserve"> Organisation oder Person, externe IT-Ressourcen liefert bzw. bereitstellt.</w:t>
        </w:r>
      </w:ins>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rStyle w:val="StrongEmphasis"/>
          <w:b w:val="false"/>
          <w:bCs w:val="false"/>
          <w:shd w:fill="auto" w:val="clear"/>
          <w:lang w:val="de-DE"/>
          <w:ins w:id="62" w:author="Mark Semmler" w:date="2026-01-10T14:46:42Z"/>
        </w:rPr>
      </w:pPr>
      <w:ins w:id="61" w:author="Mark Semmler" w:date="2026-01-10T14:46:42Z">
        <w:r>
          <w:rPr>
            <w:b w:val="false"/>
            <w:bCs w:val="false"/>
            <w:shd w:fill="auto" w:val="clear"/>
            <w:lang w:val="de-DE"/>
          </w:rPr>
        </w:r>
      </w:ins>
    </w:p>
    <w:p>
      <w:pPr>
        <w:pStyle w:val="Normal"/>
        <w:rPr>
          <w:moveFrom w:id="65" w:author="Mark Semmler" w:date="2026-01-10T14:46:42Z"/>
        </w:rPr>
      </w:pPr>
      <w:del w:id="63" w:author="Mark Semmler" w:date="2026-01-10T14:46:42Z">
        <w:r>
          <w:rPr>
            <w:rStyle w:val="StrongEmphasis"/>
            <w:shd w:fill="auto" w:val="clear"/>
            <w:lang w:val="de-DE"/>
          </w:rPr>
          <w:delText>Lieferant:</w:delText>
        </w:r>
      </w:del>
      <w:del w:id="64" w:author="Mark Semmler" w:date="2026-01-10T14:46:42Z">
        <w:r>
          <w:rPr>
            <w:rStyle w:val="StrongEmphasis"/>
            <w:b w:val="false"/>
            <w:bCs w:val="false"/>
            <w:shd w:fill="auto" w:val="clear"/>
            <w:lang w:val="de-DE"/>
          </w:rPr>
          <w:delText xml:space="preserve"> Organisation oder Person, externe IT-Ressourcen liefert bzw. bereitstellt.</w:delText>
        </w:r>
      </w:del>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w:t>
      </w:r>
      <w:ins w:id="66" w:author="Mark Semmler" w:date="2026-01-10T14:46:42Z">
        <w:r>
          <w:rPr>
            <w:shd w:fill="EEEEEE" w:val="clear"/>
            <w:lang w:val="de-DE"/>
          </w:rPr>
          <w:t>physikalischen</w:t>
        </w:r>
      </w:ins>
      <w:del w:id="67" w:author="Mark Semmler" w:date="2026-01-10T14:46:42Z">
        <w:r>
          <w:rPr>
            <w:shd w:fill="EEEEEE" w:val="clear"/>
            <w:lang w:val="de-DE"/>
          </w:rPr>
          <w:delText>physi</w:delText>
          <w:softHyphen/>
          <w:delText>kalischen</w:delText>
        </w:r>
      </w:del>
      <w:r>
        <w:rPr>
          <w:shd w:fill="EEEEEE" w:val="clear"/>
          <w:lang w:val="de-DE"/>
        </w:rPr>
        <w:t xml:space="preserve">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w:t>
      </w:r>
      <w:del w:id="68" w:author="Mark Semmler" w:date="2026-01-10T14:46:42Z">
        <w:r>
          <w:rPr>
            <w:shd w:fill="EEEEEE" w:val="clear"/>
            <w:lang w:val="de-DE"/>
          </w:rPr>
          <w:delText xml:space="preserve"> </w:delText>
        </w:r>
      </w:del>
      <w:r>
        <w:rPr>
          <w:shd w:fill="EEEEEE" w:val="clear"/>
          <w:lang w:val="de-DE"/>
        </w:rPr>
        <w:t>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w:t>
      </w:r>
      <w:ins w:id="69" w:author="Mark Semmler" w:date="2026-01-10T14:46:42Z">
        <w:r>
          <w:rPr>
            <w:rFonts w:eastAsia="Arial" w:cs="DejaVu Sans"/>
            <w:color w:val="auto"/>
            <w:kern w:val="0"/>
            <w:sz w:val="20"/>
            <w:szCs w:val="22"/>
            <w:lang w:val="de-DE" w:eastAsia="en-US" w:bidi="ar-SA"/>
          </w:rPr>
          <w:t> </w:t>
        </w:r>
      </w:ins>
      <w:del w:id="70" w:author="Mark Semmler" w:date="2026-01-10T14:46:42Z">
        <w:r>
          <w:rPr>
            <w:rFonts w:eastAsia="Arial" w:cs="DejaVu Sans"/>
            <w:color w:val="auto"/>
            <w:kern w:val="0"/>
            <w:sz w:val="20"/>
            <w:szCs w:val="22"/>
            <w:lang w:val="de-DE" w:eastAsia="en-US" w:bidi="ar-SA"/>
          </w:rPr>
          <w:delText xml:space="preserve"> </w:delText>
        </w:r>
      </w:del>
      <w:r>
        <w:rPr>
          <w:rFonts w:eastAsia="Arial" w:cs="DejaVu Sans"/>
          <w:color w:val="auto"/>
          <w:kern w:val="0"/>
          <w:sz w:val="20"/>
          <w:szCs w:val="22"/>
          <w:lang w:val="de-DE" w:eastAsia="en-US" w:bidi="ar-SA"/>
        </w:rPr>
        <w:t>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5"/>
      <w:r>
        <w:rPr>
          <w:rStyle w:val="StrongEmphasis"/>
          <w:shd w:fill="EEEEEE" w:val="clear"/>
          <w:lang w:val="de-DE"/>
        </w:rPr>
        <w:t>Prozess:</w:t>
      </w:r>
      <w:r>
        <w:rPr>
          <w:shd w:fill="EEEEEE" w:val="clear"/>
          <w:lang w:val="de-DE"/>
        </w:rPr>
        <w:t xml:space="preserve"> System von Tätigkeiten, das Eingaben mit Hilfe von Ressourcen in Ergebnisse umwandelt</w:t>
      </w:r>
      <w:r>
        <w:rPr>
          <w:shd w:fill="EEEEEE" w:val="clear"/>
          <w:lang w:val="de-DE"/>
        </w:rPr>
      </w:r>
      <w:commentRangeEnd w:id="5"/>
      <w:r>
        <w:commentReference w:id="5"/>
      </w:r>
      <w:ins w:id="71" w:author="Mark Semmler" w:date="2026-01-10T14:46:42Z">
        <w:r>
          <w:rPr/>
          <w:commentReference w:id="6"/>
        </w:r>
      </w:ins>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Anmerkung"/>
        <w:rPr>
          <w:i w:val="false"/>
          <w:i w:val="false"/>
          <w:iCs w:val="false"/>
          <w:highlight w:val="none"/>
          <w:shd w:fill="auto" w:val="clear"/>
          <w:lang w:val="de-DE"/>
          <w:ins w:id="74" w:author="Mark Semmler" w:date="2026-01-10T14:46:42Z"/>
        </w:rPr>
      </w:pPr>
      <w:ins w:id="72" w:author="Mark Semmler" w:date="2026-01-10T14:46:42Z">
        <w:r>
          <w:rPr>
            <w:b/>
            <w:bCs/>
            <w:i w:val="false"/>
            <w:iCs w:val="false"/>
            <w:shd w:fill="auto" w:val="clear"/>
            <w:lang w:val="de-DE"/>
          </w:rPr>
          <w:t>Richtlinie:</w:t>
        </w:r>
      </w:ins>
      <w:ins w:id="73" w:author="Mark Semmler" w:date="2026-01-10T14:46:42Z">
        <w:r>
          <w:rPr>
            <w:i w:val="false"/>
            <w:iCs w:val="false"/>
            <w:shd w:fill="auto" w:val="clear"/>
            <w:lang w:val="de-DE"/>
          </w:rPr>
          <w:t xml:space="preserve"> Dokument, in dem generelle Regelungen gesammelt sind</w:t>
        </w:r>
      </w:ins>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del w:id="75" w:author="Mark Semmler" w:date="2026-01-10T14:46:42Z">
        <w:r>
          <w:rPr>
            <w:shd w:fill="EEEEEE" w:val="clear"/>
            <w:lang w:val="de-DE"/>
          </w:rPr>
          <w:delText xml:space="preserve"> </w:delText>
        </w:r>
      </w:del>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w:t>
      </w:r>
      <w:ins w:id="76" w:author="Mark Semmler" w:date="2026-01-10T14:46:42Z">
        <w:r>
          <w:rPr>
            <w:shd w:fill="EEEEEE" w:val="clear"/>
            <w:lang w:val="de-DE"/>
          </w:rPr>
          <w:t>ngerkreis</w:t>
        </w:r>
      </w:ins>
      <w:del w:id="77" w:author="Mark Semmler" w:date="2026-01-10T14:46:42Z">
        <w:r>
          <w:rPr>
            <w:shd w:fill="EEEEEE" w:val="clear"/>
            <w:lang w:val="de-DE"/>
          </w:rPr>
          <w:delText>nger</w:delText>
          <w:softHyphen/>
          <w:delText>kreis</w:delText>
        </w:r>
      </w:del>
      <w:r>
        <w:rPr>
          <w:shd w:fill="EEEEEE" w:val="clear"/>
          <w:lang w:val="de-DE"/>
        </w:rPr>
        <w:t xml:space="preserve">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w:t>
      </w:r>
      <w:ins w:id="78" w:author="Mark Semmler" w:date="2026-01-10T14:46:42Z">
        <w:r>
          <w:rPr>
            <w:rFonts w:eastAsia="Arial" w:cs="DejaVu Sans"/>
            <w:i/>
            <w:iCs/>
            <w:color w:val="auto"/>
            <w:kern w:val="0"/>
            <w:sz w:val="20"/>
            <w:szCs w:val="22"/>
            <w:shd w:fill="EEEEEE" w:val="clear"/>
            <w:lang w:val="de-DE" w:eastAsia="en-US" w:bidi="ar-SA"/>
          </w:rPr>
          <w:t> </w:t>
        </w:r>
      </w:ins>
      <w:del w:id="79" w:author="Mark Semmler" w:date="2026-01-10T14:46:42Z">
        <w:r>
          <w:rPr>
            <w:rFonts w:eastAsia="Arial" w:cs="DejaVu Sans"/>
            <w:i/>
            <w:iCs/>
            <w:color w:val="auto"/>
            <w:kern w:val="0"/>
            <w:sz w:val="20"/>
            <w:szCs w:val="22"/>
            <w:shd w:fill="EEEEEE" w:val="clear"/>
            <w:lang w:val="de-DE" w:eastAsia="en-US" w:bidi="ar-SA"/>
          </w:rPr>
          <w:delText xml:space="preserve"> </w:delText>
        </w:r>
      </w:del>
      <w:r>
        <w:rPr>
          <w:rFonts w:eastAsia="Arial" w:cs="DejaVu Sans"/>
          <w:i/>
          <w:iCs/>
          <w:color w:val="auto"/>
          <w:kern w:val="0"/>
          <w:sz w:val="20"/>
          <w:szCs w:val="22"/>
          <w:shd w:fill="EEEEEE" w:val="clear"/>
          <w:lang w:val="de-DE" w:eastAsia="en-US" w:bidi="ar-SA"/>
        </w:rPr>
        <w:t>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rStyle w:val="Strong"/>
          <w:b w:val="false"/>
          <w:bCs w:val="false"/>
          <w:shd w:fill="auto" w:val="clear"/>
          <w:lang w:val="de-DE"/>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del w:id="82" w:author="Mark Semmler" w:date="2026-01-10T14:46:42Z"/>
        </w:rPr>
      </w:pPr>
      <w:del w:id="80" w:author="Mark Semmler" w:date="2026-01-10T14:46:42Z">
        <w:r>
          <w:rPr>
            <w:rStyle w:val="Strong"/>
            <w:b/>
            <w:bCs/>
            <w:shd w:fill="auto" w:val="clear"/>
            <w:lang w:val="de-DE"/>
          </w:rPr>
          <w:delText>KVP</w:delText>
        </w:r>
      </w:del>
      <w:del w:id="81" w:author="Mark Semmler" w:date="2026-01-10T14:46:42Z">
        <w:r>
          <w:rPr>
            <w:rStyle w:val="Strong"/>
            <w:b w:val="false"/>
            <w:bCs w:val="false"/>
            <w:shd w:fill="auto" w:val="clear"/>
            <w:lang w:val="de-DE"/>
          </w:rPr>
          <w:tab/>
          <w:delText>Kontinuierlicher Verbesserungsprozess</w:delText>
        </w:r>
      </w:del>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531165015"/>
      <w:bookmarkStart w:id="83" w:name="rl%2525252525252525252525252525252525256"/>
      <w:bookmarkStart w:id="84" w:name="_Toc530662880"/>
      <w:bookmarkStart w:id="85" w:name="_Toc178761308"/>
      <w:bookmarkStart w:id="86" w:name="_Toc187327029"/>
      <w:bookmarkStart w:id="87" w:name="_Ref184204313"/>
      <w:bookmarkStart w:id="88" w:name="organisation_der_informationssicherheit"/>
      <w:bookmarkStart w:id="89" w:name="_Toc178588050"/>
      <w:bookmarkEnd w:id="81"/>
      <w:bookmarkEnd w:id="83"/>
      <w:r>
        <w:rPr>
          <w:shd w:fill="EEEEEE" w:val="clear"/>
          <w:lang w:val="de-DE"/>
        </w:rPr>
        <w:t>Organisation der Informationssicherheit</w:t>
      </w:r>
      <w:bookmarkEnd w:id="82"/>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eine entsprechende </w:t>
      </w:r>
      <w:bookmarkStart w:id="93" w:name="__Annotation__130947_4032438599_____Copy"/>
      <w:del w:id="83" w:author="Mark Semmler" w:date="2026-01-10T14:20:53Z">
        <w:r>
          <w:rPr>
            <w:shd w:fill="EEEEEE" w:val="clear"/>
            <w:lang w:val="de-DE"/>
          </w:rPr>
          <w:delText>O</w:delText>
        </w:r>
      </w:del>
      <w:bookmarkEnd w:id="93"/>
      <w:del w:id="84" w:author="Mark Semmler" w:date="2026-01-10T14:20:53Z">
        <w:r>
          <w:rPr>
            <w:shd w:fill="EEEEEE" w:val="clear"/>
            <w:lang w:val="de-DE"/>
          </w:rPr>
          <w:delText>rganisation</w:delText>
        </w:r>
      </w:del>
      <w:commentRangeStart w:id="7"/>
      <w:ins w:id="85" w:author="Mark Semmler" w:date="2026-01-10T14:46:42Z">
        <w:r>
          <w:rPr>
            <w:shd w:fill="EEEEEE" w:val="clear"/>
            <w:lang w:val="de-DE"/>
          </w:rPr>
          <w:t>organisatorische Strukturen</w:t>
        </w:r>
      </w:ins>
      <w:ins w:id="86" w:author="Mark Semmler" w:date="2026-01-10T14:46:42Z">
        <w:r>
          <w:rPr>
            <w:shd w:fill="EEEEEE" w:val="clear"/>
            <w:lang w:val="de-DE"/>
          </w:rPr>
        </w:r>
      </w:ins>
      <w:commentRangeEnd w:id="7"/>
      <w:r>
        <w:commentReference w:id="7"/>
      </w:r>
      <w:ins w:id="87" w:author="Mark Semmler" w:date="2026-01-10T14:46:42Z">
        <w:r>
          <w:rPr/>
          <w:commentReference w:id="8"/>
        </w:r>
      </w:ins>
      <w:del w:id="88" w:author="Mark Semmler" w:date="2026-01-10T14:46:42Z">
        <w:r>
          <w:rPr>
            <w:shd w:fill="EEEEEE" w:val="clear"/>
            <w:lang w:val="de-DE"/>
          </w:rPr>
          <w:delText>Organisation</w:delText>
        </w:r>
      </w:del>
      <w:r>
        <w:rPr>
          <w:shd w:fill="EEEEEE" w:val="clear"/>
          <w:lang w:val="de-DE"/>
        </w:rPr>
        <w:t xml:space="preserve"> zu etablieren.</w:t>
      </w:r>
    </w:p>
    <w:p>
      <w:pPr>
        <w:pStyle w:val="Heading2"/>
        <w:ind w:hanging="0" w:left="0"/>
        <w:rPr>
          <w:shd w:fill="EEEEEE" w:val="clear"/>
        </w:rPr>
      </w:pPr>
      <w:bookmarkStart w:id="94" w:name="__RefHeading___Toc31930_2021121348"/>
      <w:bookmarkStart w:id="95" w:name="_Toc531165016"/>
      <w:bookmarkStart w:id="96" w:name="_Toc178761310"/>
      <w:bookmarkStart w:id="97" w:name="rl%2525252525252525252525252525252525257"/>
      <w:bookmarkStart w:id="98" w:name="_Toc530662881"/>
      <w:bookmarkStart w:id="99" w:name="_Toc178588051"/>
      <w:bookmarkStart w:id="100" w:name="verantwortlichkeiten"/>
      <w:bookmarkStart w:id="101" w:name="_Toc187327031"/>
      <w:bookmarkEnd w:id="94"/>
      <w:bookmarkEnd w:id="97"/>
      <w:r>
        <w:rPr>
          <w:shd w:fill="EEEEEE" w:val="clear"/>
          <w:lang w:val="de-DE"/>
        </w:rPr>
        <w:t>Verantwortlichkeiten</w:t>
      </w:r>
      <w:bookmarkEnd w:id="95"/>
      <w:bookmarkEnd w:id="96"/>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4.15</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rl%2525252525252525252525252525252525258"/>
      <w:bookmarkStart w:id="108" w:name="_Toc530662882"/>
      <w:bookmarkStart w:id="109" w:name="_Toc531165017"/>
      <w:bookmarkStart w:id="110" w:name="_Toc187327033"/>
      <w:bookmarkStart w:id="111" w:name="_Toc178761312"/>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shd w:fill="EEEEEE" w:val="clear"/>
          <w:lang w:val="de-DE"/>
        </w:rPr>
      </w:pPr>
      <w:r>
        <w:rPr>
          <w:shd w:fill="EEEEEE" w:val="clear"/>
          <w:lang w:val="de-DE"/>
        </w:rPr>
        <w:t>welche Ziele erreicht werden sollen</w:t>
      </w:r>
    </w:p>
    <w:p>
      <w:pPr>
        <w:pStyle w:val="10000-DefaultParagraph"/>
        <w:numPr>
          <w:ilvl w:val="0"/>
          <w:numId w:val="79"/>
        </w:numPr>
        <w:rPr>
          <w:shd w:fill="EEEEEE" w:val="clear"/>
          <w:lang w:val="de-DE"/>
        </w:rPr>
      </w:pPr>
      <w:r>
        <w:rPr>
          <w:shd w:fill="EEEEEE" w:val="clear"/>
          <w:lang w:val="de-DE"/>
        </w:rPr>
        <w:t>für welche Ressourcen die Verantwortlichkeit besteht</w:t>
      </w:r>
    </w:p>
    <w:p>
      <w:pPr>
        <w:pStyle w:val="10000-DefaultParagraph"/>
        <w:numPr>
          <w:ilvl w:val="0"/>
          <w:numId w:val="79"/>
        </w:numPr>
        <w:rPr>
          <w:shd w:fill="EEEEEE" w:val="clear"/>
          <w:lang w:val="de-DE"/>
        </w:rPr>
      </w:pPr>
      <w:r>
        <w:rPr>
          <w:shd w:fill="EEEEEE" w:val="clear"/>
          <w:lang w:val="de-DE"/>
        </w:rPr>
        <w:t>welche Aufgaben erfüllt werden müssen, damit die Ziele erreicht werden</w:t>
      </w:r>
    </w:p>
    <w:p>
      <w:pPr>
        <w:pStyle w:val="10000-DefaultParagraph"/>
        <w:numPr>
          <w:ilvl w:val="0"/>
          <w:numId w:val="79"/>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9"/>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9"/>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_Toc531165018"/>
      <w:bookmarkStart w:id="115" w:name="_Toc530662883"/>
      <w:bookmarkStart w:id="116" w:name="_Toc178761313"/>
      <w:bookmarkStart w:id="117" w:name="_Toc187327034"/>
      <w:bookmarkStart w:id="118" w:name="rl%2525252525252525252525252525252525259"/>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shd w:fill="EEEEEE" w:val="clear"/>
          <w:lang w:val="de-DE"/>
        </w:rPr>
      </w:pPr>
      <w:r>
        <w:rPr>
          <w:shd w:fill="EEEEEE" w:val="clear"/>
          <w:lang w:val="de-DE"/>
        </w:rPr>
        <w:t>Die rechtliche Zulässigkeit wurde geprüft.</w:t>
      </w:r>
    </w:p>
    <w:p>
      <w:pPr>
        <w:pStyle w:val="10000-DefaultParagraph"/>
        <w:numPr>
          <w:ilvl w:val="0"/>
          <w:numId w:val="85"/>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1165019"/>
      <w:bookmarkStart w:id="121" w:name="rl%252525252525252525252525252525252525a"/>
      <w:bookmarkStart w:id="122" w:name="zeitliche_ressourcen"/>
      <w:bookmarkStart w:id="123" w:name="_Toc178761314"/>
      <w:bookmarkStart w:id="124" w:name="_Toc530662884"/>
      <w:bookmarkStart w:id="125" w:name="_Toc187327035"/>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rl%252525252525252525252525252525252525b"/>
      <w:bookmarkStart w:id="128" w:name="_Toc187327036"/>
      <w:bookmarkStart w:id="129" w:name="_Toc531165020"/>
      <w:bookmarkStart w:id="130" w:name="_Toc530662885"/>
      <w:bookmarkStart w:id="131" w:name="_Toc178761315"/>
      <w:bookmarkStart w:id="132" w:name="delegieren_von_aufgaben"/>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531165021"/>
      <w:bookmarkStart w:id="135" w:name="_Ref178760601"/>
      <w:bookmarkStart w:id="136" w:name="_Toc178588052"/>
      <w:bookmarkStart w:id="137" w:name="_Toc178761316"/>
      <w:bookmarkStart w:id="138" w:name="_Toc187327037"/>
      <w:bookmarkStart w:id="139" w:name="topmanagement"/>
      <w:bookmarkStart w:id="140" w:name="rl%252525252525252525252525252525252525c"/>
      <w:bookmarkStart w:id="141" w:name="_Toc530662886"/>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shd w:fill="EEEEEE" w:val="clear"/>
          <w:lang w:val="de-DE"/>
        </w:rPr>
      </w:pPr>
      <w:ins w:id="89" w:author="Mark Semmler" w:date="2026-01-10T14:46:42Z">
        <w:r>
          <w:rPr>
            <w:shd w:fill="EEEEEE" w:val="clear"/>
            <w:lang w:val="de-DE"/>
          </w:rPr>
          <w:t>Inkraftsetzung</w:t>
        </w:r>
      </w:ins>
      <w:del w:id="90" w:author="Mark Semmler" w:date="2026-01-10T14:46:42Z">
        <w:r>
          <w:rPr>
            <w:shd w:fill="EEEEEE" w:val="clear"/>
            <w:lang w:val="de-DE"/>
          </w:rPr>
          <w:delText>In Kraft Setzung</w:delText>
        </w:r>
      </w:del>
      <w:r>
        <w:rPr>
          <w:shd w:fill="EEEEEE" w:val="clear"/>
          <w:lang w:val="de-DE"/>
        </w:rPr>
        <w:t xml:space="preserve"> von Richtlinien für die Informationssicherheit (IS-Richtlinien)</w:t>
      </w:r>
    </w:p>
    <w:p>
      <w:pPr>
        <w:pStyle w:val="10000-DefaultParagraph"/>
        <w:numPr>
          <w:ilvl w:val="0"/>
          <w:numId w:val="78"/>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_Toc178761317"/>
      <w:bookmarkStart w:id="145" w:name="_Toc530662887"/>
      <w:bookmarkStart w:id="146" w:name="rl%252525252525252525252525252525252525d"/>
      <w:bookmarkStart w:id="147" w:name="_Toc178588053"/>
      <w:bookmarkStart w:id="148" w:name="_Toc187327038"/>
      <w:bookmarkStart w:id="149" w:name="informationssicherheitsbeauftragter_isb"/>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commentRangeStart w:id="9"/>
      <w:r>
        <w:rPr>
          <w:i/>
          <w:iCs/>
          <w:shd w:fill="auto" w:val="clear"/>
          <w:lang w:val="de-DE"/>
        </w:rPr>
        <w:t>Der ISB SOLLTE direkt dem Topmanagement unterstellt sein.</w:t>
      </w:r>
      <w:commentRangeEnd w:id="9"/>
      <w:r>
        <w:commentReference w:id="9"/>
      </w:r>
      <w:r>
        <w:rPr>
          <w:i/>
          <w:iCs/>
          <w:shd w:fill="auto" w:val="clear"/>
          <w:lang w:val="de-DE"/>
        </w:rPr>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 xml:space="preserve">Anpassung der Informationssicherheit an </w:t>
      </w:r>
      <w:ins w:id="91" w:author="Mark Semmler" w:date="2026-01-10T14:46:42Z">
        <w:r>
          <w:rPr>
            <w:rStyle w:val="Strong"/>
            <w:b w:val="false"/>
            <w:bCs w:val="false"/>
            <w:shd w:fill="auto" w:val="clear"/>
            <w:lang w:val="de-DE"/>
          </w:rPr>
          <w:t>geänderte</w:t>
        </w:r>
      </w:ins>
      <w:del w:id="92" w:author="Mark Semmler" w:date="2026-01-10T14:46:42Z">
        <w:r>
          <w:rPr>
            <w:rStyle w:val="Strong"/>
            <w:b w:val="false"/>
            <w:bCs w:val="false"/>
            <w:shd w:fill="EEEEEE" w:val="clear"/>
            <w:lang w:val="de-DE"/>
          </w:rPr>
          <w:delText>neue</w:delText>
        </w:r>
      </w:del>
      <w:r>
        <w:rPr>
          <w:rStyle w:val="Strong"/>
          <w:b w:val="false"/>
          <w:bCs w:val="false"/>
          <w:shd w:fill="EEEEEE" w:val="clear"/>
          <w:lang w:val="de-DE"/>
        </w:rPr>
        <w:t xml:space="preserve"> Bedrohungen, </w:t>
      </w:r>
      <w:ins w:id="93" w:author="Mark Semmler" w:date="2026-01-10T14:46:42Z">
        <w:r>
          <w:rPr>
            <w:rStyle w:val="Strong"/>
            <w:b w:val="false"/>
            <w:bCs w:val="false"/>
            <w:shd w:fill="auto" w:val="clear"/>
            <w:lang w:val="de-DE"/>
          </w:rPr>
          <w:t>geänderte</w:t>
        </w:r>
      </w:ins>
      <w:del w:id="94" w:author="Mark Semmler" w:date="2026-01-10T14:46:42Z">
        <w:r>
          <w:rPr>
            <w:rStyle w:val="Strong"/>
            <w:b w:val="false"/>
            <w:bCs w:val="false"/>
            <w:shd w:fill="EEEEEE" w:val="clear"/>
            <w:lang w:val="de-DE"/>
          </w:rPr>
          <w:delText>neue</w:delText>
        </w:r>
      </w:del>
      <w:r>
        <w:rPr>
          <w:rStyle w:val="Strong"/>
          <w:b w:val="false"/>
          <w:bCs w:val="false"/>
          <w:shd w:fill="EEEEEE" w:val="clear"/>
          <w:lang w:val="de-DE"/>
        </w:rPr>
        <w:t xml:space="preserve"> Schwachstellen und an </w:t>
      </w:r>
      <w:ins w:id="95" w:author="Mark Semmler" w:date="2026-01-10T14:46:42Z">
        <w:r>
          <w:rPr>
            <w:rStyle w:val="Strong"/>
            <w:b w:val="false"/>
            <w:bCs w:val="false"/>
            <w:shd w:fill="auto" w:val="clear"/>
            <w:lang w:val="de-DE"/>
          </w:rPr>
          <w:t>geänderte</w:t>
        </w:r>
      </w:ins>
      <w:del w:id="96" w:author="Mark Semmler" w:date="2026-01-10T14:46:42Z">
        <w:r>
          <w:rPr>
            <w:rStyle w:val="Strong"/>
            <w:b w:val="false"/>
            <w:bCs w:val="false"/>
            <w:shd w:fill="EEEEEE" w:val="clear"/>
            <w:lang w:val="de-DE"/>
          </w:rPr>
          <w:delText>neue</w:delText>
        </w:r>
      </w:del>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informationssicherheitsteam_ist"/>
      <w:bookmarkStart w:id="152" w:name="_Toc187327039"/>
      <w:bookmarkStart w:id="153" w:name="_Toc178588054"/>
      <w:bookmarkStart w:id="154" w:name="_Toc531165023"/>
      <w:bookmarkStart w:id="155" w:name="_Ref184204363"/>
      <w:bookmarkStart w:id="156" w:name="_Toc530662888"/>
      <w:bookmarkStart w:id="157" w:name="_Toc178761318"/>
      <w:bookmarkStart w:id="158" w:name="rl%252525252525252525252525252525252525e"/>
      <w:bookmarkStart w:id="159" w:name="_Ref184200602"/>
      <w:bookmarkEnd w:id="150"/>
      <w:bookmarkEnd w:id="158"/>
      <w:r>
        <w:rPr>
          <w:shd w:fill="EEEEEE" w:val="clear"/>
          <w:lang w:val="de-DE"/>
        </w:rPr>
        <w:t>Informationssicherheitsteam</w:t>
      </w:r>
      <w:bookmarkEnd w:id="151"/>
      <w:bookmarkEnd w:id="152"/>
      <w:bookmarkEnd w:id="153"/>
      <w:bookmarkEnd w:id="154"/>
      <w:bookmarkEnd w:id="155"/>
      <w:bookmarkEnd w:id="156"/>
      <w:bookmarkEnd w:id="157"/>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shd w:fill="EEEEEE" w:val="clear"/>
          <w:lang w:val="de-DE"/>
        </w:rPr>
      </w:pPr>
      <w:r>
        <w:rPr>
          <w:shd w:fill="EEEEEE" w:val="clear"/>
          <w:lang w:val="de-DE"/>
        </w:rPr>
        <w:t>Topmanagement</w:t>
      </w:r>
    </w:p>
    <w:p>
      <w:pPr>
        <w:pStyle w:val="Liste1"/>
        <w:numPr>
          <w:ilvl w:val="0"/>
          <w:numId w:val="76"/>
        </w:numPr>
        <w:spacing w:lineRule="auto" w:line="250"/>
        <w:rPr>
          <w:shd w:fill="EEEEEE" w:val="clear"/>
          <w:lang w:val="de-DE"/>
        </w:rPr>
      </w:pPr>
      <w:r>
        <w:rPr>
          <w:shd w:fill="EEEEEE" w:val="clear"/>
          <w:lang w:val="de-DE"/>
        </w:rPr>
        <w:t>ISB</w:t>
      </w:r>
    </w:p>
    <w:p>
      <w:pPr>
        <w:pStyle w:val="Liste1"/>
        <w:numPr>
          <w:ilvl w:val="0"/>
          <w:numId w:val="76"/>
        </w:numPr>
        <w:spacing w:lineRule="auto" w:line="250"/>
        <w:rPr>
          <w:shd w:fill="EEEEEE" w:val="clear"/>
          <w:lang w:val="de-DE"/>
        </w:rPr>
      </w:pPr>
      <w:r>
        <w:rPr>
          <w:shd w:fill="EEEEEE" w:val="clear"/>
          <w:lang w:val="de-DE"/>
        </w:rPr>
        <w:t>IT-Verantwortliche</w:t>
      </w:r>
    </w:p>
    <w:p>
      <w:pPr>
        <w:pStyle w:val="Liste1"/>
        <w:numPr>
          <w:ilvl w:val="0"/>
          <w:numId w:val="76"/>
        </w:numPr>
        <w:spacing w:lineRule="auto" w:line="250"/>
        <w:rPr>
          <w:shd w:fill="EEEEEE" w:val="clear"/>
          <w:lang w:val="de-DE"/>
          <w:ins w:id="98" w:author="Mark Semmler" w:date="2026-01-10T14:46:42Z"/>
        </w:rPr>
      </w:pPr>
      <w:ins w:id="97" w:author="Mark Semmler" w:date="2026-01-10T14:46:42Z">
        <w:r>
          <w:rPr>
            <w:shd w:fill="EEEEEE" w:val="clear"/>
            <w:lang w:val="de-DE"/>
          </w:rPr>
          <w:t>IT-Krisenmanager</w:t>
        </w:r>
      </w:ins>
    </w:p>
    <w:p>
      <w:pPr>
        <w:pStyle w:val="Liste1"/>
        <w:numPr>
          <w:ilvl w:val="0"/>
          <w:numId w:val="76"/>
        </w:numPr>
        <w:spacing w:lineRule="auto" w:line="250"/>
        <w:rPr>
          <w:shd w:fill="EEEEEE" w:val="clear"/>
          <w:lang w:val="de-DE"/>
          <w:del w:id="100" w:author="Mark Semmler" w:date="2026-01-10T14:46:42Z"/>
        </w:rPr>
      </w:pPr>
      <w:del w:id="99" w:author="Mark Semmler" w:date="2026-01-10T14:46:42Z">
        <w:r>
          <w:rPr>
            <w:shd w:fill="EEEEEE" w:val="clear"/>
            <w:lang w:val="de-DE"/>
          </w:rPr>
          <w:delText>Krisenmanagement (z. B. IT-Krisenmanager)</w:delText>
        </w:r>
      </w:del>
    </w:p>
    <w:p>
      <w:pPr>
        <w:pStyle w:val="Liste1"/>
        <w:numPr>
          <w:ilvl w:val="0"/>
          <w:numId w:val="76"/>
        </w:numPr>
        <w:spacing w:lineRule="auto" w:line="250"/>
        <w:rPr>
          <w:shd w:fill="EEEEEE" w:val="clear"/>
          <w:lang w:val="de-DE"/>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5"/>
        </w:numPr>
        <w:spacing w:lineRule="auto" w:line="250"/>
        <w:rPr>
          <w:shd w:fill="EEEEEE" w:val="clear"/>
          <w:lang w:val="de-DE"/>
        </w:rPr>
      </w:pPr>
      <w:r>
        <w:rPr>
          <w:shd w:fill="EEEEEE" w:val="clear"/>
          <w:lang w:val="de-DE"/>
        </w:rPr>
        <w:t>Erkennen und Bewerten neuer Bedrohungen und Schwachstellen</w:t>
      </w:r>
    </w:p>
    <w:p>
      <w:pPr>
        <w:pStyle w:val="Liste1"/>
        <w:numPr>
          <w:ilvl w:val="0"/>
          <w:numId w:val="75"/>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ins w:id="102" w:author="Mark Semmler" w:date="2026-01-10T14:46:42Z"/>
        </w:rPr>
      </w:pPr>
      <w:bookmarkStart w:id="160" w:name="__RefHeading___Toc19672_274587230_Copy_1"/>
      <w:bookmarkEnd w:id="160"/>
      <w:ins w:id="101" w:author="Mark Semmler" w:date="2026-01-10T14:46:42Z">
        <w:r>
          <w:rPr/>
          <w:t>IT-Krisenmanager</w:t>
        </w:r>
      </w:ins>
    </w:p>
    <w:p>
      <w:pPr>
        <w:pStyle w:val="Normal"/>
        <w:rPr>
          <w:ins w:id="105" w:author="Mark Semmler" w:date="2026-01-10T14:46:42Z"/>
        </w:rPr>
      </w:pPr>
      <w:ins w:id="103" w:author="Mark Semmler" w:date="2026-01-10T14:46:42Z">
        <w:r>
          <w:rPr/>
          <w:t xml:space="preserve">Das Topmanagement MUSS einen IT-Krisenmanager </w:t>
        </w:r>
      </w:ins>
      <w:ins w:id="104" w:author="Mark Semmler" w:date="2026-01-10T14:46:42Z">
        <w:r>
          <w:rPr>
            <w:shd w:fill="auto" w:val="clear"/>
            <w:lang w:val="de-DE"/>
          </w:rPr>
          <w:t>bestellen.</w:t>
        </w:r>
      </w:ins>
    </w:p>
    <w:p>
      <w:pPr>
        <w:pStyle w:val="Normal"/>
        <w:rPr>
          <w:shd w:fill="auto" w:val="clear"/>
          <w:ins w:id="107" w:author="Mark Semmler" w:date="2026-01-10T14:46:42Z"/>
        </w:rPr>
      </w:pPr>
      <w:ins w:id="106" w:author="Mark Semmler" w:date="2026-01-10T14:46:42Z">
        <w:r>
          <w:rPr>
            <w:shd w:fill="auto" w:val="clear"/>
            <w:lang w:val="de-DE"/>
          </w:rPr>
          <w:t>Dieser MUSS im Fall einer IT-Krise die folgenden Verantwortlichkeiten:</w:t>
        </w:r>
      </w:ins>
    </w:p>
    <w:p>
      <w:pPr>
        <w:pStyle w:val="Liste1"/>
        <w:widowControl/>
        <w:numPr>
          <w:ilvl w:val="0"/>
          <w:numId w:val="25"/>
        </w:numPr>
        <w:suppressAutoHyphens w:val="false"/>
        <w:overflowPunct w:val="true"/>
        <w:bidi w:val="0"/>
        <w:spacing w:lineRule="auto" w:line="250"/>
        <w:jc w:val="both"/>
        <w:rPr>
          <w:shd w:fill="auto" w:val="clear"/>
          <w:ins w:id="109" w:author="Mark Semmler" w:date="2026-01-10T14:46:42Z"/>
        </w:rPr>
      </w:pPr>
      <w:ins w:id="108" w:author="Mark Semmler" w:date="2026-01-10T14:46:42Z">
        <w:r>
          <w:rPr>
            <w:rFonts w:eastAsia="Arial" w:cs="DejaVu Sans"/>
            <w:kern w:val="0"/>
            <w:sz w:val="20"/>
            <w:szCs w:val="22"/>
            <w:shd w:fill="auto" w:val="clear"/>
            <w:lang w:val="de-DE" w:eastAsia="en-US" w:bidi="ar-SA"/>
          </w:rPr>
          <w:t>Leitung des IT-Krisenmanagements, insbesondere das Koordinieren der notwendigen Maßnahmen zur Bewältigung der IT-Krise</w:t>
        </w:r>
      </w:ins>
    </w:p>
    <w:p>
      <w:pPr>
        <w:pStyle w:val="Liste1"/>
        <w:widowControl/>
        <w:numPr>
          <w:ilvl w:val="0"/>
          <w:numId w:val="25"/>
        </w:numPr>
        <w:suppressAutoHyphens w:val="false"/>
        <w:overflowPunct w:val="true"/>
        <w:bidi w:val="0"/>
        <w:spacing w:lineRule="auto" w:line="250"/>
        <w:jc w:val="both"/>
        <w:rPr>
          <w:shd w:fill="auto" w:val="clear"/>
          <w:ins w:id="111" w:author="Mark Semmler" w:date="2026-01-10T14:46:42Z"/>
        </w:rPr>
      </w:pPr>
      <w:ins w:id="110" w:author="Mark Semmler" w:date="2026-01-10T14:46:42Z">
        <w:r>
          <w:rPr>
            <w:rFonts w:eastAsia="Arial" w:cs="DejaVu Sans"/>
            <w:kern w:val="0"/>
            <w:sz w:val="20"/>
            <w:szCs w:val="22"/>
            <w:shd w:fill="auto" w:val="clear"/>
            <w:lang w:val="de-DE" w:eastAsia="en-US" w:bidi="ar-SA"/>
          </w:rPr>
          <w:t>Berichten an das Topmanagement</w:t>
        </w:r>
      </w:ins>
    </w:p>
    <w:p>
      <w:pPr>
        <w:pStyle w:val="Liste1"/>
        <w:widowControl/>
        <w:numPr>
          <w:ilvl w:val="0"/>
          <w:numId w:val="25"/>
        </w:numPr>
        <w:suppressAutoHyphens w:val="false"/>
        <w:overflowPunct w:val="true"/>
        <w:bidi w:val="0"/>
        <w:spacing w:lineRule="auto" w:line="250"/>
        <w:jc w:val="both"/>
        <w:rPr>
          <w:rFonts w:eastAsia="Arial" w:cs="DejaVu Sans"/>
          <w:kern w:val="0"/>
          <w:sz w:val="20"/>
          <w:szCs w:val="22"/>
          <w:shd w:fill="auto" w:val="clear"/>
          <w:lang w:val="de-DE" w:eastAsia="en-US" w:bidi="ar-SA"/>
          <w:ins w:id="113" w:author="Mark Semmler" w:date="2026-01-10T14:46:42Z"/>
        </w:rPr>
      </w:pPr>
      <w:ins w:id="112" w:author="Mark Semmler" w:date="2026-01-10T14:46:42Z">
        <w:r>
          <w:rPr>
            <w:rFonts w:eastAsia="Arial" w:cs="DejaVu Sans"/>
            <w:kern w:val="0"/>
            <w:sz w:val="20"/>
            <w:szCs w:val="22"/>
            <w:shd w:fill="auto" w:val="clear"/>
            <w:lang w:val="de-DE" w:eastAsia="en-US" w:bidi="ar-SA"/>
          </w:rPr>
          <w:t>Nachbereitung der Bewältigung der IT-Krise</w:t>
        </w:r>
      </w:ins>
    </w:p>
    <w:p>
      <w:pPr>
        <w:pStyle w:val="Heading2"/>
        <w:ind w:hanging="0" w:left="0"/>
        <w:rPr>
          <w:ins w:id="115" w:author="Mark Semmler" w:date="2026-01-10T14:46:42Z"/>
        </w:rPr>
      </w:pPr>
      <w:bookmarkStart w:id="161" w:name="__RefHeading___Toc19674_274587230_Copy_1"/>
      <w:bookmarkStart w:id="162" w:name="__RefNumPara__21445_3081562653_Copy_1"/>
      <w:bookmarkEnd w:id="161"/>
      <w:bookmarkEnd w:id="162"/>
      <w:ins w:id="114" w:author="Mark Semmler" w:date="2026-01-10T14:46:42Z">
        <w:r>
          <w:rPr/>
          <w:t>IT-Krisenstab</w:t>
        </w:r>
      </w:ins>
    </w:p>
    <w:p>
      <w:pPr>
        <w:pStyle w:val="Normal"/>
        <w:rPr>
          <w:ins w:id="118" w:author="Mark Semmler" w:date="2026-01-10T14:46:42Z"/>
        </w:rPr>
      </w:pPr>
      <w:ins w:id="116" w:author="Mark Semmler" w:date="2026-01-10T14:46:42Z">
        <w:r>
          <w:rPr/>
          <w:t xml:space="preserve">Das Topmanagement MUSS einen IT-Krisenstab </w:t>
        </w:r>
      </w:ins>
      <w:ins w:id="117" w:author="Mark Semmler" w:date="2026-01-10T14:46:42Z">
        <w:r>
          <w:rPr>
            <w:lang w:val="de-DE"/>
          </w:rPr>
          <w:t>bestellen.</w:t>
        </w:r>
      </w:ins>
    </w:p>
    <w:p>
      <w:pPr>
        <w:pStyle w:val="Normal"/>
        <w:rPr>
          <w:lang w:val="de-DE"/>
          <w:ins w:id="120" w:author="Mark Semmler" w:date="2026-01-10T14:46:42Z"/>
        </w:rPr>
      </w:pPr>
      <w:ins w:id="119" w:author="Mark Semmler" w:date="2026-01-10T14:46:42Z">
        <w:r>
          <w:rPr>
            <w:lang w:val="de-DE"/>
          </w:rPr>
          <w:t>In diesem MÜSSEN folgende Organisationseinheiten bzw. Positionen persönlich oder durch einen Repräsentanten vertreten sein:</w:t>
        </w:r>
      </w:ins>
    </w:p>
    <w:p>
      <w:pPr>
        <w:pStyle w:val="Liste1"/>
        <w:widowControl/>
        <w:numPr>
          <w:ilvl w:val="0"/>
          <w:numId w:val="107"/>
        </w:numPr>
        <w:suppressAutoHyphens w:val="false"/>
        <w:overflowPunct w:val="true"/>
        <w:bidi w:val="0"/>
        <w:spacing w:lineRule="auto" w:line="250" w:before="120" w:after="120"/>
        <w:ind w:hanging="340" w:left="737" w:right="0"/>
        <w:jc w:val="both"/>
        <w:rPr>
          <w:shd w:fill="auto" w:val="clear"/>
          <w:lang w:val="de-DE"/>
          <w:ins w:id="122" w:author="Mark Semmler" w:date="2026-01-10T14:46:42Z"/>
        </w:rPr>
      </w:pPr>
      <w:ins w:id="121" w:author="Mark Semmler" w:date="2026-01-10T14:46:42Z">
        <w:r>
          <w:rPr>
            <w:shd w:fill="auto" w:val="clear"/>
            <w:lang w:val="de-DE"/>
          </w:rPr>
          <w:t>Topmanagement</w:t>
        </w:r>
      </w:ins>
    </w:p>
    <w:p>
      <w:pPr>
        <w:pStyle w:val="Liste1"/>
        <w:widowControl/>
        <w:numPr>
          <w:ilvl w:val="0"/>
          <w:numId w:val="108"/>
        </w:numPr>
        <w:suppressAutoHyphens w:val="false"/>
        <w:overflowPunct w:val="true"/>
        <w:bidi w:val="0"/>
        <w:spacing w:lineRule="auto" w:line="250" w:before="120" w:after="120"/>
        <w:ind w:hanging="340" w:left="737" w:right="0"/>
        <w:jc w:val="both"/>
        <w:rPr>
          <w:shd w:fill="auto" w:val="clear"/>
          <w:lang w:val="de-DE"/>
          <w:ins w:id="124" w:author="Mark Semmler" w:date="2026-01-10T14:46:42Z"/>
        </w:rPr>
      </w:pPr>
      <w:ins w:id="123" w:author="Mark Semmler" w:date="2026-01-10T14:46:42Z">
        <w:r>
          <w:rPr>
            <w:shd w:fill="auto" w:val="clear"/>
            <w:lang w:val="de-DE"/>
          </w:rPr>
          <w:t>IT-Krisenmanager</w:t>
        </w:r>
      </w:ins>
    </w:p>
    <w:p>
      <w:pPr>
        <w:pStyle w:val="Liste1"/>
        <w:widowControl/>
        <w:numPr>
          <w:ilvl w:val="0"/>
          <w:numId w:val="109"/>
        </w:numPr>
        <w:suppressAutoHyphens w:val="false"/>
        <w:overflowPunct w:val="true"/>
        <w:bidi w:val="0"/>
        <w:spacing w:lineRule="auto" w:line="250" w:before="120" w:after="120"/>
        <w:ind w:hanging="340" w:left="737" w:right="0"/>
        <w:jc w:val="both"/>
        <w:rPr>
          <w:shd w:fill="auto" w:val="clear"/>
          <w:lang w:val="de-DE"/>
          <w:ins w:id="126" w:author="Mark Semmler" w:date="2026-01-10T14:46:42Z"/>
        </w:rPr>
      </w:pPr>
      <w:ins w:id="125" w:author="Mark Semmler" w:date="2026-01-10T14:46:42Z">
        <w:r>
          <w:rPr>
            <w:shd w:fill="auto" w:val="clear"/>
            <w:lang w:val="de-DE"/>
          </w:rPr>
          <w:t>ISB</w:t>
        </w:r>
      </w:ins>
    </w:p>
    <w:p>
      <w:pPr>
        <w:pStyle w:val="Liste1"/>
        <w:widowControl/>
        <w:numPr>
          <w:ilvl w:val="0"/>
          <w:numId w:val="110"/>
        </w:numPr>
        <w:suppressAutoHyphens w:val="false"/>
        <w:overflowPunct w:val="true"/>
        <w:bidi w:val="0"/>
        <w:spacing w:lineRule="auto" w:line="250" w:before="120" w:after="120"/>
        <w:ind w:hanging="340" w:left="737" w:right="0"/>
        <w:jc w:val="both"/>
        <w:rPr>
          <w:shd w:fill="auto" w:val="clear"/>
          <w:lang w:val="de-DE"/>
          <w:ins w:id="128" w:author="Mark Semmler" w:date="2026-01-10T14:46:42Z"/>
        </w:rPr>
      </w:pPr>
      <w:ins w:id="127" w:author="Mark Semmler" w:date="2026-01-10T14:46:42Z">
        <w:r>
          <w:rPr>
            <w:shd w:fill="auto" w:val="clear"/>
            <w:lang w:val="de-DE"/>
          </w:rPr>
          <w:t>IT-Verantwortliche</w:t>
        </w:r>
      </w:ins>
    </w:p>
    <w:p>
      <w:pPr>
        <w:pStyle w:val="Liste1"/>
        <w:widowControl/>
        <w:numPr>
          <w:ilvl w:val="0"/>
          <w:numId w:val="111"/>
        </w:numPr>
        <w:suppressAutoHyphens w:val="false"/>
        <w:overflowPunct w:val="true"/>
        <w:bidi w:val="0"/>
        <w:spacing w:lineRule="auto" w:line="250" w:before="120" w:after="120"/>
        <w:ind w:hanging="340" w:left="737" w:right="0"/>
        <w:jc w:val="both"/>
        <w:rPr>
          <w:shd w:fill="auto" w:val="clear"/>
          <w:ins w:id="130" w:author="Mark Semmler" w:date="2026-01-10T14:46:42Z"/>
        </w:rPr>
      </w:pPr>
      <w:ins w:id="129" w:author="Mark Semmler" w:date="2026-01-10T14:46:42Z">
        <w:r>
          <w:rPr>
            <w:shd w:fill="auto" w:val="clear"/>
            <w:lang w:val="de-DE"/>
          </w:rPr>
          <w:t>Prozesseigentümer der zentralen Prozesse und der Prozesse mit hohem Schadenpotential</w:t>
        </w:r>
      </w:ins>
    </w:p>
    <w:p>
      <w:pPr>
        <w:pStyle w:val="Normal"/>
        <w:spacing w:before="0" w:after="240"/>
        <w:rPr>
          <w:shd w:fill="auto" w:val="clear"/>
          <w:lang w:val="de-DE"/>
          <w:ins w:id="132" w:author="Mark Semmler" w:date="2026-01-10T14:46:42Z"/>
        </w:rPr>
      </w:pPr>
      <w:ins w:id="131" w:author="Mark Semmler" w:date="2026-01-10T14:46:42Z">
        <w:r>
          <w:rPr>
            <w:shd w:fill="auto" w:val="clear"/>
          </w:rPr>
          <w:t>Der IT-Krisenstab MUSS den IT-Krisenmanager unterstützen, insbesondere beim Bewerten der Lage in einer IT-Krise sowie dem organisationsweiten Steuern und Koordinieren der Maßnahmen zu deren Bewältigung.</w:t>
        </w:r>
      </w:ins>
    </w:p>
    <w:p>
      <w:pPr>
        <w:pStyle w:val="Heading2"/>
        <w:ind w:hanging="0" w:left="0"/>
        <w:rPr>
          <w:shd w:fill="EEEEEE" w:val="clear"/>
        </w:rPr>
      </w:pPr>
      <w:bookmarkStart w:id="163" w:name="__RefHeading___Toc31940_2021121348"/>
      <w:bookmarkStart w:id="164" w:name="_Toc530662889"/>
      <w:bookmarkStart w:id="165" w:name="_Toc531165024"/>
      <w:bookmarkStart w:id="166" w:name="_Toc178588055"/>
      <w:bookmarkStart w:id="167" w:name="it-verantwortliche_del_rdel"/>
      <w:bookmarkStart w:id="168" w:name="_Toc187327040"/>
      <w:bookmarkStart w:id="169" w:name="_Toc178761319"/>
      <w:bookmarkStart w:id="170" w:name="rl%252525252525252525252525252525252525f"/>
      <w:bookmarkEnd w:id="163"/>
      <w:bookmarkEnd w:id="170"/>
      <w:r>
        <w:rPr>
          <w:shd w:fill="EEEEEE" w:val="clear"/>
          <w:lang w:val="de-DE"/>
        </w:rPr>
        <w:t>IT-Verantwortliche</w:t>
      </w:r>
      <w:bookmarkEnd w:id="164"/>
      <w:bookmarkEnd w:id="165"/>
      <w:bookmarkEnd w:id="166"/>
      <w:bookmarkEnd w:id="167"/>
      <w:bookmarkEnd w:id="168"/>
      <w:bookmarkEnd w:id="169"/>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shd w:fill="EEEEEE" w:val="clear"/>
          <w:lang w:val="de-DE"/>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71" w:name="__RefHeading___Toc31942_2021121348"/>
      <w:bookmarkStart w:id="172" w:name="_Toc530662890"/>
      <w:bookmarkStart w:id="173" w:name="_Toc178588056"/>
      <w:bookmarkStart w:id="174" w:name="rl%252525252525252525252525252525252525g"/>
      <w:bookmarkStart w:id="175" w:name="administratoren"/>
      <w:bookmarkStart w:id="176" w:name="_Toc187327041"/>
      <w:bookmarkStart w:id="177" w:name="_Toc178761320"/>
      <w:bookmarkStart w:id="178" w:name="_Toc531165025"/>
      <w:bookmarkEnd w:id="171"/>
      <w:bookmarkEnd w:id="174"/>
      <w:r>
        <w:rPr>
          <w:shd w:fill="EEEEEE" w:val="clear"/>
          <w:lang w:val="de-DE"/>
        </w:rPr>
        <w:t>Administratoren</w:t>
      </w:r>
      <w:bookmarkEnd w:id="172"/>
      <w:bookmarkEnd w:id="173"/>
      <w:bookmarkEnd w:id="175"/>
      <w:bookmarkEnd w:id="176"/>
      <w:bookmarkEnd w:id="177"/>
      <w:bookmarkEnd w:id="178"/>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9" w:name="__RefHeading___Toc31944_2021121348"/>
      <w:bookmarkStart w:id="180" w:name="_Toc530662891"/>
      <w:bookmarkStart w:id="181" w:name="_Toc187327042"/>
      <w:bookmarkStart w:id="182" w:name="vorgesetzte_del_mit_personalverantwortun"/>
      <w:bookmarkStart w:id="183" w:name="_Toc531165026"/>
      <w:bookmarkStart w:id="184" w:name="_Toc178588057"/>
      <w:bookmarkStart w:id="185" w:name="_Toc178761321"/>
      <w:bookmarkStart w:id="186" w:name="rl%252525252525252525252525252525252525h"/>
      <w:bookmarkEnd w:id="179"/>
      <w:bookmarkEnd w:id="186"/>
      <w:r>
        <w:rPr>
          <w:shd w:fill="EEEEEE" w:val="clear"/>
          <w:lang w:val="de-DE"/>
        </w:rPr>
        <w:t>Vorgesetzte</w:t>
      </w:r>
      <w:bookmarkEnd w:id="180"/>
      <w:bookmarkEnd w:id="181"/>
      <w:bookmarkEnd w:id="182"/>
      <w:bookmarkEnd w:id="183"/>
      <w:bookmarkEnd w:id="184"/>
      <w:bookmarkEnd w:id="185"/>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7" w:name="__RefHeading___Toc31946_2021121348"/>
      <w:bookmarkStart w:id="188" w:name="_Toc187327043"/>
      <w:bookmarkStart w:id="189" w:name="_Toc530662892"/>
      <w:bookmarkStart w:id="190" w:name="del_personaldel_mitarbeiter"/>
      <w:bookmarkStart w:id="191" w:name="_Toc178761322"/>
      <w:bookmarkStart w:id="192" w:name="rl%252525252525252525252525252525252525i"/>
      <w:bookmarkStart w:id="193" w:name="_Toc531165027"/>
      <w:bookmarkStart w:id="194" w:name="_Toc178588058"/>
      <w:bookmarkEnd w:id="187"/>
      <w:bookmarkEnd w:id="192"/>
      <w:r>
        <w:rPr>
          <w:shd w:fill="EEEEEE" w:val="clear"/>
          <w:lang w:val="de-DE"/>
        </w:rPr>
        <w:t>Mitarbeiter</w:t>
      </w:r>
      <w:bookmarkEnd w:id="188"/>
      <w:bookmarkEnd w:id="189"/>
      <w:bookmarkEnd w:id="190"/>
      <w:bookmarkEnd w:id="191"/>
      <w:bookmarkEnd w:id="193"/>
      <w:bookmarkEnd w:id="194"/>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5" w:name="__RefHeading___Toc31948_2021121348"/>
      <w:bookmarkStart w:id="196" w:name="_Toc178761323"/>
      <w:bookmarkStart w:id="197" w:name="rl%252525252525252525252525252525252525j"/>
      <w:bookmarkStart w:id="198" w:name="_Toc530662893"/>
      <w:bookmarkStart w:id="199" w:name="_Toc187327044"/>
      <w:bookmarkStart w:id="200" w:name="projektverantwortliche"/>
      <w:bookmarkStart w:id="201" w:name="_Toc531165028"/>
      <w:bookmarkStart w:id="202" w:name="_Toc178588059"/>
      <w:bookmarkEnd w:id="195"/>
      <w:bookmarkEnd w:id="197"/>
      <w:r>
        <w:rPr>
          <w:shd w:fill="EEEEEE" w:val="clear"/>
          <w:lang w:val="de-DE"/>
        </w:rPr>
        <w:t>Projektverantwortliche</w:t>
      </w:r>
      <w:bookmarkEnd w:id="196"/>
      <w:bookmarkEnd w:id="198"/>
      <w:bookmarkEnd w:id="199"/>
      <w:bookmarkEnd w:id="200"/>
      <w:bookmarkEnd w:id="201"/>
      <w:bookmarkEnd w:id="202"/>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3" w:name="__RefHeading___Toc31950_2021121348"/>
      <w:bookmarkStart w:id="204" w:name="rl%252525252525252525252525252525252525k"/>
      <w:bookmarkStart w:id="205" w:name="_Toc178588060"/>
      <w:bookmarkStart w:id="206" w:name="_Toc531165029"/>
      <w:bookmarkStart w:id="207" w:name="_Toc178761324"/>
      <w:bookmarkStart w:id="208" w:name="del_lieferanten_und_sonstige_auftragnehm"/>
      <w:bookmarkStart w:id="209" w:name="_Toc187327045"/>
      <w:bookmarkStart w:id="210" w:name="_Toc530662894"/>
      <w:bookmarkEnd w:id="203"/>
      <w:bookmarkEnd w:id="204"/>
      <w:r>
        <w:rPr>
          <w:shd w:fill="EEEEEE" w:val="clear"/>
          <w:lang w:val="de-DE"/>
        </w:rPr>
        <w:t>Externe</w:t>
      </w:r>
      <w:bookmarkEnd w:id="205"/>
      <w:bookmarkEnd w:id="206"/>
      <w:bookmarkEnd w:id="207"/>
      <w:bookmarkEnd w:id="208"/>
      <w:bookmarkEnd w:id="210"/>
      <w:r>
        <w:rPr>
          <w:shd w:fill="EEEEEE" w:val="clear"/>
          <w:lang w:val="de-DE"/>
        </w:rPr>
        <w:t xml:space="preserve"> Personen</w:t>
      </w:r>
      <w:bookmarkEnd w:id="209"/>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Normal"/>
        <w:widowControl/>
        <w:numPr>
          <w:ilvl w:val="0"/>
          <w:numId w:val="0"/>
        </w:numPr>
        <w:suppressAutoHyphens w:val="false"/>
        <w:overflowPunct w:val="true"/>
        <w:bidi w:val="0"/>
        <w:spacing w:lineRule="auto" w:line="247" w:before="0" w:after="240"/>
        <w:ind w:hanging="0" w:left="0"/>
        <w:jc w:val="both"/>
        <w:rPr>
          <w:shd w:fill="auto" w:val="clear"/>
          <w:lang w:val="de-DE"/>
          <w:ins w:id="134" w:author="Mark Semmler" w:date="2026-01-10T14:46:42Z"/>
        </w:rPr>
      </w:pPr>
      <w:ins w:id="133" w:author="Mark Semmler" w:date="2026-01-10T14:46:42Z">
        <w:r>
          <w:rPr>
            <w:shd w:fill="auto" w:val="clear"/>
            <w:lang w:val="de-DE"/>
          </w:rPr>
        </w:r>
      </w:ins>
    </w:p>
    <w:p>
      <w:pPr>
        <w:pStyle w:val="Heading2"/>
        <w:ind w:hanging="0" w:left="0"/>
        <w:rPr>
          <w:del w:id="136" w:author="Mark Semmler" w:date="2026-01-10T14:46:42Z"/>
        </w:rPr>
      </w:pPr>
      <w:bookmarkStart w:id="211" w:name="__RefHeading___Toc19672_274587230"/>
      <w:bookmarkEnd w:id="211"/>
      <w:del w:id="135" w:author="Mark Semmler" w:date="2026-01-10T14:46:42Z">
        <w:r>
          <w:rPr/>
          <w:delText>IT-Krisenmanager</w:delText>
        </w:r>
      </w:del>
    </w:p>
    <w:p>
      <w:pPr>
        <w:pStyle w:val="Normal"/>
        <w:rPr>
          <w:del w:id="139" w:author="Mark Semmler" w:date="2026-01-10T14:46:42Z"/>
        </w:rPr>
      </w:pPr>
      <w:del w:id="137" w:author="Mark Semmler" w:date="2026-01-10T14:46:42Z">
        <w:r>
          <w:rPr/>
          <w:delText xml:space="preserve">Das Topmanagement MUSS einen IT-Krisenmanager </w:delText>
        </w:r>
      </w:del>
      <w:del w:id="138" w:author="Mark Semmler" w:date="2026-01-10T14:46:42Z">
        <w:r>
          <w:rPr>
            <w:shd w:fill="auto" w:val="clear"/>
            <w:lang w:val="de-DE"/>
          </w:rPr>
          <w:delText>bestellen.</w:delText>
        </w:r>
      </w:del>
    </w:p>
    <w:p>
      <w:pPr>
        <w:pStyle w:val="Normal"/>
        <w:rPr>
          <w:shd w:fill="auto" w:val="clear"/>
          <w:del w:id="141" w:author="Mark Semmler" w:date="2026-01-10T14:46:42Z"/>
        </w:rPr>
      </w:pPr>
      <w:del w:id="140" w:author="Mark Semmler" w:date="2026-01-10T14:46:42Z">
        <w:r>
          <w:rPr>
            <w:shd w:fill="auto" w:val="clear"/>
            <w:lang w:val="de-DE"/>
          </w:rPr>
          <w:delText>Dieser MUSS im Fall einer IT-Krise die folgenden Verantwortlichkeiten:</w:delText>
        </w:r>
      </w:del>
    </w:p>
    <w:p>
      <w:pPr>
        <w:pStyle w:val="Liste1"/>
        <w:widowControl/>
        <w:numPr>
          <w:ilvl w:val="0"/>
          <w:numId w:val="25"/>
        </w:numPr>
        <w:suppressAutoHyphens w:val="false"/>
        <w:overflowPunct w:val="true"/>
        <w:bidi w:val="0"/>
        <w:spacing w:lineRule="auto" w:line="250"/>
        <w:jc w:val="both"/>
        <w:rPr>
          <w:shd w:fill="auto" w:val="clear"/>
          <w:del w:id="143" w:author="Mark Semmler" w:date="2026-01-10T14:46:42Z"/>
        </w:rPr>
      </w:pPr>
      <w:del w:id="142" w:author="Mark Semmler" w:date="2026-01-10T14:46:42Z">
        <w:r>
          <w:rPr>
            <w:rFonts w:eastAsia="Arial" w:cs="DejaVu Sans"/>
            <w:kern w:val="0"/>
            <w:sz w:val="20"/>
            <w:szCs w:val="22"/>
            <w:shd w:fill="auto" w:val="clear"/>
            <w:lang w:val="de-DE" w:eastAsia="en-US" w:bidi="ar-SA"/>
          </w:rPr>
          <w:delText>Leitung des IT-Krisenmanagements, insbesondere das Koordinieren der notwendigen Maßnahmen zur Bewältigung der IT-Krise</w:delText>
        </w:r>
      </w:del>
    </w:p>
    <w:p>
      <w:pPr>
        <w:pStyle w:val="Liste1"/>
        <w:widowControl/>
        <w:numPr>
          <w:ilvl w:val="0"/>
          <w:numId w:val="25"/>
        </w:numPr>
        <w:suppressAutoHyphens w:val="false"/>
        <w:overflowPunct w:val="true"/>
        <w:bidi w:val="0"/>
        <w:spacing w:lineRule="auto" w:line="250"/>
        <w:jc w:val="both"/>
        <w:rPr>
          <w:shd w:fill="auto" w:val="clear"/>
          <w:del w:id="145" w:author="Mark Semmler" w:date="2026-01-10T14:46:42Z"/>
        </w:rPr>
      </w:pPr>
      <w:del w:id="144" w:author="Mark Semmler" w:date="2026-01-10T14:46:42Z">
        <w:r>
          <w:rPr>
            <w:rFonts w:eastAsia="Arial" w:cs="DejaVu Sans"/>
            <w:kern w:val="0"/>
            <w:sz w:val="20"/>
            <w:szCs w:val="22"/>
            <w:shd w:fill="auto" w:val="clear"/>
            <w:lang w:val="de-DE" w:eastAsia="en-US" w:bidi="ar-SA"/>
          </w:rPr>
          <w:delText>Berichten an das Topmanagement</w:delText>
        </w:r>
      </w:del>
    </w:p>
    <w:p>
      <w:pPr>
        <w:pStyle w:val="Liste1"/>
        <w:widowControl/>
        <w:numPr>
          <w:ilvl w:val="0"/>
          <w:numId w:val="25"/>
        </w:numPr>
        <w:suppressAutoHyphens w:val="false"/>
        <w:overflowPunct w:val="true"/>
        <w:bidi w:val="0"/>
        <w:spacing w:lineRule="auto" w:line="250"/>
        <w:jc w:val="both"/>
        <w:rPr>
          <w:rFonts w:eastAsia="Arial" w:cs="DejaVu Sans"/>
          <w:kern w:val="0"/>
          <w:sz w:val="20"/>
          <w:szCs w:val="22"/>
          <w:shd w:fill="auto" w:val="clear"/>
          <w:lang w:val="de-DE" w:eastAsia="en-US" w:bidi="ar-SA"/>
          <w:del w:id="147" w:author="Mark Semmler" w:date="2026-01-10T14:46:42Z"/>
        </w:rPr>
      </w:pPr>
      <w:del w:id="146" w:author="Mark Semmler" w:date="2026-01-10T14:46:42Z">
        <w:r>
          <w:rPr>
            <w:rFonts w:eastAsia="Arial" w:cs="DejaVu Sans"/>
            <w:kern w:val="0"/>
            <w:sz w:val="20"/>
            <w:szCs w:val="22"/>
            <w:shd w:fill="auto" w:val="clear"/>
            <w:lang w:val="de-DE" w:eastAsia="en-US" w:bidi="ar-SA"/>
          </w:rPr>
          <w:delText>Nachbereitung der Bewältigung der IT-Krise</w:delText>
        </w:r>
      </w:del>
    </w:p>
    <w:p>
      <w:pPr>
        <w:pStyle w:val="Heading2"/>
        <w:ind w:hanging="0" w:left="0"/>
        <w:rPr>
          <w:del w:id="149" w:author="Mark Semmler" w:date="2026-01-10T14:46:42Z"/>
        </w:rPr>
      </w:pPr>
      <w:bookmarkStart w:id="212" w:name="__RefNumPara__21445_3081562653"/>
      <w:bookmarkStart w:id="213" w:name="__RefHeading___Toc19674_274587230"/>
      <w:bookmarkEnd w:id="212"/>
      <w:bookmarkEnd w:id="213"/>
      <w:del w:id="148" w:author="Mark Semmler" w:date="2026-01-10T14:46:42Z">
        <w:r>
          <w:rPr/>
          <w:delText>IT-Krisenstab</w:delText>
        </w:r>
      </w:del>
    </w:p>
    <w:p>
      <w:pPr>
        <w:pStyle w:val="Normal"/>
        <w:rPr>
          <w:del w:id="152" w:author="Mark Semmler" w:date="2026-01-10T14:46:42Z"/>
        </w:rPr>
      </w:pPr>
      <w:del w:id="150" w:author="Mark Semmler" w:date="2026-01-10T14:46:42Z">
        <w:r>
          <w:rPr/>
          <w:delText xml:space="preserve">Das Topmanagement MUSS einen IT-Krisenstab </w:delText>
        </w:r>
      </w:del>
      <w:del w:id="151" w:author="Mark Semmler" w:date="2026-01-10T14:46:42Z">
        <w:r>
          <w:rPr>
            <w:lang w:val="de-DE"/>
          </w:rPr>
          <w:delText>bestellen.</w:delText>
        </w:r>
      </w:del>
    </w:p>
    <w:p>
      <w:pPr>
        <w:pStyle w:val="Normal"/>
        <w:rPr>
          <w:lang w:val="de-DE"/>
          <w:del w:id="154" w:author="Mark Semmler" w:date="2026-01-10T14:46:42Z"/>
        </w:rPr>
      </w:pPr>
      <w:del w:id="153" w:author="Mark Semmler" w:date="2026-01-10T14:46:42Z">
        <w:r>
          <w:rPr>
            <w:lang w:val="de-DE"/>
          </w:rPr>
          <w:delText>In diesem MÜSSEN folgende Organisationseinheiten bzw. Positionen persönlich oder durch einen Repräsentanten vertreten sein:</w:delText>
        </w:r>
      </w:del>
    </w:p>
    <w:p>
      <w:pPr>
        <w:pStyle w:val="Liste1"/>
        <w:widowControl/>
        <w:numPr>
          <w:ilvl w:val="0"/>
          <w:numId w:val="112"/>
        </w:numPr>
        <w:suppressAutoHyphens w:val="false"/>
        <w:overflowPunct w:val="true"/>
        <w:bidi w:val="0"/>
        <w:spacing w:lineRule="auto" w:line="250" w:before="120" w:after="120"/>
        <w:ind w:hanging="340" w:left="737" w:right="0"/>
        <w:jc w:val="both"/>
        <w:rPr>
          <w:shd w:fill="auto" w:val="clear"/>
          <w:lang w:val="de-DE"/>
          <w:del w:id="156" w:author="Mark Semmler" w:date="2026-01-10T14:46:42Z"/>
        </w:rPr>
      </w:pPr>
      <w:del w:id="155" w:author="Mark Semmler" w:date="2026-01-10T14:46:42Z">
        <w:r>
          <w:rPr>
            <w:shd w:fill="auto" w:val="clear"/>
            <w:lang w:val="de-DE"/>
          </w:rPr>
          <w:delText>Topmanagement</w:delText>
        </w:r>
      </w:del>
    </w:p>
    <w:p>
      <w:pPr>
        <w:pStyle w:val="Liste1"/>
        <w:widowControl/>
        <w:numPr>
          <w:ilvl w:val="0"/>
          <w:numId w:val="113"/>
        </w:numPr>
        <w:suppressAutoHyphens w:val="false"/>
        <w:overflowPunct w:val="true"/>
        <w:bidi w:val="0"/>
        <w:spacing w:lineRule="auto" w:line="250" w:before="120" w:after="120"/>
        <w:ind w:hanging="340" w:left="737" w:right="0"/>
        <w:jc w:val="both"/>
        <w:rPr>
          <w:shd w:fill="auto" w:val="clear"/>
          <w:lang w:val="de-DE"/>
          <w:del w:id="158" w:author="Mark Semmler" w:date="2026-01-10T14:46:42Z"/>
        </w:rPr>
      </w:pPr>
      <w:del w:id="157" w:author="Mark Semmler" w:date="2026-01-10T14:46:42Z">
        <w:r>
          <w:rPr>
            <w:shd w:fill="auto" w:val="clear"/>
            <w:lang w:val="de-DE"/>
          </w:rPr>
          <w:delText>IT-Krisenmanager</w:delText>
        </w:r>
      </w:del>
    </w:p>
    <w:p>
      <w:pPr>
        <w:pStyle w:val="Liste1"/>
        <w:widowControl/>
        <w:numPr>
          <w:ilvl w:val="0"/>
          <w:numId w:val="114"/>
        </w:numPr>
        <w:suppressAutoHyphens w:val="false"/>
        <w:overflowPunct w:val="true"/>
        <w:bidi w:val="0"/>
        <w:spacing w:lineRule="auto" w:line="250" w:before="120" w:after="120"/>
        <w:ind w:hanging="340" w:left="737" w:right="0"/>
        <w:jc w:val="both"/>
        <w:rPr>
          <w:shd w:fill="auto" w:val="clear"/>
          <w:lang w:val="de-DE"/>
          <w:del w:id="160" w:author="Mark Semmler" w:date="2026-01-10T14:46:42Z"/>
        </w:rPr>
      </w:pPr>
      <w:del w:id="159" w:author="Mark Semmler" w:date="2026-01-10T14:46:42Z">
        <w:r>
          <w:rPr>
            <w:shd w:fill="auto" w:val="clear"/>
            <w:lang w:val="de-DE"/>
          </w:rPr>
          <w:delText>ISB</w:delText>
        </w:r>
      </w:del>
    </w:p>
    <w:p>
      <w:pPr>
        <w:pStyle w:val="Liste1"/>
        <w:widowControl/>
        <w:numPr>
          <w:ilvl w:val="0"/>
          <w:numId w:val="115"/>
        </w:numPr>
        <w:suppressAutoHyphens w:val="false"/>
        <w:overflowPunct w:val="true"/>
        <w:bidi w:val="0"/>
        <w:spacing w:lineRule="auto" w:line="250" w:before="120" w:after="120"/>
        <w:ind w:hanging="340" w:left="737" w:right="0"/>
        <w:jc w:val="both"/>
        <w:rPr>
          <w:shd w:fill="auto" w:val="clear"/>
          <w:lang w:val="de-DE"/>
          <w:del w:id="162" w:author="Mark Semmler" w:date="2026-01-10T14:46:42Z"/>
        </w:rPr>
      </w:pPr>
      <w:del w:id="161" w:author="Mark Semmler" w:date="2026-01-10T14:46:42Z">
        <w:r>
          <w:rPr>
            <w:shd w:fill="auto" w:val="clear"/>
            <w:lang w:val="de-DE"/>
          </w:rPr>
          <w:delText>IT-Verantwortliche</w:delText>
        </w:r>
      </w:del>
    </w:p>
    <w:p>
      <w:pPr>
        <w:pStyle w:val="Liste1"/>
        <w:widowControl/>
        <w:numPr>
          <w:ilvl w:val="0"/>
          <w:numId w:val="116"/>
        </w:numPr>
        <w:suppressAutoHyphens w:val="false"/>
        <w:overflowPunct w:val="true"/>
        <w:bidi w:val="0"/>
        <w:spacing w:lineRule="auto" w:line="250" w:before="120" w:after="120"/>
        <w:ind w:hanging="340" w:left="737" w:right="0"/>
        <w:jc w:val="both"/>
        <w:rPr>
          <w:shd w:fill="auto" w:val="clear"/>
          <w:del w:id="164" w:author="Mark Semmler" w:date="2026-01-10T14:46:42Z"/>
        </w:rPr>
      </w:pPr>
      <w:del w:id="163" w:author="Mark Semmler" w:date="2026-01-10T14:46:42Z">
        <w:r>
          <w:rPr>
            <w:shd w:fill="auto" w:val="clear"/>
            <w:lang w:val="de-DE"/>
          </w:rPr>
          <w:delText>Prozesseigentümer der zentralen Prozesse und der Prozesse mit hohem Schadenpotential</w:delText>
        </w:r>
      </w:del>
    </w:p>
    <w:p>
      <w:pPr>
        <w:pStyle w:val="Normal"/>
        <w:spacing w:before="0" w:after="240"/>
        <w:rPr>
          <w:shd w:fill="auto" w:val="clear"/>
          <w:lang w:val="de-DE"/>
          <w:del w:id="167" w:author="Mark Semmler" w:date="2026-01-10T14:46:42Z"/>
        </w:rPr>
      </w:pPr>
      <w:del w:id="165" w:author="Mark Semmler" w:date="2026-01-10T14:46:42Z">
        <w:r>
          <w:rPr>
            <w:shd w:fill="auto" w:val="clear"/>
          </w:rPr>
          <w:delText xml:space="preserve">Der IT-Krisenstab MUSS den IT-Krisenmanager unterstützen, insbesondere beim </w:delText>
        </w:r>
      </w:del>
      <w:del w:id="166" w:author="Mark Semmler" w:date="2026-01-10T14:46:42Z">
        <w:r>
          <w:rPr>
            <w:shd w:fill="auto" w:val="clear"/>
            <w:lang w:val="de-DE"/>
          </w:rPr>
          <w:delText>Bewerten der Lage sowie dem organisationsweiten Steuern und Koordinieren der Maßnahmen zur Bewältigung der IT-Krise.</w:delText>
        </w:r>
      </w:del>
    </w:p>
    <w:p>
      <w:pPr>
        <w:pStyle w:val="Heading1"/>
        <w:ind w:hanging="0" w:left="0"/>
        <w:rPr>
          <w:shd w:fill="EEEEEE" w:val="clear"/>
        </w:rPr>
      </w:pPr>
      <w:bookmarkStart w:id="214" w:name="__RefHeading___Toc31952_2021121348"/>
      <w:bookmarkStart w:id="215" w:name="_Toc530662895"/>
      <w:bookmarkStart w:id="216" w:name="_Ref184204380"/>
      <w:bookmarkStart w:id="217" w:name="_Toc178761325"/>
      <w:bookmarkStart w:id="218" w:name="_Toc531165030"/>
      <w:bookmarkStart w:id="219" w:name="_Ref184200681"/>
      <w:bookmarkStart w:id="220" w:name="leitlinie_zur_informationssicherheit_is-"/>
      <w:bookmarkStart w:id="221" w:name="_Toc178588061"/>
      <w:bookmarkStart w:id="222" w:name="rl%252525252525252525252525252525252525l"/>
      <w:bookmarkStart w:id="223" w:name="_Toc187327046"/>
      <w:bookmarkEnd w:id="214"/>
      <w:bookmarkEnd w:id="222"/>
      <w:r>
        <w:rPr>
          <w:shd w:fill="EEEEEE" w:val="clear"/>
          <w:lang w:val="de-DE"/>
        </w:rPr>
        <w:t>Leitlinie zur Informationssicherheit (IS-Leitlinie)</w:t>
      </w:r>
      <w:bookmarkEnd w:id="215"/>
      <w:bookmarkEnd w:id="216"/>
      <w:bookmarkEnd w:id="217"/>
      <w:bookmarkEnd w:id="218"/>
      <w:bookmarkEnd w:id="219"/>
      <w:bookmarkEnd w:id="220"/>
      <w:bookmarkEnd w:id="221"/>
      <w:bookmarkEnd w:id="223"/>
    </w:p>
    <w:p>
      <w:pPr>
        <w:pStyle w:val="Heading2"/>
        <w:ind w:hanging="0" w:left="0"/>
        <w:rPr>
          <w:shd w:fill="EEEEEE" w:val="clear"/>
        </w:rPr>
      </w:pPr>
      <w:bookmarkStart w:id="224" w:name="__RefHeading___Toc31954_2021121348"/>
      <w:bookmarkStart w:id="225" w:name="_Toc187327047"/>
      <w:bookmarkStart w:id="226" w:name="_Toc178761326"/>
      <w:bookmarkEnd w:id="224"/>
      <w:r>
        <w:rPr>
          <w:shd w:fill="EEEEEE" w:val="clear"/>
          <w:lang w:val="de-DE"/>
        </w:rPr>
        <w:t>Grundlagen</w:t>
      </w:r>
      <w:bookmarkEnd w:id="225"/>
      <w:bookmarkEnd w:id="22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7" w:name="__RefHeading___Toc31956_2021121348"/>
      <w:bookmarkStart w:id="228" w:name="_Toc178588062"/>
      <w:bookmarkStart w:id="229" w:name="rl%252525252525252525252525252525252525m"/>
      <w:bookmarkStart w:id="230" w:name="_Toc530662896"/>
      <w:bookmarkStart w:id="231" w:name="_Toc178761327"/>
      <w:bookmarkStart w:id="232" w:name="_Ref184204394"/>
      <w:bookmarkStart w:id="233" w:name="_Toc187327048"/>
      <w:bookmarkStart w:id="234" w:name="_Toc531165031"/>
      <w:bookmarkStart w:id="235" w:name="allgemeine_anforderungen"/>
      <w:bookmarkEnd w:id="227"/>
      <w:bookmarkEnd w:id="229"/>
      <w:r>
        <w:rPr>
          <w:shd w:fill="EEEEEE" w:val="clear"/>
          <w:lang w:val="de-DE"/>
        </w:rPr>
        <w:t>Allgemeine Anforderungen</w:t>
      </w:r>
      <w:bookmarkEnd w:id="228"/>
      <w:bookmarkEnd w:id="230"/>
      <w:bookmarkEnd w:id="231"/>
      <w:bookmarkEnd w:id="232"/>
      <w:bookmarkEnd w:id="233"/>
      <w:bookmarkEnd w:id="234"/>
      <w:bookmarkEnd w:id="23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6" w:name="__RefHeading___Toc31958_2021121348"/>
      <w:bookmarkStart w:id="237" w:name="_Toc178761328"/>
      <w:bookmarkStart w:id="238" w:name="rl%252525252525252525252525252525252525n"/>
      <w:bookmarkStart w:id="239" w:name="_Toc530662897"/>
      <w:bookmarkStart w:id="240" w:name="_Toc178588063"/>
      <w:bookmarkStart w:id="241" w:name="_Toc187327049"/>
      <w:bookmarkStart w:id="242" w:name="_Toc531165032"/>
      <w:bookmarkStart w:id="243" w:name="inhalte"/>
      <w:bookmarkEnd w:id="236"/>
      <w:bookmarkEnd w:id="238"/>
      <w:r>
        <w:rPr>
          <w:shd w:fill="EEEEEE" w:val="clear"/>
          <w:lang w:val="de-DE"/>
        </w:rPr>
        <w:t>Inhalte</w:t>
      </w:r>
      <w:bookmarkEnd w:id="237"/>
      <w:bookmarkEnd w:id="239"/>
      <w:bookmarkEnd w:id="240"/>
      <w:bookmarkEnd w:id="241"/>
      <w:bookmarkEnd w:id="242"/>
      <w:bookmarkEnd w:id="243"/>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4.15</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del w:id="168" w:author="Mark Semmler" w:date="2026-01-10T14:46:42Z">
        <w:r>
          <w:rPr>
            <w:rStyle w:val="Emphasis"/>
            <w:i/>
            <w:shd w:fill="EEEEEE" w:val="clear"/>
            <w:lang w:val="de-DE"/>
          </w:rPr>
          <w:delText xml:space="preserve"> </w:delText>
        </w:r>
      </w:del>
    </w:p>
    <w:p>
      <w:pPr>
        <w:pStyle w:val="Heading1"/>
        <w:ind w:hanging="0" w:left="0"/>
        <w:rPr>
          <w:shd w:fill="EEEEEE" w:val="clear"/>
        </w:rPr>
      </w:pPr>
      <w:bookmarkStart w:id="244" w:name="__RefHeading___Toc31960_2021121348"/>
      <w:bookmarkStart w:id="245" w:name="_Ref179378197"/>
      <w:bookmarkStart w:id="246" w:name="_Toc530662898"/>
      <w:bookmarkStart w:id="247" w:name="_Ref184200712"/>
      <w:bookmarkStart w:id="248" w:name="_Toc531165033"/>
      <w:bookmarkStart w:id="249" w:name="richtlinien_zur_informationssicherheit_i"/>
      <w:bookmarkStart w:id="250" w:name="_Toc178761329"/>
      <w:bookmarkStart w:id="251" w:name="rl%252525252525252525252525252525252525o"/>
      <w:bookmarkStart w:id="252" w:name="_Ref184204406"/>
      <w:bookmarkStart w:id="253" w:name="_Toc178588064"/>
      <w:bookmarkStart w:id="254" w:name="_Toc187327050"/>
      <w:bookmarkEnd w:id="244"/>
      <w:bookmarkEnd w:id="251"/>
      <w:r>
        <w:rPr>
          <w:shd w:fill="EEEEEE" w:val="clear"/>
          <w:lang w:val="de-DE"/>
        </w:rPr>
        <w:t>Richtlinien zur Informationssicherheit (IS-Richtlinien)</w:t>
      </w:r>
      <w:bookmarkEnd w:id="245"/>
      <w:bookmarkEnd w:id="246"/>
      <w:bookmarkEnd w:id="247"/>
      <w:bookmarkEnd w:id="248"/>
      <w:bookmarkEnd w:id="249"/>
      <w:bookmarkEnd w:id="250"/>
      <w:bookmarkEnd w:id="252"/>
      <w:bookmarkEnd w:id="253"/>
      <w:bookmarkEnd w:id="254"/>
    </w:p>
    <w:p>
      <w:pPr>
        <w:pStyle w:val="Heading2"/>
        <w:ind w:hanging="0" w:left="0"/>
        <w:rPr>
          <w:shd w:fill="EEEEEE" w:val="clear"/>
        </w:rPr>
      </w:pPr>
      <w:bookmarkStart w:id="255" w:name="__RefHeading___Toc31962_2021121348"/>
      <w:bookmarkStart w:id="256" w:name="_Toc187327051"/>
      <w:bookmarkStart w:id="257" w:name="_Toc178761330"/>
      <w:bookmarkEnd w:id="255"/>
      <w:r>
        <w:rPr>
          <w:shd w:fill="EEEEEE" w:val="clear"/>
          <w:lang w:val="de-DE"/>
        </w:rPr>
        <w:t>Grundlagen</w:t>
      </w:r>
      <w:bookmarkEnd w:id="256"/>
      <w:bookmarkEnd w:id="25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del w:id="169" w:author="Mark Semmler" w:date="2026-01-10T14:46:42Z">
        <w:r>
          <w:rPr>
            <w:shd w:fill="EEEEEE" w:val="clear"/>
            <w:lang w:val="de-DE"/>
          </w:rPr>
          <w:delText xml:space="preserve"> </w:delText>
        </w:r>
      </w:del>
    </w:p>
    <w:p>
      <w:pPr>
        <w:pStyle w:val="Heading2"/>
        <w:ind w:hanging="0" w:left="0"/>
        <w:rPr>
          <w:shd w:fill="EEEEEE" w:val="clear"/>
        </w:rPr>
      </w:pPr>
      <w:bookmarkStart w:id="258" w:name="__RefHeading___Toc31964_2021121348"/>
      <w:bookmarkStart w:id="259" w:name="_Toc531165034"/>
      <w:bookmarkStart w:id="260" w:name="_Ref184204415"/>
      <w:bookmarkStart w:id="261" w:name="_Toc178588065"/>
      <w:bookmarkStart w:id="262" w:name="_Toc187327052"/>
      <w:bookmarkStart w:id="263" w:name="_Toc530662899"/>
      <w:bookmarkStart w:id="264" w:name="_Toc178761331"/>
      <w:bookmarkStart w:id="265" w:name="allgemeine_anforderungen1"/>
      <w:bookmarkStart w:id="266" w:name="rl%252525252525252525252525252525252525p"/>
      <w:bookmarkEnd w:id="258"/>
      <w:bookmarkEnd w:id="266"/>
      <w:r>
        <w:rPr>
          <w:shd w:fill="EEEEEE" w:val="clear"/>
          <w:lang w:val="de-DE"/>
        </w:rPr>
        <w:t>Allgemeine Anforderungen</w:t>
      </w:r>
      <w:bookmarkEnd w:id="259"/>
      <w:bookmarkEnd w:id="260"/>
      <w:bookmarkEnd w:id="261"/>
      <w:bookmarkEnd w:id="262"/>
      <w:bookmarkEnd w:id="263"/>
      <w:bookmarkEnd w:id="264"/>
      <w:bookmarkEnd w:id="265"/>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7" w:name="__RefHeading___Toc31966_2021121348"/>
      <w:bookmarkStart w:id="268" w:name="_Toc178761332"/>
      <w:bookmarkStart w:id="269" w:name="inhalte1"/>
      <w:bookmarkStart w:id="270" w:name="_Toc178588066"/>
      <w:bookmarkStart w:id="271" w:name="rl%252525252525252525252525252525252525q"/>
      <w:bookmarkStart w:id="272" w:name="_Toc531165035"/>
      <w:bookmarkStart w:id="273" w:name="_Toc187327053"/>
      <w:bookmarkStart w:id="274" w:name="_Toc530662900"/>
      <w:bookmarkEnd w:id="267"/>
      <w:bookmarkEnd w:id="271"/>
      <w:r>
        <w:rPr>
          <w:shd w:fill="EEEEEE" w:val="clear"/>
          <w:lang w:val="de-DE"/>
        </w:rPr>
        <w:t>Inhalte</w:t>
      </w:r>
      <w:bookmarkEnd w:id="268"/>
      <w:bookmarkEnd w:id="269"/>
      <w:bookmarkEnd w:id="270"/>
      <w:bookmarkEnd w:id="272"/>
      <w:bookmarkEnd w:id="273"/>
      <w:bookmarkEnd w:id="274"/>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shd w:fill="EEEEEE" w:val="clear"/>
          <w:lang w:val="de-DE"/>
        </w:rPr>
      </w:pPr>
      <w:r>
        <w:rPr>
          <w:shd w:fill="EEEEEE" w:val="clear"/>
          <w:lang w:val="de-DE"/>
        </w:rPr>
        <w:t>Sie definiert, für wen sie verbindlich ist (Zielgruppe).</w:t>
      </w:r>
    </w:p>
    <w:p>
      <w:pPr>
        <w:pStyle w:val="Liste1"/>
        <w:numPr>
          <w:ilvl w:val="0"/>
          <w:numId w:val="71"/>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71"/>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5" w:name="__RefHeading___Toc31968_2021121348"/>
      <w:bookmarkStart w:id="276" w:name="_Ref179186674"/>
      <w:bookmarkStart w:id="277" w:name="_Ref179189056"/>
      <w:bookmarkStart w:id="278" w:name="_Ref179187911"/>
      <w:bookmarkStart w:id="279" w:name="_Ref179188801"/>
      <w:bookmarkStart w:id="280" w:name="_Toc187327054"/>
      <w:bookmarkStart w:id="281" w:name="_Toc178588067"/>
      <w:bookmarkStart w:id="282" w:name="_Toc178761333"/>
      <w:bookmarkEnd w:id="275"/>
      <w:r>
        <w:rPr>
          <w:shd w:fill="EEEEEE" w:val="clear"/>
          <w:lang w:val="de-DE"/>
        </w:rPr>
        <w:t>Aufbau und Funktionsweise des ISMS</w:t>
      </w:r>
      <w:bookmarkEnd w:id="276"/>
      <w:bookmarkEnd w:id="277"/>
      <w:bookmarkEnd w:id="278"/>
      <w:bookmarkEnd w:id="279"/>
      <w:bookmarkEnd w:id="280"/>
      <w:bookmarkEnd w:id="281"/>
      <w:bookmarkEnd w:id="28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tru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ins w:id="170" w:author="Mark Semmler" w:date="2026-01-10T14:46:42Z">
        <w:r>
          <w:rPr>
            <w:rFonts w:eastAsia="Arial" w:cs="DejaVu Sans"/>
            <w:kern w:val="0"/>
            <w:sz w:val="20"/>
            <w:szCs w:val="22"/>
            <w:shd w:fill="auto" w:val="clear"/>
            <w:lang w:val="de-DE" w:eastAsia="en-US" w:bidi="ar-SA"/>
          </w:rPr>
          <w:t>der kontinuierlichen Verbesserung und Anpassung</w:t>
        </w:r>
      </w:ins>
      <w:del w:id="171" w:author="Mark Semmler" w:date="2026-01-10T14:46:42Z">
        <w:r>
          <w:rPr>
            <w:rFonts w:eastAsia="Arial" w:cs="DejaVu Sans"/>
            <w:kern w:val="0"/>
            <w:sz w:val="20"/>
            <w:szCs w:val="22"/>
            <w:shd w:fill="EEEEEE" w:val="clear"/>
            <w:lang w:val="de-DE" w:eastAsia="en-US" w:bidi="ar-SA"/>
          </w:rPr>
          <w:delText>des Kontinuierlichen Verbesserungsprozesses (KVP)</w:delText>
        </w:r>
      </w:del>
      <w:r>
        <w:rPr>
          <w:rFonts w:eastAsia="Arial" w:cs="DejaVu Sans"/>
          <w:kern w:val="0"/>
          <w:sz w:val="20"/>
          <w:szCs w:val="22"/>
          <w:shd w:fill="auto" w:val="clear"/>
          <w:lang w:val="de-DE" w:eastAsia="en-US" w:bidi="ar-SA"/>
        </w:rPr>
        <w:t xml:space="preserve">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83" w:name="__RefHeading___Toc31970_2021121348"/>
      <w:bookmarkStart w:id="284" w:name="_Toc530662901"/>
      <w:bookmarkStart w:id="285" w:name="_Toc187327055"/>
      <w:bookmarkStart w:id="286" w:name="regelungen_fuer_nutzer"/>
      <w:bookmarkStart w:id="287" w:name="_Ref184204449"/>
      <w:bookmarkStart w:id="288" w:name="_Toc531165036"/>
      <w:bookmarkStart w:id="289" w:name="_Toc178588068"/>
      <w:bookmarkStart w:id="290" w:name="_Toc178761334"/>
      <w:bookmarkStart w:id="291" w:name="rl%252525252525252525252525252525252525r"/>
      <w:bookmarkEnd w:id="283"/>
      <w:bookmarkEnd w:id="291"/>
      <w:r>
        <w:rPr>
          <w:shd w:fill="EEEEEE" w:val="clear"/>
          <w:lang w:val="de-DE"/>
        </w:rPr>
        <w:t>Regelungen für Nutzer</w:t>
      </w:r>
      <w:bookmarkEnd w:id="284"/>
      <w:bookmarkEnd w:id="285"/>
      <w:bookmarkEnd w:id="286"/>
      <w:bookmarkEnd w:id="287"/>
      <w:bookmarkEnd w:id="288"/>
      <w:bookmarkEnd w:id="289"/>
      <w:bookmarkEnd w:id="290"/>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shd w:fill="EEEEEE" w:val="clear"/>
          <w:lang w:val="de-DE"/>
        </w:rPr>
      </w:pPr>
      <w:bookmarkStart w:id="292" w:name="_Ref184389125"/>
      <w:r>
        <w:rPr>
          <w:shd w:fill="EEEEEE" w:val="clear"/>
          <w:lang w:val="de-DE"/>
        </w:rPr>
        <w:t>Generelle Nutzungsbedingungen</w:t>
      </w:r>
      <w:bookmarkEnd w:id="292"/>
    </w:p>
    <w:p>
      <w:pPr>
        <w:pStyle w:val="10000-DefaultParagraph"/>
        <w:numPr>
          <w:ilvl w:val="1"/>
          <w:numId w:val="8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6"/>
        </w:numPr>
        <w:rPr>
          <w:shd w:fill="EEEEEE" w:val="clear"/>
          <w:lang w:val="de-DE"/>
        </w:rPr>
      </w:pPr>
      <w:r>
        <w:rPr>
          <w:shd w:fill="EEEEEE" w:val="clear"/>
          <w:lang w:val="de-DE"/>
        </w:rPr>
        <w:t>Privatnutzung</w:t>
      </w:r>
    </w:p>
    <w:p>
      <w:pPr>
        <w:pStyle w:val="10000-DefaultParagraph"/>
        <w:numPr>
          <w:ilvl w:val="1"/>
          <w:numId w:val="86"/>
        </w:numPr>
        <w:rPr>
          <w:shd w:fill="EEEEEE" w:val="clear"/>
          <w:lang w:val="de-DE"/>
        </w:rPr>
      </w:pPr>
      <w:r>
        <w:rPr>
          <w:shd w:fill="EEEEEE" w:val="clear"/>
          <w:lang w:val="de-DE"/>
        </w:rPr>
        <w:t>Es wird definiert, ob die private Nutzung der IT erlaubt ist.</w:t>
      </w:r>
    </w:p>
    <w:p>
      <w:pPr>
        <w:pStyle w:val="10000-DefaultParagraph"/>
        <w:numPr>
          <w:ilvl w:val="1"/>
          <w:numId w:val="8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6"/>
        </w:numPr>
        <w:rPr>
          <w:shd w:fill="EEEEEE" w:val="clear"/>
          <w:lang w:val="de-DE"/>
        </w:rPr>
      </w:pPr>
      <w:r>
        <w:rPr>
          <w:shd w:fill="EEEEEE" w:val="clear"/>
          <w:lang w:val="de-DE"/>
        </w:rPr>
        <w:t>Grundlegende Verhaltensregeln</w:t>
      </w:r>
    </w:p>
    <w:p>
      <w:pPr>
        <w:pStyle w:val="10000-DefaultParagraph"/>
        <w:numPr>
          <w:ilvl w:val="1"/>
          <w:numId w:val="8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shd w:fill="EEEEEE" w:val="clear"/>
          <w:lang w:val="de-DE"/>
        </w:rPr>
      </w:pPr>
      <w:r>
        <w:rPr>
          <w:shd w:fill="EEEEEE" w:val="clear"/>
          <w:lang w:val="de-DE"/>
        </w:rPr>
        <w:t>Authentifizierungsmerkmale werden nicht eigenmächtig weitergegeben.</w:t>
      </w:r>
    </w:p>
    <w:p>
      <w:pPr>
        <w:pStyle w:val="10000-DefaultParagraph"/>
        <w:numPr>
          <w:ilvl w:val="0"/>
          <w:numId w:val="86"/>
        </w:numPr>
        <w:rPr>
          <w:shd w:fill="EEEEEE" w:val="clear"/>
          <w:lang w:val="de-DE"/>
        </w:rPr>
      </w:pPr>
      <w:r>
        <w:rPr>
          <w:shd w:fill="EEEEEE" w:val="clear"/>
          <w:lang w:val="de-DE"/>
        </w:rPr>
        <w:t>Umgang mit Informationen der Organisation</w:t>
      </w:r>
    </w:p>
    <w:p>
      <w:pPr>
        <w:pStyle w:val="10000-DefaultParagraph"/>
        <w:numPr>
          <w:ilvl w:val="1"/>
          <w:numId w:val="8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shd w:fill="EEEEEE" w:val="clear"/>
          <w:lang w:val="de-DE"/>
        </w:rPr>
      </w:pPr>
      <w:r>
        <w:rPr>
          <w:shd w:fill="EEEEEE" w:val="clear"/>
          <w:lang w:val="de-DE"/>
        </w:rPr>
        <w:t xml:space="preserve">Informationsfluss bei Abwesenheit </w:t>
      </w:r>
    </w:p>
    <w:p>
      <w:pPr>
        <w:pStyle w:val="10000-DefaultParagraph"/>
        <w:numPr>
          <w:ilvl w:val="1"/>
          <w:numId w:val="8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6"/>
        </w:numPr>
        <w:rPr>
          <w:shd w:fill="EEEEEE" w:val="clear"/>
          <w:lang w:val="de-DE"/>
        </w:rPr>
      </w:pPr>
      <w:bookmarkStart w:id="293" w:name="_Ref184389143"/>
      <w:r>
        <w:rPr>
          <w:shd w:fill="EEEEEE" w:val="clear"/>
          <w:lang w:val="de-DE"/>
        </w:rPr>
        <w:t>Missbrauchskontrolle</w:t>
      </w:r>
      <w:bookmarkEnd w:id="293"/>
    </w:p>
    <w:p>
      <w:pPr>
        <w:pStyle w:val="10000-DefaultParagraph"/>
        <w:numPr>
          <w:ilvl w:val="1"/>
          <w:numId w:val="8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4" w:name="__RefHeading___Toc31972_2021121348"/>
      <w:bookmarkStart w:id="295" w:name="_Toc178588069"/>
      <w:bookmarkStart w:id="296" w:name="rl%252525252525252525252525252525252525s"/>
      <w:bookmarkStart w:id="297" w:name="del_6.5del_weitere_regelungen"/>
      <w:bookmarkStart w:id="298" w:name="_Toc531165037"/>
      <w:bookmarkStart w:id="299" w:name="_Toc187327056"/>
      <w:bookmarkStart w:id="300" w:name="_Toc530662902"/>
      <w:bookmarkStart w:id="301" w:name="_Toc178761335"/>
      <w:bookmarkEnd w:id="294"/>
      <w:bookmarkEnd w:id="296"/>
      <w:r>
        <w:rPr>
          <w:shd w:fill="EEEEEE" w:val="clear"/>
          <w:lang w:val="de-DE"/>
        </w:rPr>
        <w:t xml:space="preserve">Weitere </w:t>
      </w:r>
      <w:bookmarkEnd w:id="295"/>
      <w:bookmarkEnd w:id="297"/>
      <w:bookmarkEnd w:id="298"/>
      <w:bookmarkEnd w:id="300"/>
      <w:bookmarkEnd w:id="301"/>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7"/>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9"/>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20"/>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21"/>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22"/>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2" w:name="__RefHeading___Toc31974_2021121348"/>
      <w:bookmarkStart w:id="303" w:name="rl%252525252525252525252525252525252525t"/>
      <w:bookmarkStart w:id="304" w:name="mitarbeiter_del_personaldel"/>
      <w:bookmarkStart w:id="305" w:name="_Toc178588070"/>
      <w:bookmarkStart w:id="306" w:name="_Toc531165038"/>
      <w:bookmarkStart w:id="307" w:name="_Toc178761336"/>
      <w:bookmarkStart w:id="308" w:name="_Toc530662903"/>
      <w:bookmarkStart w:id="309" w:name="_Ref184204459"/>
      <w:bookmarkStart w:id="310" w:name="_Toc187327057"/>
      <w:bookmarkEnd w:id="302"/>
      <w:bookmarkEnd w:id="303"/>
      <w:r>
        <w:rPr>
          <w:shd w:fill="EEEEEE" w:val="clear"/>
          <w:lang w:val="de-DE"/>
        </w:rPr>
        <w:t>Mitarbeiter</w:t>
      </w:r>
      <w:bookmarkEnd w:id="304"/>
      <w:bookmarkEnd w:id="305"/>
      <w:bookmarkEnd w:id="306"/>
      <w:bookmarkEnd w:id="307"/>
      <w:bookmarkEnd w:id="308"/>
      <w:bookmarkEnd w:id="309"/>
      <w:bookmarkEnd w:id="310"/>
    </w:p>
    <w:p>
      <w:pPr>
        <w:pStyle w:val="Heading2"/>
        <w:ind w:hanging="0" w:left="0"/>
        <w:rPr>
          <w:shd w:fill="EEEEEE" w:val="clear"/>
          <w:lang w:val="de-DE"/>
        </w:rPr>
      </w:pPr>
      <w:bookmarkStart w:id="311" w:name="__RefHeading___Toc31976_2021121348"/>
      <w:bookmarkStart w:id="312" w:name="_Toc187327058"/>
      <w:bookmarkEnd w:id="311"/>
      <w:r>
        <w:rPr>
          <w:shd w:fill="EEEEEE" w:val="clear"/>
          <w:lang w:val="de-DE"/>
        </w:rPr>
        <w:t>Grundlagen</w:t>
      </w:r>
      <w:bookmarkEnd w:id="31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3" w:name="__RefHeading___Toc31978_2021121348"/>
      <w:bookmarkStart w:id="314" w:name="rl%252525252525252525252525252525252525u"/>
      <w:bookmarkStart w:id="315" w:name="_Toc187327059"/>
      <w:bookmarkStart w:id="316" w:name="_Toc178588071"/>
      <w:bookmarkStart w:id="317" w:name="_Toc530662904"/>
      <w:bookmarkStart w:id="318" w:name="_Toc178761337"/>
      <w:bookmarkStart w:id="319" w:name="_Toc531165039"/>
      <w:bookmarkEnd w:id="313"/>
      <w:bookmarkEnd w:id="314"/>
      <w:r>
        <w:rPr>
          <w:shd w:fill="EEEEEE" w:val="clear"/>
          <w:lang w:val="de-DE"/>
        </w:rPr>
        <w:t>Vor Aufnahme der Tätigkeit</w:t>
      </w:r>
      <w:bookmarkEnd w:id="315"/>
      <w:bookmarkEnd w:id="316"/>
      <w:bookmarkEnd w:id="317"/>
      <w:bookmarkEnd w:id="318"/>
      <w:bookmarkEnd w:id="31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20" w:name="__RefHeading___Toc31980_2021121348"/>
      <w:bookmarkStart w:id="321" w:name="rl%252525252525252525252525252525252525v"/>
      <w:bookmarkStart w:id="322" w:name="_Toc531165040"/>
      <w:bookmarkStart w:id="323" w:name="_Toc178761338"/>
      <w:bookmarkStart w:id="324" w:name="_Ref184204468"/>
      <w:bookmarkStart w:id="325" w:name="_Toc187327060"/>
      <w:bookmarkStart w:id="326" w:name="_Toc178588072"/>
      <w:bookmarkStart w:id="327" w:name="_Toc530662905"/>
      <w:bookmarkEnd w:id="320"/>
      <w:bookmarkEnd w:id="321"/>
      <w:r>
        <w:rPr>
          <w:shd w:fill="EEEEEE" w:val="clear"/>
          <w:lang w:val="de-DE"/>
        </w:rPr>
        <w:t>Aufnahme der Tätigkeit</w:t>
      </w:r>
      <w:bookmarkEnd w:id="322"/>
      <w:bookmarkEnd w:id="323"/>
      <w:bookmarkEnd w:id="324"/>
      <w:bookmarkEnd w:id="325"/>
      <w:bookmarkEnd w:id="326"/>
      <w:bookmarkEnd w:id="32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 xml:space="preserve">Mitarbeiter erhalten die benötigten IT-Ressourcen, Zugänge, Zugriffsrechte sowie </w:t>
      </w:r>
      <w:ins w:id="172" w:author="Mark Semmler" w:date="2026-01-10T14:46:42Z">
        <w:r>
          <w:rPr>
            <w:shd w:fill="EEEEEE" w:val="clear"/>
          </w:rPr>
          <w:t xml:space="preserve">Authentifizierungsmerkmale </w:t>
        </w:r>
      </w:ins>
      <w:del w:id="173" w:author="Mark Semmler" w:date="2026-01-10T14:46:42Z">
        <w:r>
          <w:rPr>
            <w:shd w:fill="EEEEEE" w:val="clear"/>
          </w:rPr>
          <w:delText>phy</w:delText>
          <w:softHyphen/>
          <w:delText xml:space="preserve">sischen Zugangsmittel </w:delText>
        </w:r>
      </w:del>
      <w:r>
        <w:rPr>
          <w:shd w:fill="EEEEEE" w:val="clear"/>
        </w:rPr>
        <w:t>wie Schlüssel, Transponder</w:t>
      </w:r>
      <w:ins w:id="174" w:author="Mark Semmler" w:date="2026-01-10T14:46:42Z">
        <w:r>
          <w:rPr>
            <w:shd w:fill="auto" w:val="clear"/>
          </w:rPr>
          <w:t>, Zertifikate</w:t>
        </w:r>
      </w:ins>
      <w:r>
        <w:rPr>
          <w:shd w:fill="EEEEEE" w:val="clear"/>
        </w:rPr>
        <w:t xml:space="preserve"> etc. und werden in deren Nutzung geschult.</w:t>
      </w:r>
    </w:p>
    <w:p>
      <w:pPr>
        <w:pStyle w:val="Heading2"/>
        <w:ind w:hanging="0" w:left="0"/>
        <w:rPr>
          <w:shd w:fill="EEEEEE" w:val="clear"/>
          <w:lang w:val="de-DE"/>
        </w:rPr>
      </w:pPr>
      <w:bookmarkStart w:id="328" w:name="__RefHeading___Toc31982_2021121348"/>
      <w:bookmarkStart w:id="329" w:name="_Toc178588073"/>
      <w:bookmarkStart w:id="330" w:name="_Toc530662906"/>
      <w:bookmarkStart w:id="331" w:name="_Ref184204478"/>
      <w:bookmarkStart w:id="332" w:name="_Toc531165041"/>
      <w:bookmarkStart w:id="333" w:name="_Toc187327061"/>
      <w:bookmarkStart w:id="334" w:name="_Toc178761339"/>
      <w:bookmarkStart w:id="335" w:name="beendigung_oder_wechsel_der_anstellung"/>
      <w:bookmarkStart w:id="336" w:name="rl%252525252525252525252525252525252525w"/>
      <w:bookmarkEnd w:id="328"/>
      <w:bookmarkEnd w:id="336"/>
      <w:r>
        <w:rPr>
          <w:shd w:fill="EEEEEE" w:val="clear"/>
          <w:lang w:val="de-DE"/>
        </w:rPr>
        <w:t xml:space="preserve">Beendigung oder Wechsel der </w:t>
      </w:r>
      <w:bookmarkEnd w:id="335"/>
      <w:r>
        <w:rPr>
          <w:shd w:fill="EEEEEE" w:val="clear"/>
          <w:lang w:val="de-DE"/>
        </w:rPr>
        <w:t>Tätigkeit</w:t>
      </w:r>
      <w:bookmarkEnd w:id="329"/>
      <w:bookmarkEnd w:id="330"/>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 xml:space="preserve">lich, erfolgt die Einziehung oder Deaktivierung </w:t>
      </w:r>
      <w:ins w:id="175" w:author="Mark Semmler" w:date="2026-01-10T14:46:42Z">
        <w:r>
          <w:rPr>
            <w:shd w:fill="auto" w:val="clear"/>
          </w:rPr>
          <w:t>von Authentifizierungsmerkmalen</w:t>
        </w:r>
      </w:ins>
      <w:ins w:id="176" w:author="Mark Semmler" w:date="2026-01-10T14:46:42Z">
        <w:r>
          <w:rPr>
            <w:shd w:fill="EEEEEE" w:val="clear"/>
          </w:rPr>
          <w:t xml:space="preserve"> </w:t>
        </w:r>
      </w:ins>
      <w:del w:id="177" w:author="Mark Semmler" w:date="2026-01-10T14:46:42Z">
        <w:r>
          <w:rPr>
            <w:shd w:fill="EEEEEE" w:val="clear"/>
          </w:rPr>
          <w:delText xml:space="preserve">der physischen Zugangsmittel </w:delText>
        </w:r>
      </w:del>
      <w:r>
        <w:rPr>
          <w:shd w:fill="EEEEEE" w:val="clear"/>
        </w:rPr>
        <w:t>wie Schlüssel, Transponder</w:t>
      </w:r>
      <w:ins w:id="178" w:author="Mark Semmler" w:date="2026-01-10T14:46:42Z">
        <w:r>
          <w:rPr>
            <w:shd w:fill="auto" w:val="clear"/>
          </w:rPr>
          <w:t>, Zertifikate</w:t>
        </w:r>
      </w:ins>
      <w:r>
        <w:rPr>
          <w:shd w:fill="EEEEEE" w:val="clear"/>
        </w:rPr>
        <w:t xml:space="preserve"> etc.</w:t>
      </w:r>
    </w:p>
    <w:p>
      <w:pPr>
        <w:pStyle w:val="Heading1"/>
        <w:ind w:hanging="0" w:left="0"/>
        <w:rPr>
          <w:shd w:fill="EEEEEE" w:val="clear"/>
          <w:lang w:val="de-DE"/>
        </w:rPr>
      </w:pPr>
      <w:bookmarkStart w:id="337" w:name="__RefHeading___Toc31984_2021121348"/>
      <w:bookmarkStart w:id="338" w:name="rl%252525252525252525252525252525252525x"/>
      <w:bookmarkStart w:id="339" w:name="_Toc187327062"/>
      <w:bookmarkStart w:id="340" w:name="wissen"/>
      <w:bookmarkStart w:id="341" w:name="_Toc530662907"/>
      <w:bookmarkStart w:id="342" w:name="_Toc178588074"/>
      <w:bookmarkStart w:id="343" w:name="_Ref184204485"/>
      <w:bookmarkStart w:id="344" w:name="_Toc178761340"/>
      <w:bookmarkStart w:id="345" w:name="_Toc531165042"/>
      <w:bookmarkEnd w:id="337"/>
      <w:bookmarkEnd w:id="338"/>
      <w:r>
        <w:rPr>
          <w:shd w:fill="EEEEEE" w:val="clear"/>
          <w:lang w:val="de-DE"/>
        </w:rPr>
        <w:t>Wissen</w:t>
      </w:r>
      <w:bookmarkEnd w:id="339"/>
      <w:bookmarkEnd w:id="340"/>
      <w:bookmarkEnd w:id="341"/>
      <w:bookmarkEnd w:id="342"/>
      <w:bookmarkEnd w:id="343"/>
      <w:bookmarkEnd w:id="344"/>
      <w:bookmarkEnd w:id="345"/>
    </w:p>
    <w:p>
      <w:pPr>
        <w:pStyle w:val="Heading2"/>
        <w:ind w:hanging="0" w:left="0"/>
        <w:rPr>
          <w:shd w:fill="EEEEEE" w:val="clear"/>
          <w:lang w:val="de-DE"/>
        </w:rPr>
      </w:pPr>
      <w:bookmarkStart w:id="346" w:name="__RefHeading___Toc31986_2021121348"/>
      <w:bookmarkStart w:id="347" w:name="_Toc187327063"/>
      <w:bookmarkEnd w:id="346"/>
      <w:r>
        <w:rPr>
          <w:shd w:fill="EEEEEE" w:val="clear"/>
          <w:lang w:val="de-DE"/>
        </w:rPr>
        <w:t>Grundlagen</w:t>
      </w:r>
      <w:bookmarkEnd w:id="34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8" w:name="__RefHeading___Toc31988_2021121348"/>
      <w:bookmarkStart w:id="349" w:name="rl%252525252525252525252525252525252525y"/>
      <w:bookmarkStart w:id="350" w:name="_Ref184204495"/>
      <w:bookmarkStart w:id="351" w:name="_Toc531165043"/>
      <w:bookmarkStart w:id="352" w:name="_Toc178761341"/>
      <w:bookmarkStart w:id="353" w:name="_Toc178588075"/>
      <w:bookmarkStart w:id="354" w:name="aktualitaet_des_wissens"/>
      <w:bookmarkStart w:id="355" w:name="_Toc187327064"/>
      <w:bookmarkStart w:id="356" w:name="_Toc530662908"/>
      <w:bookmarkEnd w:id="348"/>
      <w:bookmarkEnd w:id="349"/>
      <w:r>
        <w:rPr>
          <w:lang w:val="de-DE"/>
        </w:rPr>
        <w:t>Aktualität des Wissens</w:t>
      </w:r>
      <w:bookmarkEnd w:id="350"/>
      <w:bookmarkEnd w:id="351"/>
      <w:bookmarkEnd w:id="352"/>
      <w:bookmarkEnd w:id="353"/>
      <w:bookmarkEnd w:id="354"/>
      <w:bookmarkEnd w:id="355"/>
      <w:bookmarkEnd w:id="35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7" w:name="__RefHeading___Toc31990_2021121348"/>
      <w:bookmarkStart w:id="358" w:name="_Toc530662909"/>
      <w:bookmarkStart w:id="359" w:name="_Toc178761342"/>
      <w:bookmarkStart w:id="360" w:name="schulung_und_sensibilisierung_del_sensib"/>
      <w:bookmarkStart w:id="361" w:name="_Toc187327065"/>
      <w:bookmarkStart w:id="362" w:name="_Toc531165044"/>
      <w:bookmarkStart w:id="363" w:name="_Ref184300217"/>
      <w:bookmarkStart w:id="364" w:name="_Toc178588076"/>
      <w:bookmarkEnd w:id="357"/>
      <w:r>
        <w:rPr>
          <w:shd w:fill="EEEEEE" w:val="clear"/>
          <w:lang w:val="de-DE"/>
        </w:rPr>
        <w:t>Schulung und Sensibilisierung</w:t>
      </w:r>
      <w:bookmarkEnd w:id="358"/>
      <w:bookmarkEnd w:id="359"/>
      <w:bookmarkEnd w:id="360"/>
      <w:bookmarkEnd w:id="361"/>
      <w:bookmarkEnd w:id="362"/>
      <w:bookmarkEnd w:id="363"/>
      <w:bookmarkEnd w:id="36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6"/>
        </w:numPr>
        <w:spacing w:lineRule="auto" w:line="250"/>
        <w:rPr>
          <w:shd w:fill="EEEEEE" w:val="clear"/>
        </w:rPr>
      </w:pPr>
      <w:r>
        <w:rPr>
          <w:shd w:fill="EEEEEE" w:val="clear"/>
        </w:rPr>
        <w:t>Ihre Art und ihr Intervall werden zielgruppenorientiert festgelegt.</w:t>
      </w:r>
    </w:p>
    <w:p>
      <w:pPr>
        <w:pStyle w:val="Liste1"/>
        <w:numPr>
          <w:ilvl w:val="0"/>
          <w:numId w:val="5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 xml:space="preserve">Zusätzlich MUSS das Verfahren sicherstellen, dass das Topmanagement alle drei Jahre </w:t>
      </w:r>
      <w:commentRangeStart w:id="10"/>
      <w:ins w:id="179" w:author="Mark Semmler" w:date="2026-01-10T14:46:42Z">
        <w:r>
          <w:rPr>
            <w:rStyle w:val="Emphasis"/>
            <w:i w:val="false"/>
            <w:iCs w:val="false"/>
            <w:shd w:fill="auto" w:val="clear"/>
          </w:rPr>
          <w:t>sowie bei Bedarf</w:t>
        </w:r>
      </w:ins>
      <w:ins w:id="180" w:author="Mark Semmler" w:date="2026-01-10T14:46:42Z">
        <w:r>
          <w:rPr>
            <w:rStyle w:val="Emphasis"/>
            <w:i w:val="false"/>
            <w:iCs w:val="false"/>
            <w:shd w:fill="auto" w:val="clear"/>
          </w:rPr>
        </w:r>
      </w:ins>
      <w:commentRangeEnd w:id="10"/>
      <w:r>
        <w:commentReference w:id="10"/>
      </w:r>
      <w:ins w:id="181" w:author="Mark Semmler" w:date="2026-01-10T14:46:42Z">
        <w:r>
          <w:rPr>
            <w:rStyle w:val="Emphasis"/>
            <w:i w:val="false"/>
            <w:iCs w:val="false"/>
            <w:shd w:fill="auto" w:val="clear"/>
          </w:rPr>
          <w:t xml:space="preserve"> </w:t>
        </w:r>
      </w:ins>
      <w:r>
        <w:rPr>
          <w:rStyle w:val="Emphasis"/>
          <w:i w:val="false"/>
          <w:iCs w:val="false"/>
          <w:shd w:fill="auto" w:val="clear"/>
        </w:rPr>
        <w:t>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commentRangeStart w:id="11"/>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del w:id="185" w:author="Mark Semmler" w:date="2026-01-10T14:46:42Z"/>
        </w:rPr>
      </w:pPr>
      <w:del w:id="182" w:author="Mark Semmler" w:date="2026-01-10T14:46:42Z">
        <w:r>
          <w:rPr>
            <w:rStyle w:val="Emphasis"/>
            <w:i w:val="false"/>
            <w:iCs w:val="false"/>
          </w:rPr>
          <w:delText xml:space="preserve">Aufbau, Funktionsweise und Bedeutung des Risikomanagements (siehe Anhang </w:delText>
        </w:r>
      </w:del>
      <w:del w:id="183" w:author="Mark Semmler" w:date="2026-01-10T14:46:42Z">
        <w:r>
          <w:rPr>
            <w:rStyle w:val="Emphasis"/>
            <w:i w:val="false"/>
            <w:iCs w:val="false"/>
          </w:rPr>
          <w:fldChar w:fldCharType="begin"/>
        </w:r>
        <w:r>
          <w:rPr>
            <w:rStyle w:val="Emphasis"/>
            <w:i w:val="false"/>
            <w:iCs w:val="false"/>
          </w:rPr>
          <w:delInstrText xml:space="preserve"> REF __RefHeading___Toc32132_2021121348 \n \n \h </w:delInstrText>
        </w:r>
        <w:r>
          <w:rPr>
            <w:rStyle w:val="Emphasis"/>
            <w:i w:val="false"/>
            <w:iCs w:val="false"/>
          </w:rPr>
          <w:fldChar w:fldCharType="separate"/>
        </w:r>
        <w:r>
          <w:rPr>
            <w:rStyle w:val="Emphasis"/>
            <w:i w:val="false"/>
            <w:iCs w:val="false"/>
          </w:rPr>
          <w:delText>A.2</w:delText>
        </w:r>
        <w:r>
          <w:rPr>
            <w:rStyle w:val="Emphasis"/>
            <w:i w:val="false"/>
            <w:iCs w:val="false"/>
          </w:rPr>
          <w:fldChar w:fldCharType="end"/>
        </w:r>
      </w:del>
      <w:del w:id="184" w:author="Mark Semmler" w:date="2026-01-10T14:46:42Z">
        <w:r>
          <w:rPr>
            <w:rStyle w:val="Emphasis"/>
            <w:i w:val="false"/>
            <w:iCs w:val="false"/>
          </w:rPr>
          <w:delText>)</w:delText>
        </w:r>
      </w:del>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Normal"/>
        <w:numPr>
          <w:ilvl w:val="0"/>
          <w:numId w:val="55"/>
        </w:numPr>
        <w:suppressAutoHyphens w:val="false"/>
        <w:rPr>
          <w:ins w:id="190" w:author="Mark Semmler" w:date="2026-01-10T14:46:42Z"/>
        </w:rPr>
      </w:pPr>
      <w:ins w:id="186" w:author="Mark Semmler" w:date="2026-01-10T14:46:42Z">
        <w:r>
          <w:rPr>
            <w:rStyle w:val="Emphasis"/>
            <w:i w:val="false"/>
            <w:iCs w:val="false"/>
          </w:rPr>
          <w:t xml:space="preserve">Aufbau, Funktionsweise und Bedeutung des Risikomanagements (siehe Anhang </w:t>
        </w:r>
      </w:ins>
      <w:ins w:id="187" w:author="Mark Semmler" w:date="2026-01-10T14:46:42Z">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ins>
      <w:ins w:id="188" w:author="Mark Semmler" w:date="2026-01-10T14:46:42Z">
        <w:r>
          <w:rPr>
            <w:rStyle w:val="Emphasis"/>
            <w:i w:val="false"/>
            <w:iCs w:val="false"/>
          </w:rPr>
          <w:t>)</w:t>
        </w:r>
      </w:ins>
      <w:commentRangeEnd w:id="11"/>
      <w:r>
        <w:commentReference w:id="11"/>
      </w:r>
      <w:ins w:id="189" w:author="Mark Semmler" w:date="2026-01-10T14:46:42Z">
        <w:r>
          <w:rPr>
            <w:rStyle w:val="Emphasis"/>
            <w:i w:val="false"/>
            <w:iCs w:val="false"/>
          </w:rPr>
        </w:r>
      </w:ins>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5" w:name="__RefHeading___Toc31994_2021121348"/>
      <w:bookmarkEnd w:id="365"/>
      <w:r>
        <w:rPr>
          <w:lang w:val="de-DE"/>
        </w:rPr>
        <w:t>Schutzkategorien</w:t>
      </w:r>
    </w:p>
    <w:p>
      <w:pPr>
        <w:pStyle w:val="Heading2"/>
        <w:ind w:hanging="0" w:left="0"/>
        <w:rPr>
          <w:lang w:val="de-DE"/>
        </w:rPr>
      </w:pPr>
      <w:bookmarkStart w:id="366" w:name="__RefHeading___Toc31996_2021121348"/>
      <w:bookmarkStart w:id="367" w:name="_Toc187327067"/>
      <w:bookmarkEnd w:id="366"/>
      <w:r>
        <w:rPr>
          <w:lang w:val="de-DE"/>
        </w:rPr>
        <w:t>Grundlagen</w:t>
      </w:r>
      <w:bookmarkEnd w:id="36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tru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tru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4"/>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true"/>
        <w:bidi w:val="0"/>
        <w:spacing w:lineRule="auto" w:line="247" w:before="0" w:after="120"/>
        <w:jc w:val="both"/>
        <w:rPr>
          <w:lang w:val="de-DE"/>
        </w:rPr>
      </w:pPr>
      <w:r>
        <w:rPr>
          <w:lang w:val="de-DE"/>
        </w:rPr>
        <w:t xml:space="preserve">IT-Ressourcen der Schutzkategorie „kritisch“ sind IT-Ressourcen, die kritische Informationen (siehe Abschnitt </w:t>
      </w:r>
      <w:del w:id="191" w:author="Mark Semmler" w:date="2026-01-10T14:46:42Z">
        <w:r>
          <w:rPr>
            <w:lang w:val="de-DE"/>
          </w:rPr>
          <w:delText> </w:delText>
        </w:r>
      </w:del>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 xml:space="preserve">Die Organisation MUSS jährlich prüfen, ob die Einteilung aktuell </w:t>
      </w:r>
      <w:ins w:id="192" w:author="Mark Semmler" w:date="2026-01-10T14:46:42Z">
        <w:r>
          <w:rPr>
            <w:rFonts w:eastAsia="Arial" w:cs="DejaVu Sans"/>
            <w:color w:val="auto"/>
            <w:kern w:val="0"/>
            <w:sz w:val="20"/>
            <w:szCs w:val="22"/>
            <w:lang w:val="de-DE" w:eastAsia="en-US" w:bidi="ar-SA"/>
          </w:rPr>
          <w:t xml:space="preserve">und vollständig </w:t>
        </w:r>
      </w:ins>
      <w:r>
        <w:rPr>
          <w:rFonts w:eastAsia="Arial" w:cs="DejaVu Sans"/>
          <w:color w:val="auto"/>
          <w:kern w:val="0"/>
          <w:sz w:val="20"/>
          <w:szCs w:val="22"/>
          <w:lang w:val="de-DE" w:eastAsia="en-US" w:bidi="ar-SA"/>
        </w:rPr>
        <w:t>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xml:space="preserve">) implementiert werden, das die Anforderungen </w:t>
      </w:r>
      <w:ins w:id="193" w:author="Mark Semmler" w:date="2026-01-10T14:46:42Z">
        <w:r>
          <w:rPr>
            <w:shd w:fill="EEEEEE" w:val="clear"/>
            <w:lang w:val="de-DE"/>
          </w:rPr>
          <w:t>der folgenden</w:t>
        </w:r>
      </w:ins>
      <w:del w:id="194" w:author="Mark Semmler" w:date="2026-01-10T14:46:42Z">
        <w:r>
          <w:rPr>
            <w:shd w:fill="EEEEEE" w:val="clear"/>
            <w:lang w:val="de-DE"/>
          </w:rPr>
          <w:delText>folgender</w:delText>
        </w:r>
      </w:del>
      <w:r>
        <w:rPr>
          <w:shd w:fill="EEEEEE" w:val="clear"/>
          <w:lang w:val="de-DE"/>
        </w:rPr>
        <w:t xml:space="preserve"> Abschnitte erfüllt.</w:t>
      </w:r>
    </w:p>
    <w:p>
      <w:pPr>
        <w:pStyle w:val="Heading2"/>
        <w:ind w:hanging="0" w:left="0"/>
        <w:rPr>
          <w:shd w:fill="EEEEEE" w:val="clear"/>
          <w:lang w:val="de-DE"/>
        </w:rPr>
      </w:pPr>
      <w:bookmarkStart w:id="368" w:name="__RefHeading___Toc31998_2021121348"/>
      <w:bookmarkStart w:id="369" w:name="_Toc178588078"/>
      <w:bookmarkStart w:id="370" w:name="prozesse"/>
      <w:bookmarkStart w:id="371" w:name="_Toc178761344"/>
      <w:bookmarkStart w:id="372" w:name="_Toc187327068"/>
      <w:bookmarkStart w:id="373" w:name="_Toc530662911"/>
      <w:bookmarkStart w:id="374" w:name="_Toc531165046"/>
      <w:bookmarkStart w:id="375" w:name="rl%252525252525252525252525252525252525z"/>
      <w:bookmarkEnd w:id="368"/>
      <w:bookmarkEnd w:id="375"/>
      <w:r>
        <w:rPr>
          <w:shd w:fill="EEEEEE" w:val="clear"/>
          <w:lang w:val="de-DE"/>
        </w:rPr>
        <w:t>Prozesse</w:t>
      </w:r>
      <w:bookmarkEnd w:id="369"/>
      <w:bookmarkEnd w:id="370"/>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shd w:fill="EEEEEE" w:val="clear"/>
        </w:rPr>
      </w:pPr>
      <w:r>
        <w:rPr>
          <w:shd w:fill="EEEEEE" w:val="clear"/>
        </w:rPr>
        <w:t>Sie enthält eine kurze Beschreibung des Prozesses.</w:t>
      </w:r>
    </w:p>
    <w:p>
      <w:pPr>
        <w:pStyle w:val="Liste1"/>
        <w:numPr>
          <w:ilvl w:val="0"/>
          <w:numId w:val="5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2"/>
        </w:numPr>
        <w:spacing w:lineRule="auto" w:line="250"/>
        <w:rPr>
          <w:shd w:fill="EEEEEE" w:val="clear"/>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6" w:name="__RefHeading___Toc32004_2021121348"/>
      <w:bookmarkEnd w:id="37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w:t>
      </w:r>
      <w:ins w:id="195" w:author="Mark Semmler" w:date="2026-01-10T14:46:42Z">
        <w:r>
          <w:rPr>
            <w:rFonts w:eastAsia="Arial" w:cs="DejaVu Sans"/>
            <w:i/>
            <w:iCs/>
            <w:color w:val="auto"/>
            <w:kern w:val="0"/>
            <w:sz w:val="20"/>
            <w:szCs w:val="22"/>
            <w:lang w:val="de-DE" w:eastAsia="en-US" w:bidi="ar-SA"/>
          </w:rPr>
          <w:t> </w:t>
        </w:r>
      </w:ins>
      <w:del w:id="196" w:author="Mark Semmler" w:date="2026-01-10T14:46:42Z">
        <w:r>
          <w:rPr>
            <w:rFonts w:eastAsia="Arial" w:cs="DejaVu Sans"/>
            <w:i/>
            <w:iCs/>
            <w:color w:val="auto"/>
            <w:kern w:val="0"/>
            <w:sz w:val="20"/>
            <w:szCs w:val="22"/>
            <w:lang w:val="de-DE" w:eastAsia="en-US" w:bidi="ar-SA"/>
          </w:rPr>
          <w:delText xml:space="preserve"> </w:delText>
        </w:r>
      </w:del>
      <w:r>
        <w:rPr>
          <w:rFonts w:eastAsia="Arial" w:cs="DejaVu Sans"/>
          <w:i/>
          <w:iCs/>
          <w:color w:val="auto"/>
          <w:kern w:val="0"/>
          <w:sz w:val="20"/>
          <w:szCs w:val="22"/>
          <w:lang w:val="de-DE" w:eastAsia="en-US" w:bidi="ar-SA"/>
        </w:rPr>
        <w:t>B.</w:t>
      </w:r>
      <w:r>
        <w:rPr>
          <w:i/>
          <w:iCs/>
          <w:lang w:val="de-DE"/>
        </w:rPr>
        <w:t xml:space="preserve"> ISO 22301</w:t>
      </w:r>
      <w:del w:id="197" w:author="Mark Semmler" w:date="2026-01-10T14:46:42Z">
        <w:r>
          <w:rPr>
            <w:i/>
            <w:iCs/>
            <w:lang w:val="de-DE"/>
          </w:rPr>
          <w:delText>, ISO/TS 22317</w:delText>
        </w:r>
      </w:del>
      <w:r>
        <w:rPr>
          <w:i/>
          <w:iCs/>
          <w:lang w:val="de-DE"/>
        </w:rPr>
        <w:t xml:space="preserve">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tru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3"/>
        </w:numPr>
        <w:suppressAutoHyphens w:val="false"/>
        <w:overflowPunct w:val="true"/>
        <w:bidi w:val="0"/>
        <w:spacing w:lineRule="auto" w:line="247" w:before="120" w:after="120"/>
        <w:jc w:val="both"/>
        <w:rPr>
          <w:lang w:val="de-DE"/>
        </w:rPr>
      </w:pPr>
      <w:r>
        <w:rPr>
          <w:lang w:val="de-DE"/>
        </w:rPr>
        <w:t>Sie begründet, warum die IT-Ressource wichtig ist.</w:t>
      </w:r>
    </w:p>
    <w:p>
      <w:pPr>
        <w:pStyle w:val="Liste1"/>
        <w:widowControl/>
        <w:numPr>
          <w:ilvl w:val="0"/>
          <w:numId w:val="53"/>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7" w:name="__RefHeading___Toc32006_2021121348"/>
      <w:bookmarkStart w:id="378" w:name="_Toc178588079"/>
      <w:bookmarkStart w:id="379" w:name="_Toc178761345"/>
      <w:bookmarkStart w:id="380" w:name="_Ref178762340"/>
      <w:bookmarkStart w:id="381" w:name="_Ref178762353"/>
      <w:bookmarkStart w:id="382" w:name="rl%2525252525252525252525252525252525210"/>
      <w:bookmarkStart w:id="383" w:name="_Toc187327069"/>
      <w:bookmarkEnd w:id="377"/>
      <w:bookmarkEnd w:id="382"/>
      <w:r>
        <w:rPr>
          <w:shd w:fill="EEEEEE" w:val="clear"/>
          <w:lang w:val="de-DE"/>
        </w:rPr>
        <w:t xml:space="preserve">Kritische </w:t>
      </w:r>
      <w:bookmarkStart w:id="384" w:name="_Toc531165047"/>
      <w:bookmarkStart w:id="385" w:name="_Ref530719418"/>
      <w:bookmarkStart w:id="386" w:name="_Toc530662912"/>
      <w:r>
        <w:rPr>
          <w:shd w:fill="EEEEEE" w:val="clear"/>
          <w:lang w:val="de-DE"/>
        </w:rPr>
        <w:t>Informationen</w:t>
      </w:r>
      <w:bookmarkEnd w:id="378"/>
      <w:bookmarkEnd w:id="379"/>
      <w:bookmarkEnd w:id="380"/>
      <w:bookmarkEnd w:id="381"/>
      <w:bookmarkEnd w:id="383"/>
      <w:bookmarkEnd w:id="384"/>
      <w:bookmarkEnd w:id="385"/>
      <w:bookmarkEnd w:id="38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7" w:name="__RefHeading___Toc32008_2021121348"/>
      <w:bookmarkStart w:id="388" w:name="_Toc178761346"/>
      <w:bookmarkStart w:id="389" w:name="_Ref184201031"/>
      <w:bookmarkStart w:id="390" w:name="_Ref184200952"/>
      <w:bookmarkStart w:id="391" w:name="_Ref184201086"/>
      <w:bookmarkStart w:id="392" w:name="_Ref179186143"/>
      <w:bookmarkStart w:id="393" w:name="_Toc178588080"/>
      <w:bookmarkStart w:id="394" w:name="_Toc187327070"/>
      <w:bookmarkStart w:id="395" w:name="rl%2525252525252525252525252525252525211"/>
      <w:bookmarkEnd w:id="387"/>
      <w:bookmarkEnd w:id="395"/>
      <w:r>
        <w:rPr>
          <w:shd w:fill="EEEEEE" w:val="clear"/>
          <w:lang w:val="de-DE"/>
        </w:rPr>
        <w:t xml:space="preserve">Kritische </w:t>
      </w:r>
      <w:bookmarkStart w:id="396" w:name="_Toc530662913"/>
      <w:bookmarkStart w:id="397" w:name="it-ressourcen_del_it-systeme_mobile_date"/>
      <w:bookmarkStart w:id="398" w:name="_Toc531165048"/>
      <w:r>
        <w:rPr>
          <w:shd w:fill="EEEEEE" w:val="clear"/>
          <w:lang w:val="de-DE"/>
        </w:rPr>
        <w:t>IT-Ressourcen</w:t>
      </w:r>
      <w:bookmarkEnd w:id="388"/>
      <w:bookmarkEnd w:id="389"/>
      <w:bookmarkEnd w:id="390"/>
      <w:bookmarkEnd w:id="391"/>
      <w:bookmarkEnd w:id="392"/>
      <w:bookmarkEnd w:id="393"/>
      <w:bookmarkEnd w:id="394"/>
      <w:bookmarkEnd w:id="396"/>
      <w:bookmarkEnd w:id="397"/>
      <w:bookmarkEnd w:id="39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50"/>
        </w:numPr>
        <w:rPr>
          <w:shd w:fill="EEEEEE" w:val="clear"/>
          <w:lang w:val="de-DE"/>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9" w:name="__RefHeading___Toc32010_2021121348"/>
      <w:bookmarkEnd w:id="39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400" w:name="__RefHeading___Toc32012_2021121348"/>
      <w:bookmarkStart w:id="401" w:name="it-systeme"/>
      <w:bookmarkStart w:id="402" w:name="rl%2525252525252525252525252525252525212"/>
      <w:bookmarkStart w:id="403" w:name="_Toc187327071"/>
      <w:bookmarkStart w:id="404" w:name="_Toc530662914"/>
      <w:bookmarkStart w:id="405" w:name="_Toc531165049"/>
      <w:bookmarkStart w:id="406" w:name="_Toc178588081"/>
      <w:bookmarkStart w:id="407" w:name="_Toc178761347"/>
      <w:bookmarkEnd w:id="400"/>
      <w:bookmarkEnd w:id="402"/>
      <w:r>
        <w:rPr>
          <w:shd w:fill="EEEEEE" w:val="clear"/>
          <w:lang w:val="de-DE"/>
        </w:rPr>
        <w:t>IT-Systeme</w:t>
      </w:r>
      <w:bookmarkEnd w:id="401"/>
      <w:bookmarkEnd w:id="403"/>
      <w:bookmarkEnd w:id="404"/>
      <w:bookmarkEnd w:id="405"/>
      <w:bookmarkEnd w:id="406"/>
      <w:bookmarkEnd w:id="407"/>
    </w:p>
    <w:p>
      <w:pPr>
        <w:pStyle w:val="Heading2"/>
        <w:ind w:hanging="0" w:left="0"/>
        <w:rPr>
          <w:shd w:fill="EEEEEE" w:val="clear"/>
          <w:lang w:val="de-DE"/>
        </w:rPr>
      </w:pPr>
      <w:bookmarkStart w:id="408" w:name="__RefHeading___Toc32014_2021121348"/>
      <w:bookmarkStart w:id="409" w:name="_Toc187327072"/>
      <w:bookmarkEnd w:id="408"/>
      <w:r>
        <w:rPr>
          <w:shd w:fill="EEEEEE" w:val="clear"/>
          <w:lang w:val="de-DE"/>
        </w:rPr>
        <w:t>Grundlagen</w:t>
      </w:r>
      <w:bookmarkEnd w:id="409"/>
    </w:p>
    <w:p>
      <w:pPr>
        <w:pStyle w:val="10000-DefaultParagraph"/>
        <w:rPr>
          <w:shd w:fill="EEEEEE" w:val="clear"/>
          <w:lang w:val="de-DE"/>
        </w:rPr>
      </w:pPr>
      <w:ins w:id="198" w:author="Mark Semmler" w:date="2026-01-10T14:46:42Z">
        <w:r>
          <w:rPr>
            <w:shd w:fill="EEEEEE" w:val="clear"/>
            <w:lang w:val="de-DE"/>
          </w:rPr>
          <w:t>Informationsverarbeitung geschieht heute</w:t>
        </w:r>
      </w:ins>
      <w:del w:id="199" w:author="Mark Semmler" w:date="2026-01-10T14:46:42Z">
        <w:r>
          <w:rPr>
            <w:shd w:fill="EEEEEE" w:val="clear"/>
            <w:lang w:val="de-DE"/>
          </w:rPr>
          <w:delText>Die Informationsverarbeitung einer Organisation geschieht</w:delText>
        </w:r>
      </w:del>
      <w:r>
        <w:rPr>
          <w:shd w:fill="EEEEEE" w:val="clear"/>
          <w:lang w:val="de-DE"/>
        </w:rPr>
        <w:t xml:space="preserve"> zum größten Teil elektronisch. Es ist notwendig, IT-Systeme strukturiert zu verwalten und abzusichern.</w:t>
      </w:r>
    </w:p>
    <w:p>
      <w:pPr>
        <w:pStyle w:val="Heading2"/>
        <w:ind w:hanging="0" w:left="0"/>
        <w:rPr>
          <w:shd w:fill="EEEEEE" w:val="clear"/>
          <w:lang w:val="de-DE"/>
        </w:rPr>
      </w:pPr>
      <w:bookmarkStart w:id="410" w:name="__RefHeading___Toc32016_2021121348"/>
      <w:bookmarkStart w:id="411" w:name="rl%2525252525252525252525252525252525213"/>
      <w:bookmarkStart w:id="412" w:name="_Toc531165050"/>
      <w:bookmarkStart w:id="413" w:name="_Ref179186274"/>
      <w:bookmarkStart w:id="414" w:name="_Toc178588082"/>
      <w:bookmarkStart w:id="415" w:name="_Toc187327073"/>
      <w:bookmarkStart w:id="416" w:name="_Ref179186163"/>
      <w:bookmarkStart w:id="417" w:name="inventarisierung_und_dokumentation"/>
      <w:bookmarkStart w:id="418" w:name="_Toc178761348"/>
      <w:bookmarkStart w:id="419" w:name="_Toc530662915"/>
      <w:bookmarkEnd w:id="410"/>
      <w:bookmarkEnd w:id="411"/>
      <w:r>
        <w:rPr>
          <w:shd w:fill="EEEEEE" w:val="clear"/>
          <w:lang w:val="de-DE"/>
        </w:rPr>
        <w:t>Inventarisierung</w:t>
      </w:r>
      <w:bookmarkEnd w:id="412"/>
      <w:bookmarkEnd w:id="413"/>
      <w:bookmarkEnd w:id="414"/>
      <w:bookmarkEnd w:id="415"/>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shd w:fill="EEEEEE" w:val="clear"/>
          <w:lang w:val="de-DE"/>
        </w:rPr>
      </w:pPr>
      <w:r>
        <w:rPr>
          <w:shd w:fill="EEEEEE" w:val="clear"/>
          <w:lang w:val="de-DE"/>
        </w:rPr>
        <w:t>Eindeutiges Identifizierungsmerkmal</w:t>
      </w:r>
    </w:p>
    <w:p>
      <w:pPr>
        <w:pStyle w:val="10000-DefaultParagraph"/>
        <w:numPr>
          <w:ilvl w:val="0"/>
          <w:numId w:val="49"/>
        </w:numPr>
        <w:rPr>
          <w:shd w:fill="EEEEEE" w:val="clear"/>
          <w:lang w:val="de-DE"/>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DefaultParagraph"/>
        <w:numPr>
          <w:ilvl w:val="0"/>
          <w:numId w:val="49"/>
        </w:numPr>
        <w:rPr>
          <w:shd w:fill="EEEEEE" w:val="clear"/>
          <w:lang w:val="de-DE"/>
          <w:ins w:id="203" w:author="Mark Semmler" w:date="2026-01-10T14:46:42Z"/>
        </w:rPr>
      </w:pPr>
      <w:commentRangeStart w:id="12"/>
      <w:ins w:id="200" w:author="Mark Semmler" w:date="2026-01-10T14:46:42Z">
        <w:r>
          <w:rPr>
            <w:shd w:fill="EEEEEE" w:val="clear"/>
            <w:lang w:val="de-DE"/>
          </w:rPr>
          <w:t xml:space="preserve">Schutzkategorie (siehe Kapitel </w:t>
        </w:r>
      </w:ins>
      <w:ins w:id="201" w:author="Mark Semmler" w:date="2026-01-10T14:46:42Z">
        <w:r>
          <w:rPr>
            <w:shd w:fill="EEEEEE" w:val="clear"/>
            <w:lang w:val="de-DE"/>
          </w:rPr>
          <w:fldChar w:fldCharType="begin"/>
        </w:r>
        <w:r>
          <w:rPr>
            <w:shd w:fill="EEEEEE" w:val="clear"/>
            <w:lang w:val="de-DE"/>
          </w:rPr>
          <w:instrText xml:space="preserve"> REF __RefHeading___Toc31994_2021121348 \n \n \h </w:instrText>
        </w:r>
        <w:r>
          <w:rPr>
            <w:shd w:fill="EEEEEE" w:val="clear"/>
            <w:lang w:val="de-DE"/>
          </w:rPr>
          <w:fldChar w:fldCharType="separate"/>
        </w:r>
        <w:r>
          <w:rPr>
            <w:shd w:fill="EEEEEE" w:val="clear"/>
            <w:lang w:val="de-DE"/>
          </w:rPr>
          <w:t>9</w:t>
        </w:r>
        <w:r>
          <w:rPr>
            <w:shd w:fill="EEEEEE" w:val="clear"/>
            <w:lang w:val="de-DE"/>
          </w:rPr>
          <w:fldChar w:fldCharType="end"/>
        </w:r>
      </w:ins>
      <w:ins w:id="202" w:author="Mark Semmler" w:date="2026-01-10T14:46:42Z">
        <w:r>
          <w:rPr>
            <w:shd w:fill="EEEEEE" w:val="clear"/>
            <w:lang w:val="de-DE"/>
          </w:rPr>
          <w:t>)</w:t>
        </w:r>
      </w:ins>
    </w:p>
    <w:p>
      <w:pPr>
        <w:pStyle w:val="10000-DefaultParagraph"/>
        <w:numPr>
          <w:ilvl w:val="0"/>
          <w:numId w:val="49"/>
        </w:numPr>
        <w:rPr>
          <w:shd w:fill="EEEEEE" w:val="clear"/>
          <w:lang w:val="de-DE"/>
          <w:ins w:id="208" w:author="Mark Semmler" w:date="2026-01-10T14:46:42Z"/>
        </w:rPr>
      </w:pPr>
      <w:ins w:id="204" w:author="Mark Semmler" w:date="2026-01-10T14:46:42Z">
        <w:r>
          <w:rPr>
            <w:shd w:fill="EEEEEE" w:val="clear"/>
            <w:lang w:val="de-DE"/>
          </w:rPr>
          <w:t xml:space="preserve">Administrationszone (siehe </w:t>
        </w:r>
      </w:ins>
      <w:ins w:id="205" w:author="Mark Semmler" w:date="2026-01-10T14:46:42Z">
        <w:r>
          <w:rPr>
            <w:shd w:fill="EEEEEE" w:val="clear"/>
            <w:lang w:val="de-DE"/>
          </w:rPr>
          <w:fldChar w:fldCharType="begin"/>
        </w:r>
        <w:r>
          <w:rPr>
            <w:shd w:fill="EEEEEE" w:val="clear"/>
            <w:lang w:val="de-DE"/>
          </w:rPr>
          <w:instrText xml:space="preserve"> REF __RefHeading___Toc37547_3081562653 \n \n \h </w:instrText>
        </w:r>
        <w:r>
          <w:rPr>
            <w:shd w:fill="EEEEEE" w:val="clear"/>
            <w:lang w:val="de-DE"/>
          </w:rPr>
          <w:fldChar w:fldCharType="separate"/>
        </w:r>
        <w:r>
          <w:rPr>
            <w:shd w:fill="EEEEEE" w:val="clear"/>
            <w:lang w:val="de-DE"/>
          </w:rPr>
          <w:t>10.4.10</w:t>
        </w:r>
        <w:r>
          <w:rPr>
            <w:shd w:fill="EEEEEE" w:val="clear"/>
            <w:lang w:val="de-DE"/>
          </w:rPr>
          <w:fldChar w:fldCharType="end"/>
        </w:r>
      </w:ins>
      <w:ins w:id="206" w:author="Mark Semmler" w:date="2026-01-10T14:46:42Z">
        <w:r>
          <w:rPr>
            <w:shd w:fill="EEEEEE" w:val="clear"/>
            <w:lang w:val="de-DE"/>
          </w:rPr>
          <w:t>)</w:t>
        </w:r>
      </w:ins>
      <w:commentRangeEnd w:id="12"/>
      <w:r>
        <w:commentReference w:id="12"/>
      </w:r>
      <w:ins w:id="207" w:author="Mark Semmler" w:date="2026-01-10T14:46:42Z">
        <w:r>
          <w:rPr>
            <w:shd w:fill="EEEEEE" w:val="clear"/>
            <w:lang w:val="de-DE"/>
          </w:rPr>
        </w:r>
      </w:ins>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178761349"/>
      <w:bookmarkStart w:id="422" w:name="rl%2525252525252525252525252525252525214"/>
      <w:bookmarkStart w:id="423" w:name="_Toc531165051"/>
      <w:bookmarkStart w:id="424" w:name="_Toc187327074"/>
      <w:bookmarkStart w:id="425" w:name="lebenszyklus"/>
      <w:bookmarkStart w:id="426" w:name="_Toc178588083"/>
      <w:bookmarkStart w:id="427" w:name="_Toc530662916"/>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Ref178769420"/>
      <w:bookmarkStart w:id="432" w:name="rl%2525252525252525252525252525252525215"/>
      <w:bookmarkStart w:id="433" w:name="inbetriebnahme_und_aenderung"/>
      <w:bookmarkStart w:id="434" w:name="_Toc530662917"/>
      <w:bookmarkStart w:id="435" w:name="_Toc187327076"/>
      <w:bookmarkStart w:id="436" w:name="_Toc531165052"/>
      <w:bookmarkStart w:id="437" w:name="_Ref178769419"/>
      <w:bookmarkStart w:id="438" w:name="_Ref178769481"/>
      <w:bookmarkStart w:id="439" w:name="_Toc178761350"/>
      <w:bookmarkEnd w:id="430"/>
      <w:bookmarkEnd w:id="432"/>
      <w:r>
        <w:rPr/>
        <w:t>Inbetriebnahme und Änderung</w:t>
      </w:r>
      <w:bookmarkEnd w:id="431"/>
      <w:bookmarkEnd w:id="433"/>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w:t>
      </w:r>
      <w:ins w:id="209" w:author="Mark Semmler" w:date="2026-01-10T14:46:42Z">
        <w:r>
          <w:rPr>
            <w:lang w:val="de-DE"/>
          </w:rPr>
          <w:t>Schutzkategorie</w:t>
        </w:r>
      </w:ins>
      <w:del w:id="210" w:author="Mark Semmler" w:date="2026-01-10T14:46:42Z">
        <w:r>
          <w:rPr>
            <w:lang w:val="de-DE"/>
          </w:rPr>
          <w:delText>Einstufung</w:delText>
        </w:r>
      </w:del>
      <w:r>
        <w:rPr>
          <w:lang w:val="de-DE"/>
        </w:rPr>
        <w:t xml:space="preserv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lang w:val="de-DE"/>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rl%2525252525252525252525252525252525216"/>
      <w:bookmarkStart w:id="442" w:name="_Toc530662918"/>
      <w:bookmarkStart w:id="443" w:name="_Toc178761351"/>
      <w:bookmarkStart w:id="444" w:name="_Toc531165053"/>
      <w:bookmarkStart w:id="445" w:name="_Toc187327077"/>
      <w:bookmarkStart w:id="446" w:name="_Ref178769453"/>
      <w:bookmarkStart w:id="447" w:name="ausmusterung_und_del_weiterverwendungdel"/>
      <w:bookmarkEnd w:id="440"/>
      <w:bookmarkEnd w:id="441"/>
      <w:r>
        <w:rPr>
          <w:shd w:fill="EEEEEE" w:val="clear"/>
          <w:lang w:val="de-DE"/>
        </w:rPr>
        <w:t>Ausmusterung und Wiederverwendung</w:t>
      </w:r>
      <w:bookmarkEnd w:id="442"/>
      <w:bookmarkEnd w:id="443"/>
      <w:bookmarkEnd w:id="444"/>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shd w:fill="EEEEEE" w:val="clear"/>
        </w:rPr>
      </w:pPr>
      <w:r>
        <w:rPr>
          <w:shd w:fill="EEEEEE" w:val="clear"/>
        </w:rPr>
        <w:t>Die auf dem IT-System gespeicherten Informationen werden bei Bedarf gesichert.</w:t>
      </w:r>
    </w:p>
    <w:p>
      <w:pPr>
        <w:pStyle w:val="Liste1"/>
        <w:numPr>
          <w:ilvl w:val="0"/>
          <w:numId w:val="4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rl%2525252525252525252525252525252525217"/>
      <w:bookmarkStart w:id="451" w:name="basisschutz"/>
      <w:bookmarkStart w:id="452" w:name="_Ref178769569"/>
      <w:bookmarkStart w:id="453" w:name="_Toc531165054"/>
      <w:bookmarkStart w:id="454" w:name="_Toc530662919"/>
      <w:bookmarkStart w:id="455" w:name="_Toc178761352"/>
      <w:bookmarkStart w:id="456" w:name="_Toc178588084"/>
      <w:bookmarkEnd w:id="448"/>
      <w:bookmarkEnd w:id="450"/>
      <w:r>
        <w:rPr>
          <w:lang w:val="de-DE"/>
        </w:rPr>
        <w:t>Basisschutz</w:t>
      </w:r>
      <w:bookmarkEnd w:id="449"/>
      <w:bookmarkEnd w:id="451"/>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3"/>
      <w:r>
        <w:rPr>
          <w:lang w:val="de-DE"/>
        </w:rPr>
        <w:t>Nachrangige IT-Systeme KÖNNEN von der Umsetzung der Maßnahmen des Basisschutzes generell ausgenommen werden.</w:t>
      </w:r>
      <w:ins w:id="211" w:author="Mark Semmler" w:date="2026-01-10T14:46:42Z">
        <w:r>
          <w:rPr>
            <w:lang w:val="de-DE"/>
          </w:rPr>
        </w:r>
      </w:ins>
      <w:commentRangeEnd w:id="13"/>
      <w:r>
        <w:commentReference w:id="13"/>
      </w:r>
      <w:ins w:id="212" w:author="Mark Semmler" w:date="2026-01-10T14:46:42Z">
        <w:r>
          <w:rPr/>
          <w:commentReference w:id="14"/>
        </w:r>
      </w:ins>
    </w:p>
    <w:p>
      <w:pPr>
        <w:pStyle w:val="Heading3"/>
        <w:ind w:hanging="0" w:left="0"/>
        <w:rPr>
          <w:shd w:fill="EEEEEE" w:val="clear"/>
        </w:rPr>
      </w:pPr>
      <w:bookmarkStart w:id="459" w:name="__RefHeading___del_updatesdel_software_5"/>
      <w:bookmarkStart w:id="460" w:name="_Ref184204527"/>
      <w:bookmarkStart w:id="461" w:name="rl%2525252525252525252525252525252525218"/>
      <w:bookmarkStart w:id="462" w:name="_Toc178761353"/>
      <w:bookmarkStart w:id="463" w:name="_Toc531165055"/>
      <w:bookmarkStart w:id="464" w:name="del_updatesdel_software"/>
      <w:bookmarkStart w:id="465" w:name="_Toc187327080"/>
      <w:bookmarkStart w:id="466" w:name="_Toc530662920"/>
      <w:bookmarkEnd w:id="459"/>
      <w:bookmarkEnd w:id="461"/>
      <w:r>
        <w:rPr>
          <w:shd w:fill="EEEEEE" w:val="clear"/>
          <w:lang w:val="de-DE"/>
        </w:rPr>
        <w:t>Software</w:t>
      </w:r>
      <w:bookmarkEnd w:id="460"/>
      <w:bookmarkEnd w:id="462"/>
      <w:bookmarkEnd w:id="463"/>
      <w:bookmarkEnd w:id="464"/>
      <w:bookmarkEnd w:id="465"/>
      <w:bookmarkEnd w:id="466"/>
    </w:p>
    <w:p>
      <w:pPr>
        <w:pStyle w:val="10000-DefaultParagraph"/>
        <w:widowControl/>
        <w:suppressAutoHyphens w:val="false"/>
        <w:overflowPunct w:val="tru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rl%2525252525252525252525252525252525219"/>
      <w:bookmarkStart w:id="470" w:name="_Toc530662921"/>
      <w:bookmarkStart w:id="471" w:name="_Toc531165056"/>
      <w:bookmarkStart w:id="472" w:name="beschraenkung_des_netzwerkverkehrs"/>
      <w:bookmarkStart w:id="473" w:name="_Toc187327081"/>
      <w:bookmarkStart w:id="474" w:name="_Ref184204544"/>
      <w:bookmarkEnd w:id="467"/>
      <w:bookmarkEnd w:id="469"/>
      <w:r>
        <w:rPr>
          <w:shd w:fill="EEEEEE" w:val="clear"/>
          <w:lang w:val="de-DE"/>
        </w:rPr>
        <w:t>Beschränkung des Netzwerkverkehrs</w:t>
      </w:r>
      <w:bookmarkEnd w:id="468"/>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187327082"/>
      <w:bookmarkStart w:id="477" w:name="_Toc178761355"/>
      <w:bookmarkStart w:id="478" w:name="_Ref184204555"/>
      <w:bookmarkStart w:id="479" w:name="_Toc531165057"/>
      <w:bookmarkStart w:id="480" w:name="_Toc530662922"/>
      <w:bookmarkStart w:id="481" w:name="protokollierung"/>
      <w:bookmarkStart w:id="482" w:name="rl%252525252525252525252525252525252521a"/>
      <w:bookmarkEnd w:id="475"/>
      <w:bookmarkEnd w:id="482"/>
      <w:r>
        <w:rPr>
          <w:lang w:val="de-DE"/>
        </w:rPr>
        <w:t>Protokollierung</w:t>
      </w:r>
      <w:bookmarkEnd w:id="476"/>
      <w:bookmarkEnd w:id="477"/>
      <w:bookmarkEnd w:id="478"/>
      <w:bookmarkEnd w:id="479"/>
      <w:bookmarkEnd w:id="480"/>
      <w:bookmarkEnd w:id="48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0662923"/>
      <w:bookmarkStart w:id="485" w:name="rl%252525252525252525252525252525252521b"/>
      <w:bookmarkStart w:id="486" w:name="externe_schnittstellen_und_laufwerke"/>
      <w:bookmarkStart w:id="487" w:name="_Toc178761356"/>
      <w:bookmarkStart w:id="488" w:name="_Toc531165058"/>
      <w:bookmarkStart w:id="489" w:name="_Toc187327083"/>
      <w:bookmarkEnd w:id="483"/>
      <w:bookmarkEnd w:id="485"/>
      <w:r>
        <w:rPr>
          <w:shd w:fill="EEEEEE" w:val="clear"/>
          <w:lang w:val="de-DE"/>
        </w:rPr>
        <w:t>Externe Schnittstellen und Laufwerke</w:t>
      </w:r>
      <w:bookmarkEnd w:id="484"/>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187327084"/>
      <w:bookmarkStart w:id="492" w:name="_Toc530662924"/>
      <w:bookmarkStart w:id="493" w:name="_Toc531165059"/>
      <w:bookmarkStart w:id="494" w:name="_Ref184811333"/>
      <w:bookmarkStart w:id="495" w:name="_Toc178761357"/>
      <w:bookmarkStart w:id="496" w:name="schadsoftware"/>
      <w:bookmarkStart w:id="497" w:name="rl%252525252525252525252525252525252521c"/>
      <w:bookmarkEnd w:id="490"/>
      <w:bookmarkEnd w:id="497"/>
      <w:r>
        <w:rPr>
          <w:shd w:fill="EEEEEE" w:val="clear"/>
          <w:lang w:val="de-DE"/>
        </w:rPr>
        <w:t>Schadsoftware</w:t>
      </w:r>
      <w:bookmarkEnd w:id="491"/>
      <w:bookmarkEnd w:id="492"/>
      <w:bookmarkEnd w:id="493"/>
      <w:bookmarkEnd w:id="494"/>
      <w:bookmarkEnd w:id="495"/>
      <w:bookmarkEnd w:id="49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del w:id="213" w:author="Mark Semmler" w:date="2026-01-10T14:46:42Z">
        <w:r>
          <w:rPr>
            <w:i/>
            <w:iCs/>
            <w:shd w:fill="auto" w:val="clear"/>
          </w:rPr>
          <w:commentReference w:id="15"/>
        </w:r>
      </w:del>
    </w:p>
    <w:p>
      <w:pPr>
        <w:pStyle w:val="Normal"/>
        <w:rPr>
          <w:shd w:fill="EEEEEE" w:val="clear"/>
        </w:rPr>
      </w:pPr>
      <w:r>
        <w:rPr>
          <w:shd w:fill="EEEEEE" w:val="clear"/>
        </w:rPr>
        <w:t>Das Ausführen erkannter Schadsoftware MUSS verhindert werden.</w:t>
      </w:r>
    </w:p>
    <w:p>
      <w:pPr>
        <w:pStyle w:val="Normal"/>
        <w:rPr>
          <w:i/>
          <w:i/>
          <w:iCs/>
          <w:del w:id="218" w:author="Mark Semmler" w:date="2026-01-10T14:46:42Z"/>
        </w:rPr>
      </w:pPr>
      <w:del w:id="214" w:author="Mark Semmler" w:date="2026-01-10T14:46:42Z">
        <w:r>
          <w:rPr>
            <w:i/>
            <w:iCs/>
          </w:rPr>
          <w:delText xml:space="preserve">Der Versuch, Schadsoftware auszuführen SOLLTE als Sicherheitsvorfall (siehe Kapitel </w:delText>
        </w:r>
      </w:del>
      <w:del w:id="215" w:author="Mark Semmler" w:date="2026-01-10T14:46:42Z">
        <w:r>
          <w:rPr>
            <w:i/>
            <w:iCs/>
          </w:rPr>
          <w:fldChar w:fldCharType="begin"/>
        </w:r>
        <w:r>
          <w:rPr>
            <w:i/>
            <w:iCs/>
          </w:rPr>
          <w:delInstrText xml:space="preserve"> REF __RefHeading___Toc32116_2021121348 \n \n \h </w:delInstrText>
        </w:r>
        <w:r>
          <w:rPr>
            <w:i/>
            <w:iCs/>
          </w:rPr>
          <w:fldChar w:fldCharType="separate"/>
        </w:r>
        <w:r>
          <w:rPr>
            <w:i/>
            <w:iCs/>
          </w:rPr>
          <w:delText>17</w:delText>
        </w:r>
        <w:r>
          <w:rPr>
            <w:i/>
            <w:iCs/>
          </w:rPr>
          <w:fldChar w:fldCharType="end"/>
        </w:r>
      </w:del>
      <w:del w:id="216" w:author="Mark Semmler" w:date="2026-01-10T14:46:42Z">
        <w:r>
          <w:rPr>
            <w:i/>
            <w:iCs/>
          </w:rPr>
          <w:delText>) behandelt werden.</w:delText>
        </w:r>
      </w:del>
      <w:del w:id="217" w:author="Mark Semmler" w:date="2026-01-10T14:46:42Z">
        <w:r>
          <w:rPr/>
          <w:commentReference w:id="16"/>
        </w:r>
      </w:del>
    </w:p>
    <w:p>
      <w:pPr>
        <w:pStyle w:val="Normal"/>
        <w:rPr>
          <w:shd w:fill="EEEEEE" w:val="clear"/>
        </w:rPr>
      </w:pPr>
      <w:bookmarkStart w:id="498" w:name="__RefHeading___starten_von_fremden_medie"/>
      <w:bookmarkEnd w:id="49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rl%252525252525252525252525252525252521d"/>
      <w:bookmarkStart w:id="501" w:name="starten_von_fremden_medien"/>
      <w:bookmarkStart w:id="502" w:name="_Toc187327085"/>
      <w:bookmarkStart w:id="503" w:name="_Toc531165060"/>
      <w:bookmarkStart w:id="504" w:name="_Toc530662925"/>
      <w:bookmarkStart w:id="505" w:name="_Toc178761358"/>
      <w:bookmarkEnd w:id="499"/>
      <w:bookmarkEnd w:id="500"/>
      <w:r>
        <w:rPr>
          <w:shd w:fill="EEEEEE" w:val="clear"/>
          <w:lang w:val="de-DE"/>
        </w:rPr>
        <w:t>Starten von fremden Medien</w:t>
      </w:r>
      <w:bookmarkEnd w:id="501"/>
      <w:bookmarkEnd w:id="502"/>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_Toc530662926"/>
      <w:bookmarkStart w:id="509" w:name="_Toc178761359"/>
      <w:bookmarkStart w:id="510" w:name="_Toc187327086"/>
      <w:bookmarkStart w:id="511" w:name="authentifizierung"/>
      <w:bookmarkStart w:id="512" w:name="_Toc531165061"/>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7"/>
      </w:r>
    </w:p>
    <w:p>
      <w:pPr>
        <w:pStyle w:val="Liste1"/>
        <w:numPr>
          <w:ilvl w:val="0"/>
          <w:numId w:val="4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lang w:val="de-DE"/>
        </w:rPr>
      </w:pPr>
      <w:r>
        <w:rPr>
          <w:lang w:val="de-DE"/>
        </w:rPr>
        <w:t xml:space="preserve">Es werden ausschließlich zuverlässige Authentifizierungsmechanismen wie </w:t>
      </w:r>
      <w:r>
        <w:rPr>
          <w:rFonts w:eastAsia="Arial" w:cs="DejaVu Sans"/>
          <w:color w:val="auto"/>
          <w:kern w:val="0"/>
          <w:sz w:val="20"/>
          <w:szCs w:val="22"/>
          <w:lang w:val="de-DE" w:eastAsia="en-US" w:bidi="ar-SA"/>
        </w:rPr>
        <w:t>z.</w:t>
      </w:r>
      <w:ins w:id="219" w:author="Mark Semmler" w:date="2026-01-10T14:46:42Z">
        <w:r>
          <w:rPr>
            <w:rFonts w:eastAsia="Arial" w:cs="DejaVu Sans"/>
            <w:color w:val="auto"/>
            <w:kern w:val="0"/>
            <w:sz w:val="20"/>
            <w:szCs w:val="22"/>
            <w:lang w:val="de-DE" w:eastAsia="en-US" w:bidi="ar-SA"/>
          </w:rPr>
          <w:t> </w:t>
        </w:r>
      </w:ins>
      <w:del w:id="220" w:author="Mark Semmler" w:date="2026-01-10T14:46:42Z">
        <w:r>
          <w:rPr>
            <w:rFonts w:eastAsia="Arial" w:cs="DejaVu Sans"/>
            <w:color w:val="auto"/>
            <w:kern w:val="0"/>
            <w:sz w:val="20"/>
            <w:szCs w:val="22"/>
            <w:lang w:val="de-DE" w:eastAsia="en-US" w:bidi="ar-SA"/>
          </w:rPr>
          <w:delText xml:space="preserve"> </w:delText>
        </w:r>
      </w:del>
      <w:r>
        <w:rPr>
          <w:rFonts w:eastAsia="Arial" w:cs="DejaVu Sans"/>
          <w:color w:val="auto"/>
          <w:kern w:val="0"/>
          <w:sz w:val="20"/>
          <w:szCs w:val="22"/>
          <w:lang w:val="de-DE" w:eastAsia="en-US" w:bidi="ar-SA"/>
        </w:rPr>
        <w:t>B.</w:t>
      </w:r>
      <w:r>
        <w:rPr>
          <w:lang w:val="de-DE"/>
        </w:rPr>
        <w:t xml:space="preserve"> Mehr-Faktor-</w:t>
      </w:r>
      <w:del w:id="221" w:author="Mark Semmler" w:date="2026-01-10T14:46:42Z">
        <w:r>
          <w:rPr>
            <w:lang w:val="de-DE"/>
          </w:rPr>
          <w:delText xml:space="preserve">Authentifizierungen oder kontinuierliche </w:delText>
        </w:r>
      </w:del>
      <w:r>
        <w:rPr>
          <w:lang w:val="de-DE"/>
        </w:rPr>
        <w:t>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ins w:id="223" w:author="Mark Semmler" w:date="2026-01-10T14:46:42Z"/>
        </w:rPr>
      </w:pPr>
      <w:ins w:id="222" w:author="Mark Semmler" w:date="2026-01-10T14:46:42Z">
        <w:r>
          <w:rPr>
            <w:lang w:val="de-DE"/>
          </w:rPr>
          <w:t>Zusätzlich SOLLTE die Identität eines Nutzers auch nach seiner Anmeldung zyklisch oder fortlaufend überprüft und bei auffälligem Verhalten der Zugriff eingeschränkt, eine erneute Authentifizierung verlangt oder der Zugriff beendet werden (kontinuierliche Authentifizierung).</w:t>
        </w:r>
      </w:ins>
      <w:bookmarkStart w:id="513" w:name="zugaenge_und_zugriffe_del_zugriffsbeschr"/>
    </w:p>
    <w:p>
      <w:pPr>
        <w:pStyle w:val="Empfehlung"/>
        <w:rPr>
          <w:lang w:val="de-DE"/>
          <w:del w:id="225" w:author="Mark Semmler" w:date="2026-01-10T14:46:42Z"/>
        </w:rPr>
      </w:pPr>
      <w:del w:id="224" w:author="Mark Semmler" w:date="2026-01-10T14:46:42Z">
        <w:r>
          <w:rPr>
            <w:lang w:val="de-DE"/>
          </w:rPr>
          <w:delTex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delText>
        </w:r>
      </w:del>
    </w:p>
    <w:p>
      <w:pPr>
        <w:pStyle w:val="Heading3"/>
        <w:ind w:hanging="0" w:left="0"/>
        <w:rPr>
          <w:shd w:fill="EEEEEE" w:val="clear"/>
        </w:rPr>
      </w:pPr>
      <w:bookmarkStart w:id="514" w:name="__RefHeading___Toc32030_2021121348"/>
      <w:bookmarkStart w:id="515" w:name="_Ref184204568"/>
      <w:bookmarkStart w:id="516" w:name="_Toc187327087"/>
      <w:bookmarkStart w:id="517" w:name="_Toc178761360"/>
      <w:bookmarkStart w:id="518" w:name="_Toc531165062"/>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20" w:name="__RefHeading___Toc32030_2021121348_Copy_"/>
      <w:bookmarkEnd w:id="520"/>
    </w:p>
    <w:p>
      <w:pPr>
        <w:pStyle w:val="Heading3"/>
        <w:ind w:hanging="0" w:left="0"/>
        <w:rPr/>
      </w:pPr>
      <w:bookmarkStart w:id="521" w:name="__RefHeading___Toc37547_3081562653"/>
      <w:bookmarkEnd w:id="521"/>
      <w:r>
        <w:rPr/>
        <w:t>Beschränkung administrativer Rechte</w:t>
      </w:r>
    </w:p>
    <w:p>
      <w:pPr>
        <w:pStyle w:val="Normal"/>
        <w:rPr/>
      </w:pPr>
      <w:ins w:id="226" w:author="Mark Semmler" w:date="2026-01-10T14:46:42Z">
        <w:r>
          <w:rPr/>
          <w:t xml:space="preserve">Die IT-Systeme </w:t>
        </w:r>
      </w:ins>
      <w:del w:id="227" w:author="Mark Semmler" w:date="2026-01-10T14:46:42Z">
        <w:r>
          <w:rPr/>
          <w:delText xml:space="preserve">Es </w:delText>
        </w:r>
      </w:del>
      <w:r>
        <w:rPr/>
        <w:t xml:space="preserve">MÜSSEN </w:t>
      </w:r>
      <w:ins w:id="228" w:author="Mark Semmler" w:date="2026-01-10T14:46:42Z">
        <w:r>
          <w:rPr/>
          <w:t>anhand definierter Kriterien</w:t>
        </w:r>
      </w:ins>
      <w:del w:id="229" w:author="Mark Semmler" w:date="2026-01-10T14:46:42Z">
        <w:r>
          <w:rPr/>
          <w:delText>Kriterien definiert werden, anhand derer die IT-Systeme</w:delText>
        </w:r>
      </w:del>
      <w:r>
        <w:rPr/>
        <w:t xml:space="preserve"> in einzelne Administrationszonen unterteilt werden.</w:t>
      </w:r>
    </w:p>
    <w:p>
      <w:pPr>
        <w:pStyle w:val="Normal"/>
        <w:rPr/>
      </w:pPr>
      <w:commentRangeStart w:id="18"/>
      <w:r>
        <w:rPr/>
        <w:t>Administrative Zugänge DÜRFEN NICHT in mehreren Administrationszonen gültig sein.</w:t>
      </w:r>
      <w:commentRangeEnd w:id="18"/>
      <w:r>
        <w:commentReference w:id="18"/>
      </w:r>
      <w:r>
        <w:rPr/>
      </w:r>
    </w:p>
    <w:p>
      <w:pPr>
        <w:pStyle w:val="Normal"/>
        <w:rPr>
          <w:i/>
          <w:i/>
          <w:iCs/>
        </w:rPr>
      </w:pPr>
      <w:r>
        <w:rPr>
          <w:i/>
          <w:iCs/>
        </w:rPr>
        <w:t xml:space="preserve">Der Versuch, einen administrativen Zugang in </w:t>
      </w:r>
      <w:ins w:id="230" w:author="Mark Semmler" w:date="2026-01-10T14:46:42Z">
        <w:r>
          <w:rPr>
            <w:i/>
            <w:iCs/>
          </w:rPr>
          <w:t>einer Administrationszone</w:t>
        </w:r>
      </w:ins>
      <w:del w:id="231" w:author="Mark Semmler" w:date="2026-01-10T14:46:42Z">
        <w:r>
          <w:rPr>
            <w:i/>
            <w:iCs/>
          </w:rPr>
          <w:delText>mehreren</w:delText>
        </w:r>
      </w:del>
      <w:del w:id="232" w:author="Mark Semmler" w:date="2026-01-10T14:46:42Z">
        <w:r>
          <w:rPr>
            <w:rFonts w:eastAsia="Arial" w:cs="DejaVu Sans"/>
            <w:i/>
            <w:iCs/>
            <w:color w:val="auto"/>
            <w:kern w:val="0"/>
            <w:sz w:val="20"/>
            <w:szCs w:val="22"/>
            <w:lang w:val="de-DE" w:eastAsia="en-US" w:bidi="ar-SA"/>
          </w:rPr>
          <w:delText xml:space="preserve"> </w:delText>
        </w:r>
      </w:del>
      <w:del w:id="233" w:author="Mark Semmler" w:date="2026-01-10T14:46:42Z">
        <w:r>
          <w:rPr>
            <w:i/>
            <w:iCs/>
          </w:rPr>
          <w:delText>Administrationszonen</w:delText>
        </w:r>
      </w:del>
      <w:r>
        <w:rPr>
          <w:i/>
          <w:iCs/>
        </w:rPr>
        <w:t xml:space="preserve"> zu nutzen</w:t>
      </w:r>
      <w:ins w:id="234" w:author="Mark Semmler" w:date="2026-01-10T14:46:42Z">
        <w:r>
          <w:rPr>
            <w:i/>
            <w:iCs/>
          </w:rPr>
          <w:t xml:space="preserve"> in der er nicht gültig ist</w:t>
        </w:r>
      </w:ins>
      <w:r>
        <w:rPr>
          <w:i/>
          <w:iCs/>
        </w:rPr>
        <w:t xml:space="preserve">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9"/>
      </w:r>
    </w:p>
    <w:p>
      <w:pPr>
        <w:pStyle w:val="Normal"/>
        <w:rPr>
          <w:i/>
          <w:i/>
          <w:iCs/>
        </w:rPr>
      </w:pPr>
      <w:ins w:id="235" w:author="Mark Semmler" w:date="2026-01-10T14:46:42Z">
        <w:r>
          <w:rPr>
            <w:i/>
            <w:iCs/>
          </w:rPr>
          <w:t xml:space="preserve">In einer </w:t>
        </w:r>
      </w:ins>
      <w:commentRangeStart w:id="20"/>
      <w:ins w:id="236" w:author="Mark Semmler" w:date="2026-01-10T14:46:42Z">
        <w:r>
          <w:rPr>
            <w:i/>
            <w:iCs/>
          </w:rPr>
          <w:t xml:space="preserve">Administrationszone SOLLTEN sich nur  </w:t>
        </w:r>
      </w:ins>
      <w:del w:id="237" w:author="Mark Semmler" w:date="2026-01-10T14:46:42Z">
        <w:r>
          <w:rPr>
            <w:i/>
            <w:iCs/>
          </w:rPr>
          <w:delText xml:space="preserve">Administrationszonen SOLLTEN nur </w:delText>
        </w:r>
      </w:del>
      <w:r>
        <w:rPr>
          <w:i/>
          <w:iCs/>
        </w:rPr>
        <w:t xml:space="preserve">IT-Systeme einer Schutzklasse </w:t>
      </w:r>
      <w:ins w:id="238" w:author="Mark Semmler" w:date="2026-01-10T14:46:42Z">
        <w:r>
          <w:rPr>
            <w:i/>
            <w:iCs/>
          </w:rPr>
          <w:t>befinden.</w:t>
        </w:r>
      </w:ins>
      <w:ins w:id="239" w:author="Mark Semmler" w:date="2026-01-10T14:46:42Z">
        <w:r>
          <w:rPr>
            <w:i/>
            <w:iCs/>
          </w:rPr>
        </w:r>
      </w:ins>
      <w:commentRangeEnd w:id="20"/>
      <w:r>
        <w:commentReference w:id="20"/>
      </w:r>
      <w:del w:id="240" w:author="Mark Semmler" w:date="2026-01-10T14:46:42Z">
        <w:r>
          <w:rPr>
            <w:i/>
            <w:iCs/>
          </w:rPr>
          <w:delText>beinhalten.</w:delText>
        </w:r>
      </w:del>
      <w:ins w:id="241" w:author="Mark Semmler" w:date="2026-01-10T14:33:06Z">
        <w:r>
          <w:rPr/>
          <w:commentReference w:id="21"/>
        </w:r>
      </w:ins>
    </w:p>
    <w:p>
      <w:pPr>
        <w:pStyle w:val="Normal"/>
        <w:rPr>
          <w:i/>
          <w:i/>
          <w:iCs/>
        </w:rPr>
      </w:pPr>
      <w:commentRangeStart w:id="22"/>
      <w:ins w:id="242" w:author="Mark Semmler" w:date="2026-01-10T14:46:42Z">
        <w:r>
          <w:rPr>
            <w:i/>
            <w:iCs/>
          </w:rPr>
          <w:t>F</w:t>
        </w:r>
      </w:ins>
      <w:del w:id="243" w:author="Mark Semmler" w:date="2026-01-10T14:46:42Z">
        <w:r>
          <w:rPr>
            <w:i/>
            <w:iCs/>
          </w:rPr>
          <w:delText>Zusätzlich SOLLTEN f</w:delText>
        </w:r>
      </w:del>
      <w:r>
        <w:rPr>
          <w:i/>
          <w:iCs/>
        </w:rPr>
        <w:t xml:space="preserve">ür folgende IT-Systeme </w:t>
      </w:r>
      <w:ins w:id="244" w:author="Mark Semmler" w:date="2026-01-10T14:46:42Z">
        <w:r>
          <w:rPr>
            <w:i/>
            <w:iCs/>
          </w:rPr>
          <w:t xml:space="preserve">SOLLTEN </w:t>
        </w:r>
      </w:ins>
      <w:r>
        <w:rPr>
          <w:i/>
          <w:iCs/>
        </w:rPr>
        <w:t>eigene administrative Zonen eingerichtet werden:</w:t>
      </w:r>
      <w:commentRangeEnd w:id="22"/>
      <w:r>
        <w:commentReference w:id="22"/>
      </w:r>
      <w:ins w:id="245" w:author="Mark Semmler" w:date="2026-01-10T14:46:42Z">
        <w:r>
          <w:rPr>
            <w:i/>
            <w:iCs/>
          </w:rPr>
        </w:r>
      </w:ins>
    </w:p>
    <w:p>
      <w:pPr>
        <w:pStyle w:val="Liste1"/>
        <w:numPr>
          <w:ilvl w:val="0"/>
          <w:numId w:val="42"/>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del w:id="246" w:author="Mark Semmler" w:date="2026-01-10T14:46:42Z">
        <w:r>
          <w:rPr>
            <w:i/>
            <w:iCs/>
            <w:spacing w:val="-2"/>
            <w:shd w:fill="auto" w:val="clear"/>
          </w:rPr>
          <w:commentReference w:id="23"/>
        </w:r>
      </w:del>
    </w:p>
    <w:p>
      <w:pPr>
        <w:pStyle w:val="Liste1"/>
        <w:numPr>
          <w:ilvl w:val="0"/>
          <w:numId w:val="42"/>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del w:id="247" w:author="Mark Semmler" w:date="2026-01-10T14:46:42Z">
        <w:r>
          <w:rPr>
            <w:i/>
            <w:iCs/>
            <w:shd w:fill="auto" w:val="clear"/>
          </w:rPr>
          <w:commentReference w:id="24"/>
        </w:r>
      </w:del>
    </w:p>
    <w:p>
      <w:pPr>
        <w:pStyle w:val="Liste1"/>
        <w:numPr>
          <w:ilvl w:val="0"/>
          <w:numId w:val="42"/>
        </w:numPr>
        <w:spacing w:lineRule="auto" w:line="250"/>
        <w:rPr>
          <w:i/>
          <w:i/>
          <w:iCs/>
          <w:shd w:fill="auto" w:val="clear"/>
        </w:rPr>
      </w:pPr>
      <w:r>
        <w:rPr>
          <w:i/>
          <w:iCs/>
          <w:shd w:fill="auto" w:val="clear"/>
        </w:rPr>
        <w:t>IT-Systeme, die zentrale oder sicherheitskritische Funktionen bereitstellen</w:t>
      </w:r>
      <w:del w:id="248" w:author="Mark Semmler" w:date="2026-01-10T14:46:42Z">
        <w:r>
          <w:rPr>
            <w:i/>
            <w:iCs/>
            <w:shd w:fill="auto" w:val="clear"/>
          </w:rPr>
          <w:commentReference w:id="25"/>
        </w:r>
      </w:del>
    </w:p>
    <w:p>
      <w:pPr>
        <w:pStyle w:val="Heading2"/>
        <w:ind w:hanging="0" w:left="0"/>
        <w:rPr>
          <w:lang w:val="de-DE"/>
        </w:rPr>
      </w:pPr>
      <w:bookmarkStart w:id="522" w:name="__RefHeading___Toc32032_2021121348"/>
      <w:bookmarkStart w:id="523" w:name="_Ref184300120"/>
      <w:bookmarkStart w:id="524" w:name="_Ref184300103"/>
      <w:bookmarkStart w:id="525" w:name="_Toc178761361"/>
      <w:bookmarkStart w:id="526" w:name="_Ref184300115"/>
      <w:bookmarkStart w:id="527" w:name="_Toc530662928"/>
      <w:bookmarkStart w:id="528" w:name="_Ref184300091"/>
      <w:bookmarkStart w:id="529" w:name="_Toc178588085"/>
      <w:bookmarkStart w:id="530" w:name="_Toc187327088"/>
      <w:bookmarkStart w:id="531" w:name="_Toc531165063"/>
      <w:bookmarkStart w:id="532" w:name="_Ref184300124"/>
      <w:bookmarkStart w:id="533" w:name="rl%252525252525252525252525252525252521f"/>
      <w:bookmarkStart w:id="534" w:name="zusaetzliche_massnahmen_fuer_mobile_it-s"/>
      <w:bookmarkEnd w:id="522"/>
      <w:bookmarkEnd w:id="533"/>
      <w:r>
        <w:rPr>
          <w:lang w:val="de-DE"/>
        </w:rPr>
        <w:t>Zusätzliche Maßnahmen für mobile IT-Systeme</w:t>
      </w:r>
      <w:bookmarkEnd w:id="523"/>
      <w:bookmarkEnd w:id="524"/>
      <w:bookmarkEnd w:id="525"/>
      <w:bookmarkEnd w:id="526"/>
      <w:bookmarkEnd w:id="527"/>
      <w:bookmarkEnd w:id="528"/>
      <w:bookmarkEnd w:id="529"/>
      <w:bookmarkEnd w:id="530"/>
      <w:bookmarkEnd w:id="531"/>
      <w:bookmarkEnd w:id="532"/>
      <w:bookmarkEnd w:id="534"/>
    </w:p>
    <w:p>
      <w:pPr>
        <w:pStyle w:val="Heading3"/>
        <w:ind w:hanging="0" w:left="0"/>
        <w:rPr>
          <w:lang w:val="de-DE"/>
        </w:rPr>
      </w:pPr>
      <w:bookmarkStart w:id="535" w:name="__RefHeading___Toc32034_2021121348"/>
      <w:bookmarkStart w:id="536" w:name="_Toc187327089"/>
      <w:bookmarkEnd w:id="535"/>
      <w:r>
        <w:rPr>
          <w:lang w:val="de-DE"/>
        </w:rPr>
        <w:t>Grundlagen</w:t>
      </w:r>
      <w:bookmarkEnd w:id="536"/>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7" w:name="__RefHeading___is-richtlinie_62"/>
      <w:bookmarkStart w:id="538" w:name="_Toc187327090"/>
      <w:bookmarkStart w:id="539" w:name="rl%252525252525252525252525252525252521g"/>
      <w:bookmarkStart w:id="540" w:name="_Toc178761362"/>
      <w:bookmarkStart w:id="541" w:name="_Toc531165064"/>
      <w:bookmarkStart w:id="542" w:name="is-richtlinie"/>
      <w:bookmarkStart w:id="543" w:name="_Toc530662929"/>
      <w:bookmarkEnd w:id="537"/>
      <w:bookmarkEnd w:id="539"/>
      <w:r>
        <w:rPr>
          <w:shd w:fill="EEEEEE" w:val="clear"/>
          <w:lang w:val="de-DE"/>
        </w:rPr>
        <w:t>IS-Richtlinie</w:t>
      </w:r>
      <w:bookmarkEnd w:id="538"/>
      <w:bookmarkEnd w:id="540"/>
      <w:bookmarkEnd w:id="541"/>
      <w:bookmarkEnd w:id="542"/>
      <w:bookmarkEnd w:id="5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4" w:name="__RefHeading___schutz_der_informationen_"/>
      <w:bookmarkStart w:id="545" w:name="schutz_der_informationen"/>
      <w:bookmarkStart w:id="546" w:name="_Toc530662930"/>
      <w:bookmarkStart w:id="547" w:name="_Toc531165065"/>
      <w:bookmarkStart w:id="548" w:name="_Toc187327091"/>
      <w:bookmarkStart w:id="549" w:name="rl%252525252525252525252525252525252521h"/>
      <w:bookmarkStart w:id="550" w:name="_Toc178761363"/>
      <w:bookmarkEnd w:id="544"/>
      <w:bookmarkEnd w:id="549"/>
      <w:r>
        <w:rPr>
          <w:shd w:fill="EEEEEE" w:val="clear"/>
          <w:lang w:val="de-DE"/>
        </w:rPr>
        <w:t>Schutz der Informationen</w:t>
      </w:r>
      <w:bookmarkEnd w:id="545"/>
      <w:bookmarkEnd w:id="546"/>
      <w:bookmarkEnd w:id="547"/>
      <w:bookmarkEnd w:id="548"/>
      <w:bookmarkEnd w:id="550"/>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51" w:name="__RefHeading___verlust_64"/>
      <w:bookmarkStart w:id="552" w:name="verlust"/>
      <w:bookmarkStart w:id="553" w:name="_Toc178761364"/>
      <w:bookmarkStart w:id="554" w:name="rl%252525252525252525252525252525252521i"/>
      <w:bookmarkStart w:id="555" w:name="_Toc187327092"/>
      <w:bookmarkStart w:id="556" w:name="_Toc531165066"/>
      <w:bookmarkStart w:id="557" w:name="_Toc530662931"/>
      <w:bookmarkEnd w:id="551"/>
      <w:bookmarkEnd w:id="554"/>
      <w:r>
        <w:rPr>
          <w:shd w:fill="EEEEEE" w:val="clear"/>
          <w:lang w:val="de-DE"/>
        </w:rPr>
        <w:t>Verlust</w:t>
      </w:r>
      <w:bookmarkEnd w:id="552"/>
      <w:bookmarkEnd w:id="553"/>
      <w:bookmarkEnd w:id="555"/>
      <w:bookmarkEnd w:id="556"/>
      <w:bookmarkEnd w:id="557"/>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8" w:name="__RefHeading___Toc42885_2021121348"/>
      <w:bookmarkEnd w:id="558"/>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ins w:id="249" w:author="Mark Semmler" w:date="2026-01-10T14:46:42Z">
        <w:r>
          <w:rPr>
            <w:lang w:val="de-DE"/>
          </w:rPr>
          <w:t>Zusätzlich MÜSSEN f</w:t>
        </w:r>
      </w:ins>
      <w:del w:id="250" w:author="Mark Semmler" w:date="2026-01-10T14:46:42Z">
        <w:r>
          <w:rPr>
            <w:lang w:val="de-DE"/>
          </w:rPr>
          <w:delText>F</w:delText>
        </w:r>
      </w:del>
      <w:r>
        <w:rPr>
          <w:lang w:val="de-DE"/>
        </w:rPr>
        <w:t>ür alle wichtigen IT-Systeme</w:t>
      </w:r>
      <w:del w:id="251" w:author="Mark Semmler" w:date="2026-01-10T14:46:42Z">
        <w:r>
          <w:rPr>
            <w:lang w:val="de-DE"/>
          </w:rPr>
          <w:delText xml:space="preserve"> MÜSSEN</w:delText>
        </w:r>
      </w:del>
      <w:r>
        <w:rPr>
          <w:lang w:val="de-DE"/>
        </w:rPr>
        <w:t xml:space="preserv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9" w:name="__RefHeading___dokumentation_71"/>
      <w:bookmarkStart w:id="560" w:name="_Ref184204582"/>
      <w:bookmarkStart w:id="561" w:name="dokumentation"/>
      <w:bookmarkStart w:id="562" w:name="_Toc178761371"/>
      <w:bookmarkStart w:id="563" w:name="_Toc530662938"/>
      <w:bookmarkStart w:id="564" w:name="_Toc531165073"/>
      <w:bookmarkStart w:id="565" w:name="_Toc187327100"/>
      <w:bookmarkStart w:id="566" w:name="rl%252525252525252525252525252525252521j"/>
      <w:bookmarkEnd w:id="559"/>
      <w:bookmarkEnd w:id="566"/>
      <w:r>
        <w:rPr>
          <w:lang w:val="de-DE"/>
        </w:rPr>
        <w:t>Dokumentation</w:t>
      </w:r>
      <w:bookmarkEnd w:id="560"/>
      <w:bookmarkEnd w:id="561"/>
      <w:bookmarkEnd w:id="562"/>
      <w:bookmarkEnd w:id="563"/>
      <w:bookmarkEnd w:id="564"/>
      <w:bookmarkEnd w:id="565"/>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7" w:name="__RefHeading___datensicherung_72"/>
      <w:bookmarkStart w:id="568" w:name="datensicherung"/>
      <w:bookmarkStart w:id="569" w:name="rl%252525252525252525252525252525252521k"/>
      <w:bookmarkStart w:id="570" w:name="_Toc530662939"/>
      <w:bookmarkStart w:id="571" w:name="_Toc178761372"/>
      <w:bookmarkStart w:id="572" w:name="_Toc531165074"/>
      <w:bookmarkStart w:id="573" w:name="_Toc187327101"/>
      <w:bookmarkEnd w:id="567"/>
      <w:bookmarkEnd w:id="569"/>
      <w:r>
        <w:rPr>
          <w:lang w:val="de-DE"/>
        </w:rPr>
        <w:t>Datensicherung</w:t>
      </w:r>
      <w:bookmarkEnd w:id="568"/>
      <w:bookmarkEnd w:id="570"/>
      <w:bookmarkEnd w:id="571"/>
      <w:bookmarkEnd w:id="572"/>
      <w:bookmarkEnd w:id="573"/>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4" w:name="__RefHeading___notbetriebsniveau_67_Copy"/>
      <w:bookmarkStart w:id="575" w:name="_Toc178761367_Copy_1"/>
      <w:bookmarkStart w:id="576" w:name="_Ref179378792_Copy_1"/>
      <w:bookmarkStart w:id="577" w:name="notbetriebsniveau_Copy_1"/>
      <w:bookmarkStart w:id="578" w:name="_Toc531165069_Copy_1"/>
      <w:bookmarkStart w:id="579" w:name="_Ref179189166_Copy_1"/>
      <w:bookmarkStart w:id="580" w:name="rl%252525252525252525252525252525252521l"/>
      <w:bookmarkStart w:id="581" w:name="_Ref179187477_Copy_1"/>
      <w:bookmarkStart w:id="582" w:name="_Toc187327096_Copy_1"/>
      <w:bookmarkStart w:id="583" w:name="_Toc530662934_Copy_1"/>
      <w:bookmarkStart w:id="584" w:name="_Ref179378810_Copy_1"/>
      <w:bookmarkEnd w:id="574"/>
      <w:bookmarkEnd w:id="580"/>
      <w:r>
        <w:rPr>
          <w:shd w:fill="EEEEEE" w:val="clear"/>
          <w:lang w:val="de-DE"/>
        </w:rPr>
        <w:t>Notbetriebsniveau</w:t>
      </w:r>
      <w:bookmarkEnd w:id="575"/>
      <w:bookmarkEnd w:id="576"/>
      <w:bookmarkEnd w:id="577"/>
      <w:bookmarkEnd w:id="578"/>
      <w:bookmarkEnd w:id="579"/>
      <w:bookmarkEnd w:id="581"/>
      <w:bookmarkEnd w:id="582"/>
      <w:bookmarkEnd w:id="583"/>
      <w:bookmarkEnd w:id="584"/>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5" w:name="__RefHeading___ueberwachung_73"/>
      <w:bookmarkStart w:id="586" w:name="_Toc178761373"/>
      <w:bookmarkStart w:id="587" w:name="_Toc531165075"/>
      <w:bookmarkStart w:id="588" w:name="ueberwachung"/>
      <w:bookmarkStart w:id="589" w:name="_Toc187327102"/>
      <w:bookmarkStart w:id="590" w:name="_Toc530662940"/>
      <w:bookmarkStart w:id="591" w:name="rl%252525252525252525252525252525252521m"/>
      <w:bookmarkEnd w:id="585"/>
      <w:bookmarkEnd w:id="591"/>
      <w:commentRangeStart w:id="26"/>
      <w:r>
        <w:rPr>
          <w:lang w:val="de-DE"/>
        </w:rPr>
        <w:t>Überwachung</w:t>
      </w:r>
      <w:bookmarkEnd w:id="586"/>
      <w:bookmarkEnd w:id="587"/>
      <w:bookmarkEnd w:id="588"/>
      <w:bookmarkEnd w:id="589"/>
      <w:bookmarkEnd w:id="590"/>
      <w:commentRangeEnd w:id="26"/>
      <w:r>
        <w:commentReference w:id="26"/>
      </w:r>
      <w:ins w:id="252" w:author="Mark Semmler" w:date="2026-01-10T14:46:42Z">
        <w:r>
          <w:rPr>
            <w:lang w:val="de-DE"/>
          </w:rPr>
        </w:r>
      </w:ins>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2" w:name="__RefHeading___beschraenkung_des_netzwe1"/>
      <w:bookmarkStart w:id="593" w:name="_Toc178761354_Copy_1"/>
      <w:bookmarkStart w:id="594" w:name="beschraenkung_des_netzwerkverkehrs_Copy_"/>
      <w:bookmarkStart w:id="595" w:name="_Toc531165056_Copy_1"/>
      <w:bookmarkStart w:id="596" w:name="_Ref184204544_Copy_1"/>
      <w:bookmarkStart w:id="597" w:name="_Toc187327081_Copy_1"/>
      <w:bookmarkStart w:id="598" w:name="_Toc530662921_Copy_1"/>
      <w:bookmarkEnd w:id="592"/>
      <w:r>
        <w:rPr>
          <w:shd w:fill="auto" w:val="clear"/>
          <w:lang w:val="de-DE"/>
        </w:rPr>
        <w:t>Beschränkung des Netzwerkverkehrs</w:t>
      </w:r>
      <w:bookmarkEnd w:id="593"/>
      <w:bookmarkEnd w:id="594"/>
      <w:bookmarkEnd w:id="595"/>
      <w:bookmarkEnd w:id="596"/>
      <w:bookmarkEnd w:id="597"/>
      <w:bookmarkEnd w:id="598"/>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9" w:name="__RefHeading___kritische_individualsoftw"/>
      <w:bookmarkEnd w:id="599"/>
      <w:r>
        <w:rPr>
          <w:lang w:val="de-DE"/>
        </w:rPr>
        <w:t>Wichtige</w:t>
      </w:r>
      <w:bookmarkStart w:id="600" w:name="_Toc530662942"/>
      <w:bookmarkStart w:id="601" w:name="_Toc531165077"/>
      <w:bookmarkStart w:id="602" w:name="_Toc178761375"/>
      <w:bookmarkStart w:id="603" w:name="_Toc187327104"/>
      <w:bookmarkStart w:id="604" w:name="kritische_individualsoftware"/>
      <w:r>
        <w:rPr>
          <w:lang w:val="de-DE"/>
        </w:rPr>
        <w:t xml:space="preserve"> Individualsoftware</w:t>
      </w:r>
      <w:bookmarkEnd w:id="600"/>
      <w:bookmarkEnd w:id="601"/>
      <w:bookmarkEnd w:id="602"/>
      <w:bookmarkEnd w:id="603"/>
      <w:bookmarkEnd w:id="604"/>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5" w:name="__RefHeading___Toc32036_2021121348"/>
      <w:bookmarkStart w:id="606" w:name="_Toc187327093"/>
      <w:bookmarkStart w:id="607" w:name="rl%252525252525252525252525252525252521n"/>
      <w:bookmarkStart w:id="608" w:name="_Toc531165067"/>
      <w:bookmarkStart w:id="609" w:name="_Toc178588086"/>
      <w:bookmarkStart w:id="610" w:name="_Toc530662932"/>
      <w:bookmarkStart w:id="611" w:name="_Toc178761365"/>
      <w:bookmarkEnd w:id="605"/>
      <w:bookmarkEnd w:id="607"/>
      <w:r>
        <w:rPr>
          <w:shd w:fill="EEEEEE" w:val="clear"/>
          <w:lang w:val="de-DE"/>
        </w:rPr>
        <w:t>Zusätzliche Maßnahmen für kritische IT-Systeme</w:t>
      </w:r>
      <w:bookmarkEnd w:id="606"/>
      <w:bookmarkEnd w:id="608"/>
      <w:bookmarkEnd w:id="609"/>
      <w:bookmarkEnd w:id="610"/>
      <w:bookmarkEnd w:id="611"/>
    </w:p>
    <w:p>
      <w:pPr>
        <w:pStyle w:val="Heading3"/>
        <w:ind w:hanging="0" w:left="0"/>
        <w:rPr>
          <w:shd w:fill="EEEEEE" w:val="clear"/>
        </w:rPr>
      </w:pPr>
      <w:bookmarkStart w:id="612" w:name="__RefHeading___Toc32038_2021121348"/>
      <w:bookmarkStart w:id="613" w:name="_Toc187327094"/>
      <w:bookmarkEnd w:id="612"/>
      <w:r>
        <w:rPr>
          <w:shd w:fill="EEEEEE" w:val="clear"/>
          <w:lang w:val="de-DE"/>
        </w:rPr>
        <w:t>Grundlagen</w:t>
      </w:r>
      <w:bookmarkEnd w:id="613"/>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4" w:name="__RefHeading___robustheit_68"/>
      <w:bookmarkStart w:id="615" w:name="_Toc531165070"/>
      <w:bookmarkStart w:id="616" w:name="rl%252525252525252525252525252525252521o"/>
      <w:bookmarkStart w:id="617" w:name="robustheit"/>
      <w:bookmarkStart w:id="618" w:name="_Toc187327097"/>
      <w:bookmarkStart w:id="619" w:name="_Toc530662935"/>
      <w:bookmarkStart w:id="620" w:name="_Toc178761368"/>
      <w:bookmarkEnd w:id="614"/>
      <w:bookmarkEnd w:id="616"/>
      <w:r>
        <w:rPr>
          <w:shd w:fill="EEEEEE" w:val="clear"/>
          <w:lang w:val="de-DE"/>
        </w:rPr>
        <w:t>Robustheit</w:t>
      </w:r>
      <w:bookmarkEnd w:id="615"/>
      <w:bookmarkEnd w:id="617"/>
      <w:bookmarkEnd w:id="618"/>
      <w:bookmarkEnd w:id="619"/>
      <w:bookmarkEnd w:id="620"/>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21" w:name="__RefHeading___Toc42889_2021121348"/>
      <w:bookmarkEnd w:id="621"/>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27"/>
      <w:r>
        <w:rPr>
          <w:lang w:val="de-DE"/>
        </w:rPr>
        <w:t>kritischen</w:t>
      </w:r>
      <w:r>
        <w:rPr>
          <w:lang w:val="de-DE"/>
        </w:rPr>
      </w:r>
      <w:commentRangeEnd w:id="27"/>
      <w:r>
        <w:commentReference w:id="27"/>
      </w:r>
      <w:ins w:id="253" w:author="Mark Semmler" w:date="2026-01-10T14:37:17Z">
        <w:r>
          <w:rPr/>
          <w:commentReference w:id="28"/>
        </w:r>
      </w:ins>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2" w:name="__RefHeading___externe_schnittstellen_un"/>
      <w:bookmarkStart w:id="623" w:name="_Toc187327098"/>
      <w:bookmarkStart w:id="624" w:name="rl%252525252525252525252525252525252521p"/>
      <w:bookmarkStart w:id="625" w:name="externe_schnittstellen_und_laufwerke1"/>
      <w:bookmarkStart w:id="626" w:name="_Toc531165071"/>
      <w:bookmarkStart w:id="627" w:name="_Toc530662936"/>
      <w:bookmarkStart w:id="628" w:name="_Toc178761369"/>
      <w:bookmarkEnd w:id="622"/>
      <w:bookmarkEnd w:id="624"/>
      <w:r>
        <w:rPr>
          <w:shd w:fill="EEEEEE" w:val="clear"/>
          <w:lang w:val="de-DE"/>
        </w:rPr>
        <w:t>Externe Schnittstellen und Laufwerke</w:t>
      </w:r>
      <w:bookmarkEnd w:id="623"/>
      <w:bookmarkEnd w:id="625"/>
      <w:bookmarkEnd w:id="626"/>
      <w:bookmarkEnd w:id="627"/>
      <w:bookmarkEnd w:id="628"/>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9" w:name="__RefHeading___aenderungsmanagement_70"/>
      <w:bookmarkStart w:id="630" w:name="_Toc530662937"/>
      <w:bookmarkStart w:id="631" w:name="aenderungsmanagement"/>
      <w:bookmarkStart w:id="632" w:name="_Toc187327099"/>
      <w:bookmarkStart w:id="633" w:name="_Toc178761370"/>
      <w:bookmarkStart w:id="634" w:name="_Toc531165072"/>
      <w:bookmarkStart w:id="635" w:name="rl%252525252525252525252525252525252521q"/>
      <w:bookmarkEnd w:id="629"/>
      <w:bookmarkEnd w:id="635"/>
      <w:r>
        <w:rPr>
          <w:lang w:val="de-DE"/>
        </w:rPr>
        <w:t>Änderungsmanagement</w:t>
      </w:r>
      <w:bookmarkEnd w:id="630"/>
      <w:bookmarkEnd w:id="631"/>
      <w:bookmarkEnd w:id="632"/>
      <w:bookmarkEnd w:id="633"/>
      <w:bookmarkEnd w:id="63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6" w:name="__RefHeading___ersatzsysteme_und_-verfah"/>
      <w:bookmarkStart w:id="637" w:name="_Toc530662941"/>
      <w:bookmarkStart w:id="638" w:name="rl%252525252525252525252525252525252521r"/>
      <w:bookmarkStart w:id="639" w:name="ersatzsysteme_und_-verfahren"/>
      <w:bookmarkStart w:id="640" w:name="_Ref179187025"/>
      <w:bookmarkStart w:id="641" w:name="_Toc178761374"/>
      <w:bookmarkStart w:id="642" w:name="_Toc187327103"/>
      <w:bookmarkStart w:id="643" w:name="_Toc531165076"/>
      <w:bookmarkStart w:id="644" w:name="_Ref179189188"/>
      <w:bookmarkStart w:id="645" w:name="_Ref179189029"/>
      <w:bookmarkEnd w:id="636"/>
      <w:bookmarkEnd w:id="638"/>
      <w:r>
        <w:rPr>
          <w:shd w:fill="EEEEEE" w:val="clear"/>
          <w:lang w:val="de-DE"/>
        </w:rPr>
        <w:t>Ersatzsysteme und -verfahren</w:t>
      </w:r>
      <w:bookmarkEnd w:id="637"/>
      <w:bookmarkEnd w:id="639"/>
      <w:bookmarkEnd w:id="640"/>
      <w:bookmarkEnd w:id="641"/>
      <w:bookmarkEnd w:id="642"/>
      <w:bookmarkEnd w:id="643"/>
      <w:bookmarkEnd w:id="644"/>
      <w:bookmarkEnd w:id="645"/>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6" w:name="__RefHeading___Toc42891_2021121348"/>
      <w:bookmarkEnd w:id="646"/>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7" w:name="__RefHeading___Toc32040_2021121348"/>
      <w:bookmarkStart w:id="648" w:name="_Toc530662943"/>
      <w:bookmarkStart w:id="649" w:name="_Ref184204596"/>
      <w:bookmarkStart w:id="650" w:name="_Toc187327105"/>
      <w:bookmarkStart w:id="651" w:name="rl%252525252525252525252525252525252521s"/>
      <w:bookmarkStart w:id="652" w:name="_Toc178761376"/>
      <w:bookmarkStart w:id="653" w:name="netzwerke_und_verbindungen"/>
      <w:bookmarkStart w:id="654" w:name="_Toc178588087"/>
      <w:bookmarkStart w:id="655" w:name="_Toc531165078"/>
      <w:bookmarkEnd w:id="647"/>
      <w:bookmarkEnd w:id="651"/>
      <w:r>
        <w:rPr>
          <w:shd w:fill="EEEEEE" w:val="clear"/>
          <w:lang w:val="de-DE"/>
        </w:rPr>
        <w:t>Netzwerke und Verbindungen</w:t>
      </w:r>
      <w:bookmarkEnd w:id="648"/>
      <w:bookmarkEnd w:id="649"/>
      <w:bookmarkEnd w:id="650"/>
      <w:bookmarkEnd w:id="652"/>
      <w:bookmarkEnd w:id="653"/>
      <w:bookmarkEnd w:id="654"/>
      <w:bookmarkEnd w:id="655"/>
    </w:p>
    <w:p>
      <w:pPr>
        <w:pStyle w:val="Heading2"/>
        <w:ind w:hanging="0" w:left="0"/>
        <w:rPr>
          <w:shd w:fill="EEEEEE" w:val="clear"/>
        </w:rPr>
      </w:pPr>
      <w:bookmarkStart w:id="656" w:name="__RefHeading___Toc32042_2021121348"/>
      <w:bookmarkStart w:id="657" w:name="_Toc187327106"/>
      <w:bookmarkEnd w:id="656"/>
      <w:r>
        <w:rPr>
          <w:shd w:fill="EEEEEE" w:val="clear"/>
          <w:lang w:val="de-DE"/>
        </w:rPr>
        <w:t>Grundlagen</w:t>
      </w:r>
      <w:bookmarkEnd w:id="657"/>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8" w:name="__RefHeading___Toc32044_2021121348"/>
      <w:bookmarkStart w:id="659" w:name="_Toc531165079"/>
      <w:bookmarkStart w:id="660" w:name="_Toc178761377"/>
      <w:bookmarkStart w:id="661" w:name="rl%252525252525252525252525252525252521t"/>
      <w:bookmarkStart w:id="662" w:name="del_dokumentationdel_netzwerkplan"/>
      <w:bookmarkStart w:id="663" w:name="_Toc178588088"/>
      <w:bookmarkStart w:id="664" w:name="_Toc530662944"/>
      <w:bookmarkStart w:id="665" w:name="_Toc187327107"/>
      <w:bookmarkEnd w:id="658"/>
      <w:bookmarkEnd w:id="661"/>
      <w:r>
        <w:rPr>
          <w:shd w:fill="EEEEEE" w:val="clear"/>
          <w:lang w:val="de-DE"/>
        </w:rPr>
        <w:t>Netzwerkplan</w:t>
      </w:r>
      <w:bookmarkEnd w:id="659"/>
      <w:bookmarkEnd w:id="660"/>
      <w:bookmarkEnd w:id="662"/>
      <w:bookmarkEnd w:id="663"/>
      <w:bookmarkEnd w:id="664"/>
      <w:bookmarkEnd w:id="665"/>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physikalisches Medium der Verbindungen</w:t>
      </w:r>
    </w:p>
    <w:p>
      <w:pPr>
        <w:pStyle w:val="10000-DefaultParagraph"/>
        <w:numPr>
          <w:ilvl w:val="1"/>
          <w:numId w:val="26"/>
        </w:numPr>
        <w:rPr>
          <w:shd w:fill="EEEEEE" w:val="clear"/>
          <w:lang w:val="de-DE"/>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moveTo w:id="257" w:author="Mark Semmler" w:date="2026-01-10T14:46:42Z"/>
        </w:rPr>
      </w:pPr>
      <w:ins w:id="254" w:author="Mark Semmler" w:date="2026-01-10T14:46:42Z">
        <w:r>
          <w:rPr>
            <w:shd w:fill="EEEEEE" w:val="clear"/>
          </w:rPr>
          <w:t>Netzübergänge zu weniger oder nicht vertrauenswürdigen Netzwerken (siehe Abschnitt </w:t>
        </w:r>
      </w:ins>
      <w:ins w:id="255" w:author="Mark Semmler" w:date="2026-01-10T14:46:42Z">
        <w:r>
          <w:rPr>
            <w:shd w:fill="EEEEEE" w:val="clear"/>
          </w:rPr>
          <w:fldChar w:fldCharType="begin"/>
        </w:r>
        <w:r>
          <w:rPr>
            <w:shd w:fill="EEEEEE" w:val="clear"/>
          </w:rPr>
          <w:instrText xml:space="preserve"> REF _Ref179187553 \n \n \h </w:instrText>
        </w:r>
        <w:r>
          <w:rPr>
            <w:shd w:fill="EEEEEE" w:val="clear"/>
          </w:rPr>
          <w:fldChar w:fldCharType="separate"/>
        </w:r>
        <w:r>
          <w:rPr>
            <w:shd w:fill="EEEEEE" w:val="clear"/>
          </w:rPr>
          <w:t>11.4</w:t>
        </w:r>
        <w:r>
          <w:rPr>
            <w:shd w:fill="EEEEEE" w:val="clear"/>
          </w:rPr>
          <w:fldChar w:fldCharType="end"/>
        </w:r>
      </w:ins>
      <w:ins w:id="256" w:author="Mark Semmler" w:date="2026-01-10T14:46:42Z">
        <w:r>
          <w:rPr>
            <w:shd w:fill="EEEEEE" w:val="clear"/>
          </w:rPr>
          <w:t>)</w:t>
        </w:r>
      </w:ins>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moveFrom w:id="261" w:author="Mark Semmler" w:date="2026-01-10T14:46:42Z"/>
        </w:rPr>
      </w:pPr>
      <w:del w:id="258" w:author="Mark Semmler" w:date="2026-01-10T14:46:42Z">
        <w:r>
          <w:rPr>
            <w:shd w:fill="EEEEEE" w:val="clear"/>
            <w:lang w:val="de-DE"/>
          </w:rPr>
          <w:delText>Netzübergänge zu weniger oder nicht vertrauenswürdigen Netzwerken (siehe Abschnitt </w:delText>
        </w:r>
      </w:del>
      <w:del w:id="259" w:author="Mark Semmler" w:date="2026-01-10T14:46:42Z">
        <w:r>
          <w:rPr>
            <w:shd w:fill="EEEEEE" w:val="clear"/>
            <w:lang w:val="de-DE"/>
          </w:rPr>
          <w:fldChar w:fldCharType="begin"/>
        </w:r>
        <w:r>
          <w:rPr>
            <w:shd w:fill="EEEEEE" w:val="clear"/>
            <w:lang w:val="de-DE"/>
          </w:rPr>
          <w:delInstrText xml:space="preserve"> REF _Ref179187553 \n \n \h </w:delInstrText>
        </w:r>
        <w:r>
          <w:rPr>
            <w:shd w:fill="EEEEEE" w:val="clear"/>
            <w:lang w:val="de-DE"/>
          </w:rPr>
          <w:fldChar w:fldCharType="separate"/>
        </w:r>
        <w:r>
          <w:rPr>
            <w:shd w:fill="EEEEEE" w:val="clear"/>
            <w:lang w:val="de-DE"/>
          </w:rPr>
          <w:delText>11.4</w:delText>
        </w:r>
        <w:r>
          <w:rPr>
            <w:shd w:fill="EEEEEE" w:val="clear"/>
            <w:lang w:val="de-DE"/>
          </w:rPr>
          <w:fldChar w:fldCharType="end"/>
        </w:r>
      </w:del>
      <w:del w:id="260" w:author="Mark Semmler" w:date="2026-01-10T14:46:42Z">
        <w:r>
          <w:rPr>
            <w:shd w:fill="EEEEEE" w:val="clear"/>
            <w:lang w:val="de-DE"/>
          </w:rPr>
          <w:delText>)</w:delText>
        </w:r>
      </w:del>
    </w:p>
    <w:p>
      <w:pPr>
        <w:pStyle w:val="Heading2"/>
        <w:ind w:hanging="0" w:left="0"/>
        <w:rPr>
          <w:shd w:fill="EEEEEE" w:val="clear"/>
        </w:rPr>
      </w:pPr>
      <w:bookmarkStart w:id="666" w:name="__RefHeading___Toc32046_2021121348"/>
      <w:bookmarkStart w:id="667" w:name="_Toc178761378"/>
      <w:bookmarkStart w:id="668" w:name="_Toc178588089"/>
      <w:bookmarkStart w:id="669" w:name="_Toc531165080"/>
      <w:bookmarkStart w:id="670" w:name="aktive_netzwerkkomponenten"/>
      <w:bookmarkStart w:id="671" w:name="_Toc530662945"/>
      <w:bookmarkStart w:id="672" w:name="_Toc187327108"/>
      <w:bookmarkStart w:id="673" w:name="rl%252525252525252525252525252525252521u"/>
      <w:bookmarkEnd w:id="666"/>
      <w:bookmarkEnd w:id="673"/>
      <w:r>
        <w:rPr>
          <w:shd w:fill="EEEEEE" w:val="clear"/>
          <w:lang w:val="de-DE"/>
        </w:rPr>
        <w:t>Aktive Netzwerkkomponenten</w:t>
      </w:r>
      <w:bookmarkEnd w:id="667"/>
      <w:bookmarkEnd w:id="668"/>
      <w:bookmarkEnd w:id="669"/>
      <w:bookmarkEnd w:id="670"/>
      <w:bookmarkEnd w:id="671"/>
      <w:bookmarkEnd w:id="672"/>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4" w:name="__RefHeading___Toc32048_2021121348"/>
      <w:bookmarkStart w:id="675" w:name="_Toc178761379"/>
      <w:bookmarkStart w:id="676" w:name="rl%252525252525252525252525252525252521v"/>
      <w:bookmarkStart w:id="677" w:name="_Ref179187553"/>
      <w:bookmarkStart w:id="678" w:name="_Toc530662946"/>
      <w:bookmarkStart w:id="679" w:name="_Toc187327109"/>
      <w:bookmarkStart w:id="680" w:name="_Toc531165081"/>
      <w:bookmarkStart w:id="681" w:name="netzuebergaenge"/>
      <w:bookmarkStart w:id="682" w:name="_Toc178588090"/>
      <w:bookmarkEnd w:id="674"/>
      <w:bookmarkEnd w:id="676"/>
      <w:r>
        <w:rPr>
          <w:shd w:fill="EEEEEE" w:val="clear"/>
          <w:lang w:val="de-DE"/>
        </w:rPr>
        <w:t>Netzübergänge</w:t>
      </w:r>
      <w:bookmarkEnd w:id="675"/>
      <w:bookmarkEnd w:id="677"/>
      <w:bookmarkEnd w:id="678"/>
      <w:bookmarkEnd w:id="679"/>
      <w:bookmarkEnd w:id="680"/>
      <w:bookmarkEnd w:id="681"/>
      <w:bookmarkEnd w:id="682"/>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w:t>
      </w:r>
      <w:del w:id="262" w:author="Mark Semmler" w:date="2026-01-10T14:46:42Z">
        <w:r>
          <w:rPr>
            <w:rStyle w:val="VdSListe1Zchn"/>
            <w:i/>
            <w:iCs/>
            <w:color w:val="auto"/>
            <w:lang w:val="de-DE"/>
          </w:rPr>
          <w:delText xml:space="preserve">eine </w:delText>
        </w:r>
      </w:del>
      <w:r>
        <w:rPr>
          <w:rStyle w:val="VdSListe1Zchn"/>
          <w:i/>
          <w:iCs/>
          <w:color w:val="auto"/>
          <w:lang w:val="de-DE"/>
        </w:rPr>
        <w:t>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83" w:name="__RefHeading___Toc32050_2021121348"/>
      <w:bookmarkStart w:id="684" w:name="_Toc531165082"/>
      <w:bookmarkStart w:id="685" w:name="_Toc178588091"/>
      <w:bookmarkStart w:id="686" w:name="_Toc530662947"/>
      <w:bookmarkStart w:id="687" w:name="basisschutz1"/>
      <w:bookmarkStart w:id="688" w:name="_Toc178761380"/>
      <w:bookmarkStart w:id="689" w:name="rl%252525252525252525252525252525252521w"/>
      <w:bookmarkStart w:id="690" w:name="_Toc187327110"/>
      <w:bookmarkEnd w:id="683"/>
      <w:bookmarkEnd w:id="689"/>
      <w:r>
        <w:rPr>
          <w:shd w:fill="EEEEEE" w:val="clear"/>
          <w:lang w:val="de-DE"/>
        </w:rPr>
        <w:t>Basisschutz</w:t>
      </w:r>
      <w:bookmarkEnd w:id="684"/>
      <w:bookmarkEnd w:id="685"/>
      <w:bookmarkEnd w:id="686"/>
      <w:bookmarkEnd w:id="687"/>
      <w:bookmarkEnd w:id="688"/>
      <w:bookmarkEnd w:id="690"/>
    </w:p>
    <w:p>
      <w:pPr>
        <w:pStyle w:val="Heading3"/>
        <w:ind w:hanging="0" w:left="0"/>
        <w:rPr>
          <w:shd w:fill="EEEEEE" w:val="clear"/>
        </w:rPr>
      </w:pPr>
      <w:bookmarkStart w:id="691" w:name="__RefHeading___Toc32052_2021121348"/>
      <w:bookmarkStart w:id="692" w:name="_Toc187327111"/>
      <w:bookmarkEnd w:id="691"/>
      <w:r>
        <w:rPr>
          <w:shd w:fill="EEEEEE" w:val="clear"/>
          <w:lang w:val="de-DE"/>
        </w:rPr>
        <w:t>Grundanforderungen</w:t>
      </w:r>
      <w:bookmarkEnd w:id="692"/>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9"/>
      <w:r>
        <w:rPr>
          <w:lang w:val="de-DE"/>
        </w:rPr>
        <w:t>Nachrangige Netzwerke KÖNNEN von der Umsetzung der Maßnahmen des Basisschutzes generell ausgenommen werden.</w:t>
      </w:r>
      <w:commentRangeEnd w:id="29"/>
      <w:r>
        <w:commentReference w:id="29"/>
      </w:r>
      <w:ins w:id="263" w:author="Mark Semmler" w:date="2026-01-10T14:46:42Z">
        <w:r>
          <w:rPr>
            <w:lang w:val="de-DE"/>
          </w:rPr>
        </w:r>
      </w:ins>
    </w:p>
    <w:p>
      <w:pPr>
        <w:pStyle w:val="Heading3"/>
        <w:ind w:hanging="0" w:left="0"/>
        <w:rPr>
          <w:shd w:fill="EEEEEE" w:val="clear"/>
        </w:rPr>
      </w:pPr>
      <w:bookmarkStart w:id="693" w:name="__RefHeading___netzwerkanschluesse_81"/>
      <w:bookmarkStart w:id="694" w:name="_Toc531165083"/>
      <w:bookmarkStart w:id="695" w:name="rl%252525252525252525252525252525252521x"/>
      <w:bookmarkStart w:id="696" w:name="netzwerkanschluesse"/>
      <w:bookmarkStart w:id="697" w:name="_Toc187327112"/>
      <w:bookmarkStart w:id="698" w:name="_Toc530662948"/>
      <w:bookmarkStart w:id="699" w:name="_Toc178761381"/>
      <w:bookmarkEnd w:id="693"/>
      <w:bookmarkEnd w:id="695"/>
      <w:r>
        <w:rPr>
          <w:shd w:fill="EEEEEE" w:val="clear"/>
          <w:lang w:val="de-DE"/>
        </w:rPr>
        <w:t>Netzwerkanschlüsse</w:t>
      </w:r>
      <w:bookmarkEnd w:id="694"/>
      <w:bookmarkEnd w:id="696"/>
      <w:bookmarkEnd w:id="697"/>
      <w:bookmarkEnd w:id="698"/>
      <w:bookmarkEnd w:id="699"/>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0" w:name="__RefHeading___segmentierung_82"/>
      <w:bookmarkStart w:id="701" w:name="_Toc178761382"/>
      <w:bookmarkStart w:id="702" w:name="segmentierung"/>
      <w:bookmarkStart w:id="703" w:name="rl%252525252525252525252525252525252521y"/>
      <w:bookmarkStart w:id="704" w:name="_Toc531165084"/>
      <w:bookmarkStart w:id="705" w:name="_Toc530662949"/>
      <w:bookmarkStart w:id="706" w:name="_Ref184204610"/>
      <w:bookmarkStart w:id="707" w:name="_Toc187327113"/>
      <w:bookmarkEnd w:id="700"/>
      <w:bookmarkEnd w:id="703"/>
      <w:r>
        <w:rPr>
          <w:shd w:fill="EEEEEE" w:val="clear"/>
          <w:lang w:val="de-DE"/>
        </w:rPr>
        <w:t>Segmentierung</w:t>
      </w:r>
      <w:bookmarkEnd w:id="701"/>
      <w:bookmarkEnd w:id="702"/>
      <w:bookmarkEnd w:id="704"/>
      <w:bookmarkEnd w:id="705"/>
      <w:bookmarkEnd w:id="706"/>
      <w:bookmarkEnd w:id="707"/>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8" w:name="__RefHeading___fernzugriff_83"/>
      <w:bookmarkStart w:id="709" w:name="_Toc530662950"/>
      <w:bookmarkStart w:id="710" w:name="rl%252525252525252525252525252525252521z"/>
      <w:bookmarkStart w:id="711" w:name="_Ref184204619"/>
      <w:bookmarkStart w:id="712" w:name="_Toc187327114"/>
      <w:bookmarkStart w:id="713" w:name="_Ref179187517"/>
      <w:bookmarkStart w:id="714" w:name="_Toc178761383"/>
      <w:bookmarkStart w:id="715" w:name="_Toc531165085"/>
      <w:bookmarkEnd w:id="708"/>
      <w:bookmarkEnd w:id="710"/>
      <w:r>
        <w:rPr>
          <w:shd w:fill="EEEEEE" w:val="clear"/>
          <w:lang w:val="de-DE"/>
        </w:rPr>
        <w:t>Fernzugang</w:t>
      </w:r>
      <w:bookmarkEnd w:id="709"/>
      <w:bookmarkEnd w:id="711"/>
      <w:bookmarkEnd w:id="712"/>
      <w:bookmarkEnd w:id="713"/>
      <w:bookmarkEnd w:id="714"/>
      <w:bookmarkEnd w:id="715"/>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60"/>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6" w:name="__RefHeading___netzwerkkopplung_84"/>
      <w:bookmarkStart w:id="717" w:name="netzwerkkopplung"/>
      <w:bookmarkStart w:id="718" w:name="_Toc178761384"/>
      <w:bookmarkStart w:id="719" w:name="_Toc531165086"/>
      <w:bookmarkStart w:id="720" w:name="_Toc187327115"/>
      <w:bookmarkStart w:id="721" w:name="_Toc530662951"/>
      <w:bookmarkStart w:id="722" w:name="rl%2525252525252525252525252525252525220"/>
      <w:bookmarkEnd w:id="716"/>
      <w:bookmarkEnd w:id="722"/>
      <w:r>
        <w:rPr>
          <w:shd w:fill="EEEEEE" w:val="clear"/>
          <w:lang w:val="de-DE"/>
        </w:rPr>
        <w:t>Netzwerkkopplung</w:t>
      </w:r>
      <w:bookmarkEnd w:id="717"/>
      <w:bookmarkEnd w:id="718"/>
      <w:bookmarkEnd w:id="719"/>
      <w:bookmarkEnd w:id="720"/>
      <w:bookmarkEnd w:id="721"/>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3" w:name="__RefHeading___Toc32054_2021121348"/>
      <w:bookmarkStart w:id="724" w:name="rl%2525252525252525252525252525252525221"/>
      <w:bookmarkStart w:id="725" w:name="_Toc178761385"/>
      <w:bookmarkStart w:id="726" w:name="_Toc531165087"/>
      <w:bookmarkStart w:id="727" w:name="_Toc530662952"/>
      <w:bookmarkStart w:id="728" w:name="zusaetzliche_massnahmen_fuer_kritische_v"/>
      <w:bookmarkStart w:id="729" w:name="_Toc187327116"/>
      <w:bookmarkStart w:id="730" w:name="_Toc178588092"/>
      <w:bookmarkEnd w:id="723"/>
      <w:bookmarkEnd w:id="724"/>
      <w:r>
        <w:rPr>
          <w:lang w:val="de-DE"/>
        </w:rPr>
        <w:t>Zusätzliche Maßnahmen für wichtige Verbindungen</w:t>
      </w:r>
      <w:bookmarkEnd w:id="725"/>
      <w:bookmarkEnd w:id="726"/>
      <w:bookmarkEnd w:id="727"/>
      <w:bookmarkEnd w:id="728"/>
      <w:bookmarkEnd w:id="729"/>
      <w:bookmarkEnd w:id="730"/>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31" w:name="__RefHeading___Toc32056_2021121348"/>
      <w:bookmarkStart w:id="732" w:name="_Toc530662953"/>
      <w:bookmarkStart w:id="733" w:name="rl%2525252525252525252525252525252525222"/>
      <w:bookmarkStart w:id="734" w:name="_Toc531165088"/>
      <w:bookmarkStart w:id="735" w:name="_Toc178588093"/>
      <w:bookmarkStart w:id="736" w:name="_Toc178761386"/>
      <w:bookmarkStart w:id="737" w:name="mobile_datentraeger"/>
      <w:bookmarkStart w:id="738" w:name="_Toc187327117"/>
      <w:bookmarkStart w:id="739" w:name="_Ref178761888"/>
      <w:bookmarkEnd w:id="731"/>
      <w:bookmarkEnd w:id="733"/>
      <w:r>
        <w:rPr>
          <w:shd w:fill="EEEEEE" w:val="clear"/>
          <w:lang w:val="de-DE"/>
        </w:rPr>
        <w:t>Mobile Datenträger</w:t>
      </w:r>
      <w:bookmarkEnd w:id="732"/>
      <w:bookmarkEnd w:id="734"/>
      <w:bookmarkEnd w:id="735"/>
      <w:bookmarkEnd w:id="736"/>
      <w:bookmarkEnd w:id="737"/>
      <w:bookmarkEnd w:id="738"/>
      <w:bookmarkEnd w:id="739"/>
    </w:p>
    <w:p>
      <w:pPr>
        <w:pStyle w:val="Heading2"/>
        <w:ind w:hanging="0" w:left="0"/>
        <w:rPr>
          <w:shd w:fill="EEEEEE" w:val="clear"/>
        </w:rPr>
      </w:pPr>
      <w:bookmarkStart w:id="740" w:name="__RefHeading___Toc32058_2021121348"/>
      <w:bookmarkStart w:id="741" w:name="_Toc187327118"/>
      <w:bookmarkEnd w:id="740"/>
      <w:r>
        <w:rPr>
          <w:shd w:fill="EEEEEE" w:val="clear"/>
          <w:lang w:val="de-DE"/>
        </w:rPr>
        <w:t>Grundlagen</w:t>
      </w:r>
      <w:bookmarkEnd w:id="741"/>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2" w:name="__RefHeading___Toc32060_2021121348"/>
      <w:bookmarkStart w:id="743" w:name="_Toc178761387"/>
      <w:bookmarkStart w:id="744" w:name="_Toc530662954"/>
      <w:bookmarkStart w:id="745" w:name="rl%2525252525252525252525252525252525223"/>
      <w:bookmarkStart w:id="746" w:name="_Toc187327119"/>
      <w:bookmarkStart w:id="747" w:name="_Toc531165089"/>
      <w:bookmarkStart w:id="748" w:name="is-richtlinie1"/>
      <w:bookmarkStart w:id="749" w:name="_Toc178588094"/>
      <w:bookmarkEnd w:id="742"/>
      <w:bookmarkEnd w:id="745"/>
      <w:r>
        <w:rPr>
          <w:shd w:fill="EEEEEE" w:val="clear"/>
          <w:lang w:val="de-DE"/>
        </w:rPr>
        <w:t>IS-Richtlinie</w:t>
      </w:r>
      <w:bookmarkEnd w:id="743"/>
      <w:bookmarkEnd w:id="744"/>
      <w:bookmarkEnd w:id="746"/>
      <w:bookmarkEnd w:id="747"/>
      <w:bookmarkEnd w:id="748"/>
      <w:bookmarkEnd w:id="74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6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0" w:name="__RefHeading___Toc32064_2021121348"/>
      <w:bookmarkStart w:id="751" w:name="_Toc531165091"/>
      <w:bookmarkStart w:id="752" w:name="_Toc530662956"/>
      <w:bookmarkStart w:id="753" w:name="_Toc187327121"/>
      <w:bookmarkStart w:id="754" w:name="_Toc178761389"/>
      <w:bookmarkStart w:id="755" w:name="_Toc178588096"/>
      <w:bookmarkStart w:id="756" w:name="zusaetzliche_massnahmen_fuer_kritische_1"/>
      <w:bookmarkEnd w:id="750"/>
      <w:bookmarkEnd w:id="756"/>
      <w:r>
        <w:rPr>
          <w:lang w:val="de-DE"/>
        </w:rPr>
        <w:t>Zusätzliche Maßnahmen für wichtige mobile Datenträger</w:t>
      </w:r>
      <w:bookmarkEnd w:id="751"/>
      <w:bookmarkEnd w:id="752"/>
      <w:bookmarkEnd w:id="753"/>
      <w:bookmarkEnd w:id="754"/>
      <w:bookmarkEnd w:id="755"/>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7" w:name="__RefHeading___Toc32066_2021121348"/>
      <w:bookmarkStart w:id="758" w:name="rl%2525252525252525252525252525252525224"/>
      <w:bookmarkStart w:id="759" w:name="_Toc178761390"/>
      <w:bookmarkStart w:id="760" w:name="_Toc178588097"/>
      <w:bookmarkStart w:id="761" w:name="_Toc531165092"/>
      <w:bookmarkStart w:id="762" w:name="_Toc530662957"/>
      <w:bookmarkStart w:id="763" w:name="_Toc187327122"/>
      <w:bookmarkStart w:id="764" w:name="umgebung"/>
      <w:bookmarkEnd w:id="757"/>
      <w:bookmarkEnd w:id="758"/>
      <w:r>
        <w:rPr>
          <w:shd w:fill="EEEEEE" w:val="clear"/>
          <w:lang w:val="de-DE"/>
        </w:rPr>
        <w:t>Umgebung</w:t>
      </w:r>
      <w:bookmarkEnd w:id="759"/>
      <w:bookmarkEnd w:id="760"/>
      <w:bookmarkEnd w:id="761"/>
      <w:bookmarkEnd w:id="762"/>
      <w:bookmarkEnd w:id="763"/>
      <w:bookmarkEnd w:id="764"/>
    </w:p>
    <w:p>
      <w:pPr>
        <w:pStyle w:val="Heading2"/>
        <w:ind w:hanging="0" w:left="0"/>
        <w:rPr>
          <w:shd w:fill="EEEEEE" w:val="clear"/>
        </w:rPr>
      </w:pPr>
      <w:bookmarkStart w:id="765" w:name="__RefHeading___Toc32068_2021121348"/>
      <w:bookmarkStart w:id="766" w:name="_Toc187327123"/>
      <w:bookmarkEnd w:id="765"/>
      <w:r>
        <w:rPr>
          <w:shd w:fill="EEEEEE" w:val="clear"/>
          <w:lang w:val="de-DE"/>
        </w:rPr>
        <w:t>Grundlagen</w:t>
      </w:r>
      <w:bookmarkEnd w:id="766"/>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7" w:name="__RefHeading___Toc32070_2021121348"/>
      <w:bookmarkStart w:id="768" w:name="server_aktive_netzwerkkomponenten_und_ne"/>
      <w:bookmarkStart w:id="769" w:name="_Toc178588098"/>
      <w:bookmarkStart w:id="770" w:name="_Toc531165093"/>
      <w:bookmarkStart w:id="771" w:name="_Toc187327124"/>
      <w:bookmarkStart w:id="772" w:name="_Toc530662958"/>
      <w:bookmarkStart w:id="773" w:name="_Toc178761391"/>
      <w:bookmarkStart w:id="774" w:name="rl%2525252525252525252525252525252525225"/>
      <w:bookmarkEnd w:id="767"/>
      <w:bookmarkEnd w:id="774"/>
      <w:r>
        <w:rPr>
          <w:shd w:fill="EEEEEE" w:val="clear"/>
          <w:lang w:val="de-DE"/>
        </w:rPr>
        <w:t>Server, aktive Netzwerkkomponenten und Netzwerkverteilstellen</w:t>
      </w:r>
      <w:bookmarkEnd w:id="768"/>
      <w:bookmarkEnd w:id="769"/>
      <w:bookmarkEnd w:id="770"/>
      <w:bookmarkEnd w:id="771"/>
      <w:bookmarkEnd w:id="772"/>
      <w:bookmarkEnd w:id="77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5" w:name="__RefHeading___Toc32072_2021121348"/>
      <w:bookmarkStart w:id="776" w:name="datenleitungen"/>
      <w:bookmarkStart w:id="777" w:name="_Toc178761392"/>
      <w:bookmarkStart w:id="778" w:name="rl%2525252525252525252525252525252525226"/>
      <w:bookmarkStart w:id="779" w:name="_Toc187327125"/>
      <w:bookmarkStart w:id="780" w:name="_Toc530662959"/>
      <w:bookmarkStart w:id="781" w:name="_Toc178588099"/>
      <w:bookmarkStart w:id="782" w:name="_Toc531165094"/>
      <w:bookmarkEnd w:id="775"/>
      <w:bookmarkEnd w:id="778"/>
      <w:r>
        <w:rPr>
          <w:shd w:fill="EEEEEE" w:val="clear"/>
          <w:lang w:val="de-DE"/>
        </w:rPr>
        <w:t>Datenleitungen</w:t>
      </w:r>
      <w:bookmarkEnd w:id="776"/>
      <w:bookmarkEnd w:id="777"/>
      <w:bookmarkEnd w:id="779"/>
      <w:bookmarkEnd w:id="780"/>
      <w:bookmarkEnd w:id="781"/>
      <w:bookmarkEnd w:id="782"/>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3" w:name="__RefHeading___Toc32074_2021121348"/>
      <w:bookmarkStart w:id="784" w:name="_Toc530662960"/>
      <w:bookmarkStart w:id="785" w:name="rl%2525252525252525252525252525252525227"/>
      <w:bookmarkStart w:id="786" w:name="_Toc178588100"/>
      <w:bookmarkStart w:id="787" w:name="_Toc187327126"/>
      <w:bookmarkStart w:id="788" w:name="_Toc178761393"/>
      <w:bookmarkStart w:id="789" w:name="_Toc531165095"/>
      <w:bookmarkEnd w:id="783"/>
      <w:bookmarkEnd w:id="785"/>
      <w:r>
        <w:rPr>
          <w:lang w:val="de-DE"/>
        </w:rPr>
        <w:t>Zusätzliche Maßnahmen für wichtige IT-Systeme</w:t>
      </w:r>
      <w:bookmarkEnd w:id="784"/>
      <w:bookmarkEnd w:id="786"/>
      <w:bookmarkEnd w:id="787"/>
      <w:bookmarkEnd w:id="788"/>
      <w:bookmarkEnd w:id="789"/>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0" w:name="__RefHeading___Toc18489_3449274495"/>
      <w:bookmarkEnd w:id="790"/>
      <w:r>
        <w:rPr/>
        <w:t>Externe IT-Ressourcen</w:t>
      </w:r>
    </w:p>
    <w:p>
      <w:pPr>
        <w:pStyle w:val="Heading2"/>
        <w:ind w:hanging="0" w:left="0"/>
        <w:rPr>
          <w:shd w:fill="EEEEEE" w:val="clear"/>
        </w:rPr>
      </w:pPr>
      <w:bookmarkStart w:id="791" w:name="__RefHeading___Toc32078_2021121348_Copy_"/>
      <w:bookmarkStart w:id="792" w:name="_Toc187327128_Copy_1"/>
      <w:bookmarkEnd w:id="791"/>
      <w:r>
        <w:rPr>
          <w:shd w:fill="EEEEEE" w:val="clear"/>
          <w:lang w:val="de-DE"/>
        </w:rPr>
        <w:t>Grundlagen</w:t>
      </w:r>
      <w:bookmarkEnd w:id="792"/>
    </w:p>
    <w:p>
      <w:pPr>
        <w:pStyle w:val="10000-DefaultParagraph"/>
        <w:rPr>
          <w:shd w:fill="auto" w:val="clear"/>
        </w:rPr>
      </w:pPr>
      <w:r>
        <w:rPr>
          <w:shd w:fill="auto" w:val="clear"/>
          <w:lang w:val="de-DE"/>
        </w:rPr>
        <w:t>Wenn externe IT-Ressourcen genutzt oder eingekauft werden, ist es notwendig, die Sicherheitsinteressen der Organisation angemessen zu berücksichtigen.</w:t>
      </w:r>
    </w:p>
    <w:p>
      <w:pPr>
        <w:pStyle w:val="Heading2"/>
        <w:ind w:hanging="0" w:left="0"/>
        <w:rPr>
          <w:shd w:fill="EEEEEE" w:val="clear"/>
        </w:rPr>
      </w:pPr>
      <w:bookmarkStart w:id="793" w:name="__RefHeading___Toc32080_2021121348_Copy_"/>
      <w:bookmarkStart w:id="794" w:name="rl%2525252525252525252525252525252525228"/>
      <w:bookmarkStart w:id="795" w:name="_Toc531165097_Copy_1"/>
      <w:bookmarkStart w:id="796" w:name="_Toc530662962_Copy_1"/>
      <w:bookmarkStart w:id="797" w:name="is-richtlinie2_Copy_1"/>
      <w:bookmarkStart w:id="798" w:name="_Toc187327129_Copy_1"/>
      <w:bookmarkStart w:id="799" w:name="_Toc178588102_Copy_1"/>
      <w:bookmarkStart w:id="800" w:name="_Toc178761395_Copy_1"/>
      <w:bookmarkEnd w:id="793"/>
      <w:bookmarkEnd w:id="794"/>
      <w:r>
        <w:rPr>
          <w:shd w:fill="EEEEEE" w:val="clear"/>
          <w:lang w:val="de-DE"/>
        </w:rPr>
        <w:t>IS-Richtlinie</w:t>
      </w:r>
      <w:bookmarkEnd w:id="795"/>
      <w:bookmarkEnd w:id="796"/>
      <w:bookmarkEnd w:id="797"/>
      <w:bookmarkEnd w:id="798"/>
      <w:bookmarkEnd w:id="799"/>
      <w:bookmarkEnd w:id="800"/>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den Einkauf externer IT-Ressourcen festgelegt werden.</w:t>
      </w:r>
    </w:p>
    <w:p>
      <w:pPr>
        <w:pStyle w:val="Heading2"/>
        <w:ind w:hanging="0" w:left="0"/>
        <w:rPr/>
      </w:pPr>
      <w:bookmarkStart w:id="801" w:name="__RefHeading___Toc29773_3572532615"/>
      <w:bookmarkEnd w:id="801"/>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tru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tru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wie </w:t>
      </w:r>
      <w:r>
        <w:rPr>
          <w:rFonts w:eastAsia="Arial" w:cs="DejaVu Sans"/>
          <w:i/>
          <w:iCs/>
          <w:color w:val="000000"/>
          <w:kern w:val="0"/>
          <w:sz w:val="20"/>
          <w:szCs w:val="22"/>
          <w:shd w:fill="auto" w:val="clear"/>
          <w:lang w:val="de-DE" w:eastAsia="en-US" w:bidi="ar-SA"/>
        </w:rPr>
        <w:t>z.</w:t>
      </w:r>
      <w:ins w:id="264" w:author="Mark Semmler" w:date="2026-01-10T14:46:42Z">
        <w:r>
          <w:rPr>
            <w:rFonts w:eastAsia="Arial" w:cs="DejaVu Sans"/>
            <w:i/>
            <w:iCs/>
            <w:color w:val="000000"/>
            <w:kern w:val="0"/>
            <w:sz w:val="20"/>
            <w:szCs w:val="22"/>
            <w:shd w:fill="auto" w:val="clear"/>
            <w:lang w:val="de-DE" w:eastAsia="en-US" w:bidi="ar-SA"/>
          </w:rPr>
          <w:t> </w:t>
        </w:r>
      </w:ins>
      <w:del w:id="265" w:author="Mark Semmler" w:date="2026-01-10T14:46:42Z">
        <w:r>
          <w:rPr>
            <w:rFonts w:eastAsia="Arial" w:cs="DejaVu Sans"/>
            <w:i/>
            <w:iCs/>
            <w:color w:val="000000"/>
            <w:kern w:val="0"/>
            <w:sz w:val="20"/>
            <w:szCs w:val="22"/>
            <w:shd w:fill="auto" w:val="clear"/>
            <w:lang w:val="de-DE" w:eastAsia="en-US" w:bidi="ar-SA"/>
          </w:rPr>
          <w:delText xml:space="preserve"> </w:delText>
        </w:r>
      </w:del>
      <w:r>
        <w:rPr>
          <w:rFonts w:eastAsia="Arial" w:cs="DejaVu Sans"/>
          <w:i/>
          <w:iCs/>
          <w:color w:val="000000"/>
          <w:kern w:val="0"/>
          <w:sz w:val="20"/>
          <w:szCs w:val="22"/>
          <w:shd w:fill="auto" w:val="clear"/>
          <w:lang w:val="de-DE" w:eastAsia="en-US" w:bidi="ar-SA"/>
        </w:rPr>
        <w:t>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tru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tru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w:t>
      </w:r>
      <w:ins w:id="266" w:author="Mark Semmler" w:date="2026-01-10T14:46:42Z">
        <w:r>
          <w:rPr>
            <w:rFonts w:eastAsia="Arial" w:cs="DejaVu Sans"/>
            <w:i/>
            <w:iCs/>
            <w:color w:val="000000"/>
            <w:kern w:val="0"/>
            <w:sz w:val="20"/>
            <w:szCs w:val="22"/>
            <w:shd w:fill="auto" w:val="clear"/>
            <w:lang w:val="de-DE" w:eastAsia="en-US" w:bidi="ar-SA"/>
          </w:rPr>
          <w:t> </w:t>
        </w:r>
      </w:ins>
      <w:del w:id="267" w:author="Mark Semmler" w:date="2026-01-10T14:46:42Z">
        <w:r>
          <w:rPr>
            <w:rFonts w:eastAsia="Arial" w:cs="DejaVu Sans"/>
            <w:i/>
            <w:iCs/>
            <w:color w:val="000000"/>
            <w:kern w:val="0"/>
            <w:sz w:val="20"/>
            <w:szCs w:val="22"/>
            <w:shd w:fill="auto" w:val="clear"/>
            <w:lang w:val="de-DE" w:eastAsia="en-US" w:bidi="ar-SA"/>
          </w:rPr>
          <w:delText xml:space="preserve"> </w:delText>
        </w:r>
      </w:del>
      <w:r>
        <w:rPr>
          <w:rFonts w:eastAsia="Arial" w:cs="DejaVu Sans"/>
          <w:i/>
          <w:iCs/>
          <w:color w:val="000000"/>
          <w:kern w:val="0"/>
          <w:sz w:val="20"/>
          <w:szCs w:val="22"/>
          <w:shd w:fill="auto" w:val="clear"/>
          <w:lang w:val="de-DE" w:eastAsia="en-US" w:bidi="ar-SA"/>
        </w:rPr>
        <w:t>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2" w:name="__RefHeading___Toc32082_2021121348_Copy_"/>
      <w:bookmarkEnd w:id="802"/>
      <w:r>
        <w:rPr>
          <w:lang w:val="de-DE"/>
        </w:rPr>
        <w:t>Zusätzliche Maßnahmen für wichtige externe IT-Ressourcen</w:t>
      </w:r>
    </w:p>
    <w:p>
      <w:pPr>
        <w:pStyle w:val="Normal"/>
        <w:ind w:hanging="0" w:left="0"/>
        <w:rPr>
          <w:lang w:val="de-DE"/>
        </w:rPr>
      </w:pPr>
      <w:del w:id="268" w:author="Mark Semmler" w:date="2026-01-10T14:46:42Z">
        <w:r>
          <w:rPr>
            <w:lang w:val="de-DE"/>
          </w:rPr>
          <w:delText xml:space="preserve">Wichtige IT-Ressourcen werden für den Betrieb eines zentralen Prozesses oder eines Prozesses mit hohem Schadenspotential (siehe Abschnitt </w:delText>
        </w:r>
      </w:del>
      <w:del w:id="269" w:author="Mark Semmler" w:date="2026-01-10T14:46:42Z">
        <w:r>
          <w:rPr>
            <w:lang w:val="de-DE"/>
          </w:rPr>
          <w:fldChar w:fldCharType="begin"/>
        </w:r>
        <w:r>
          <w:rPr>
            <w:lang w:val="de-DE"/>
          </w:rPr>
          <w:delInstrText xml:space="preserve"> REF __RefHeading___Toc31998_2021121348 \n \n \h </w:delInstrText>
        </w:r>
        <w:r>
          <w:rPr>
            <w:lang w:val="de-DE"/>
          </w:rPr>
          <w:fldChar w:fldCharType="separate"/>
        </w:r>
        <w:r>
          <w:rPr>
            <w:lang w:val="de-DE"/>
          </w:rPr>
          <w:delText>9.2</w:delText>
        </w:r>
        <w:r>
          <w:rPr>
            <w:lang w:val="de-DE"/>
          </w:rPr>
          <w:fldChar w:fldCharType="end"/>
        </w:r>
      </w:del>
      <w:del w:id="270" w:author="Mark Semmler" w:date="2026-01-10T14:46:42Z">
        <w:r>
          <w:rPr>
            <w:lang w:val="de-DE"/>
          </w:rPr>
          <w:delText xml:space="preserve">) zwingend benötigt. </w:delText>
        </w:r>
      </w:del>
      <w:r>
        <w:rPr>
          <w:lang w:val="de-DE"/>
        </w:rPr>
        <w:t>Wenn wichtige externe IT-Ressourcen genutzt oder eingekauft werden ist es wichtig, die Sicherheitsanforderungen an sie strukturiert zu ermitteln und sie vertraglich mit dem Lieferanten zu vereinbaren.</w:t>
      </w:r>
      <w:del w:id="271" w:author="Mark Semmler" w:date="2026-01-10T14:46:42Z">
        <w:r>
          <w:rPr>
            <w:lang w:val="de-DE"/>
          </w:rPr>
          <w:commentReference w:id="30"/>
        </w:r>
      </w:del>
    </w:p>
    <w:p>
      <w:pPr>
        <w:pStyle w:val="Heading3"/>
        <w:ind w:hanging="0" w:left="0"/>
        <w:rPr/>
      </w:pPr>
      <w:bookmarkStart w:id="803" w:name="__RefHeading___Toc18491_3449274495"/>
      <w:bookmarkEnd w:id="803"/>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tru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tru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4" w:name="__RefHeading___Toc18493_3449274495"/>
      <w:bookmarkEnd w:id="804"/>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shd w:fill="auto" w:val="clear"/>
          <w:lang w:val="de-DE"/>
        </w:rPr>
      </w:pPr>
      <w:r>
        <w:rPr>
          <w:shd w:fill="auto" w:val="clear"/>
          <w:lang w:val="de-DE"/>
        </w:rPr>
        <w:t>Leistungen</w:t>
      </w:r>
    </w:p>
    <w:p>
      <w:pPr>
        <w:pStyle w:val="10000-DefaultParagraph"/>
        <w:numPr>
          <w:ilvl w:val="1"/>
          <w:numId w:val="84"/>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4"/>
        </w:numPr>
        <w:rPr>
          <w:shd w:fill="auto" w:val="clear"/>
          <w:lang w:val="de-DE"/>
        </w:rPr>
      </w:pPr>
      <w:r>
        <w:rPr>
          <w:shd w:fill="auto" w:val="clear"/>
          <w:lang w:val="de-DE"/>
        </w:rPr>
        <w:t>Die Standorte, an denen Leistungen erbracht werden, werden festgelegt.</w:t>
      </w:r>
    </w:p>
    <w:p>
      <w:pPr>
        <w:pStyle w:val="10000-DefaultParagraph"/>
        <w:numPr>
          <w:ilvl w:val="1"/>
          <w:numId w:val="84"/>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shd w:fill="auto" w:val="clear"/>
          <w:lang w:val="de-DE"/>
        </w:rPr>
      </w:pPr>
      <w:r>
        <w:rPr>
          <w:shd w:fill="auto" w:val="clear"/>
          <w:lang w:val="de-DE"/>
        </w:rPr>
        <w:t>Sicherheitsmaßnahmen</w:t>
      </w:r>
    </w:p>
    <w:p>
      <w:pPr>
        <w:pStyle w:val="10000-DefaultParagraph"/>
        <w:widowControl/>
        <w:numPr>
          <w:ilvl w:val="1"/>
          <w:numId w:val="84"/>
        </w:numPr>
        <w:suppressAutoHyphens w:val="false"/>
        <w:overflowPunct w:val="tru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w:t>
      </w:r>
      <w:ins w:id="272" w:author="Mark Semmler" w:date="2026-01-10T14:46:42Z">
        <w:r>
          <w:rPr>
            <w:rFonts w:eastAsia="Arial" w:cs="DejaVu Sans"/>
            <w:i/>
            <w:iCs/>
            <w:color w:val="000000"/>
            <w:kern w:val="0"/>
            <w:sz w:val="20"/>
            <w:szCs w:val="22"/>
            <w:shd w:fill="auto" w:val="clear"/>
            <w:lang w:val="de-DE" w:eastAsia="en-US" w:bidi="ar-SA"/>
          </w:rPr>
          <w:t> </w:t>
        </w:r>
      </w:ins>
      <w:del w:id="273" w:author="Mark Semmler" w:date="2026-01-10T14:46:42Z">
        <w:r>
          <w:rPr>
            <w:rFonts w:eastAsia="Arial" w:cs="DejaVu Sans"/>
            <w:i/>
            <w:iCs/>
            <w:color w:val="000000"/>
            <w:kern w:val="0"/>
            <w:sz w:val="20"/>
            <w:szCs w:val="22"/>
            <w:shd w:fill="auto" w:val="clear"/>
            <w:lang w:val="de-DE" w:eastAsia="en-US" w:bidi="ar-SA"/>
          </w:rPr>
          <w:delText xml:space="preserve"> </w:delText>
        </w:r>
      </w:del>
      <w:r>
        <w:rPr>
          <w:rFonts w:eastAsia="Arial" w:cs="DejaVu Sans"/>
          <w:i/>
          <w:iCs/>
          <w:color w:val="000000"/>
          <w:kern w:val="0"/>
          <w:sz w:val="20"/>
          <w:szCs w:val="22"/>
          <w:shd w:fill="auto" w:val="clear"/>
          <w:lang w:val="de-DE" w:eastAsia="en-US" w:bidi="ar-SA"/>
        </w:rPr>
        <w:t>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shd w:fill="auto" w:val="clear"/>
          <w:lang w:val="de-DE"/>
        </w:rPr>
      </w:pPr>
      <w:r>
        <w:rPr>
          <w:shd w:fill="auto" w:val="clear"/>
          <w:lang w:val="de-DE"/>
        </w:rPr>
        <w:t xml:space="preserve">Kommunikation </w:t>
      </w:r>
    </w:p>
    <w:p>
      <w:pPr>
        <w:pStyle w:val="10000-DefaultParagraph"/>
        <w:numPr>
          <w:ilvl w:val="1"/>
          <w:numId w:val="84"/>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4"/>
        </w:numPr>
        <w:rPr>
          <w:shd w:fill="auto" w:val="clear"/>
          <w:lang w:val="de-DE"/>
        </w:rPr>
      </w:pPr>
      <w:r>
        <w:rPr>
          <w:shd w:fill="auto" w:val="clear"/>
          <w:lang w:val="de-DE"/>
        </w:rPr>
        <w:t>Eine Vertraulichkeitsvereinbarung wird getroffen.</w:t>
      </w:r>
    </w:p>
    <w:p>
      <w:pPr>
        <w:pStyle w:val="10000-DefaultParagraph"/>
        <w:numPr>
          <w:ilvl w:val="1"/>
          <w:numId w:val="84"/>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4"/>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shd w:fill="auto" w:val="clear"/>
          <w:lang w:val="de-DE"/>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w:t>
      </w:r>
      <w:ins w:id="274" w:author="Mark Semmler" w:date="2026-01-10T14:46:42Z">
        <w:r>
          <w:rPr>
            <w:rFonts w:eastAsia="Arial" w:cs="DejaVu Sans"/>
            <w:color w:val="auto"/>
            <w:kern w:val="0"/>
            <w:sz w:val="20"/>
            <w:szCs w:val="22"/>
            <w:shd w:fill="auto" w:val="clear"/>
            <w:lang w:val="de-DE" w:eastAsia="en-US" w:bidi="ar-SA"/>
          </w:rPr>
          <w:t> </w:t>
        </w:r>
      </w:ins>
      <w:del w:id="275" w:author="Mark Semmler" w:date="2026-01-10T14:46:42Z">
        <w:r>
          <w:rPr>
            <w:rFonts w:eastAsia="Arial" w:cs="DejaVu Sans"/>
            <w:color w:val="auto"/>
            <w:kern w:val="0"/>
            <w:sz w:val="20"/>
            <w:szCs w:val="22"/>
            <w:shd w:fill="auto" w:val="clear"/>
            <w:lang w:val="de-DE" w:eastAsia="en-US" w:bidi="ar-SA"/>
          </w:rPr>
          <w:delText xml:space="preserve"> </w:delText>
        </w:r>
      </w:del>
      <w:r>
        <w:rPr>
          <w:rFonts w:eastAsia="Arial" w:cs="DejaVu Sans"/>
          <w:color w:val="auto"/>
          <w:kern w:val="0"/>
          <w:sz w:val="20"/>
          <w:szCs w:val="22"/>
          <w:shd w:fill="auto" w:val="clear"/>
          <w:lang w:val="de-DE" w:eastAsia="en-US" w:bidi="ar-SA"/>
        </w:rPr>
        <w:t>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5" w:name="__RefHeading___Toc32088_2021121348"/>
      <w:bookmarkStart w:id="806" w:name="_Toc178761399"/>
      <w:bookmarkStart w:id="807" w:name="_Toc178588106"/>
      <w:bookmarkStart w:id="808" w:name="_Ref179186593"/>
      <w:bookmarkStart w:id="809" w:name="_Ref184204681"/>
      <w:bookmarkStart w:id="810" w:name="_Toc187327133"/>
      <w:bookmarkStart w:id="811" w:name="_Toc530662966"/>
      <w:bookmarkStart w:id="812" w:name="zugaenge_und_zugriffsrechte"/>
      <w:bookmarkStart w:id="813" w:name="_Toc531165101"/>
      <w:bookmarkStart w:id="814" w:name="rl%2525252525252525252525252525252525229"/>
      <w:bookmarkEnd w:id="805"/>
      <w:bookmarkEnd w:id="814"/>
      <w:r>
        <w:rPr>
          <w:shd w:fill="EEEEEE" w:val="clear"/>
          <w:lang w:val="de-DE"/>
        </w:rPr>
        <w:t xml:space="preserve">Zugänge, Zugriffs- und </w:t>
      </w:r>
      <w:bookmarkEnd w:id="811"/>
      <w:bookmarkEnd w:id="812"/>
      <w:bookmarkEnd w:id="813"/>
      <w:r>
        <w:rPr>
          <w:shd w:fill="EEEEEE" w:val="clear"/>
          <w:lang w:val="de-DE"/>
        </w:rPr>
        <w:t>Zutrittsrechte</w:t>
      </w:r>
      <w:bookmarkEnd w:id="806"/>
      <w:bookmarkEnd w:id="807"/>
      <w:bookmarkEnd w:id="808"/>
      <w:bookmarkEnd w:id="809"/>
      <w:bookmarkEnd w:id="810"/>
    </w:p>
    <w:p>
      <w:pPr>
        <w:pStyle w:val="Heading2"/>
        <w:ind w:hanging="0" w:left="0"/>
        <w:rPr>
          <w:shd w:fill="EEEEEE" w:val="clear"/>
        </w:rPr>
      </w:pPr>
      <w:bookmarkStart w:id="815" w:name="__RefHeading___Toc32090_2021121348"/>
      <w:bookmarkStart w:id="816" w:name="_Toc187327134"/>
      <w:bookmarkEnd w:id="815"/>
      <w:r>
        <w:rPr>
          <w:shd w:fill="EEEEEE" w:val="clear"/>
          <w:lang w:val="de-DE"/>
        </w:rPr>
        <w:t>Grundlagen</w:t>
      </w:r>
      <w:bookmarkEnd w:id="816"/>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7" w:name="__RefHeading___Toc32092_2021121348"/>
      <w:bookmarkStart w:id="818" w:name="_Ref184204689"/>
      <w:bookmarkStart w:id="819" w:name="_Toc530662967"/>
      <w:bookmarkStart w:id="820" w:name="_Toc178761400"/>
      <w:bookmarkStart w:id="821" w:name="verwaltung"/>
      <w:bookmarkStart w:id="822" w:name="_Toc187327135"/>
      <w:bookmarkStart w:id="823" w:name="_Toc531165102"/>
      <w:bookmarkStart w:id="824" w:name="_Toc178588107"/>
      <w:bookmarkStart w:id="825" w:name="rl%252525252525252525252525252525252522a"/>
      <w:bookmarkEnd w:id="817"/>
      <w:bookmarkEnd w:id="825"/>
      <w:r>
        <w:rPr>
          <w:shd w:fill="EEEEEE" w:val="clear"/>
          <w:lang w:val="de-DE"/>
        </w:rPr>
        <w:t>Verwaltung</w:t>
      </w:r>
      <w:bookmarkEnd w:id="818"/>
      <w:bookmarkEnd w:id="819"/>
      <w:bookmarkEnd w:id="820"/>
      <w:bookmarkEnd w:id="821"/>
      <w:bookmarkEnd w:id="822"/>
      <w:bookmarkEnd w:id="823"/>
      <w:bookmarkEnd w:id="82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w:t>
      </w:r>
      <w:commentRangeStart w:id="31"/>
      <w:ins w:id="276" w:author="Mark Semmler" w:date="2026-01-10T14:46:42Z">
        <w:r>
          <w:rPr>
            <w:shd w:fill="auto" w:val="clear"/>
          </w:rPr>
          <w:t xml:space="preserve">oder für automatisierte Vorgänge </w:t>
        </w:r>
      </w:ins>
      <w:ins w:id="277" w:author="Mark Semmler" w:date="2026-01-10T14:46:42Z">
        <w:r>
          <w:rPr>
            <w:shd w:fill="auto" w:val="clear"/>
          </w:rPr>
        </w:r>
      </w:ins>
      <w:commentRangeEnd w:id="31"/>
      <w:r>
        <w:commentReference w:id="31"/>
      </w:r>
      <w:r>
        <w:rPr>
          <w:shd w:fill="EEEEEE" w:val="clear"/>
        </w:rPr>
        <w:t>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6" w:name="__RefHeading___Toc32094_2021121348"/>
      <w:bookmarkStart w:id="827" w:name="rl%252525252525252525252525252525252522b"/>
      <w:bookmarkStart w:id="828" w:name="_Toc530662968"/>
      <w:bookmarkStart w:id="829" w:name="_Toc178588108"/>
      <w:bookmarkStart w:id="830" w:name="_Toc178761401"/>
      <w:bookmarkStart w:id="831" w:name="_Toc187327136"/>
      <w:bookmarkStart w:id="832" w:name="_Toc531165103"/>
      <w:bookmarkStart w:id="833" w:name="_Ref184204700"/>
      <w:bookmarkEnd w:id="826"/>
      <w:bookmarkEnd w:id="827"/>
      <w:r>
        <w:rPr>
          <w:shd w:fill="EEEEEE" w:val="clear"/>
          <w:lang w:val="de-DE"/>
        </w:rPr>
        <w:t>Zusätzliche Maßnahmen für kritische IT-Systeme und Informationen</w:t>
      </w:r>
      <w:bookmarkEnd w:id="828"/>
      <w:bookmarkEnd w:id="829"/>
      <w:bookmarkEnd w:id="830"/>
      <w:bookmarkEnd w:id="831"/>
      <w:bookmarkEnd w:id="832"/>
      <w:bookmarkEnd w:id="833"/>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4" w:name="__RefHeading___Toc32096_2021121348"/>
      <w:bookmarkStart w:id="835" w:name="_Toc178761402"/>
      <w:bookmarkStart w:id="836" w:name="_Toc530662969"/>
      <w:bookmarkStart w:id="837" w:name="rl%252525252525252525252525252525252522c"/>
      <w:bookmarkStart w:id="838" w:name="_Ref179378737"/>
      <w:bookmarkStart w:id="839" w:name="_Ref179378700"/>
      <w:bookmarkStart w:id="840" w:name="_Toc531165104"/>
      <w:bookmarkStart w:id="841" w:name="datensicherung_und_archivierung"/>
      <w:bookmarkStart w:id="842" w:name="_Ref179187414"/>
      <w:bookmarkStart w:id="843" w:name="_Ref179378716"/>
      <w:bookmarkStart w:id="844" w:name="_Toc178588109"/>
      <w:bookmarkStart w:id="845" w:name="_Ref178761950"/>
      <w:bookmarkStart w:id="846" w:name="_Toc187327137"/>
      <w:bookmarkStart w:id="847" w:name="_Ref179378707"/>
      <w:bookmarkEnd w:id="834"/>
      <w:bookmarkEnd w:id="837"/>
      <w:r>
        <w:rPr>
          <w:shd w:fill="EEEEEE" w:val="clear"/>
          <w:lang w:val="de-DE"/>
        </w:rPr>
        <w:t>Datensicherung</w:t>
      </w:r>
      <w:bookmarkEnd w:id="835"/>
      <w:bookmarkEnd w:id="836"/>
      <w:bookmarkEnd w:id="838"/>
      <w:bookmarkEnd w:id="839"/>
      <w:bookmarkEnd w:id="840"/>
      <w:bookmarkEnd w:id="841"/>
      <w:bookmarkEnd w:id="842"/>
      <w:bookmarkEnd w:id="843"/>
      <w:bookmarkEnd w:id="844"/>
      <w:bookmarkEnd w:id="845"/>
      <w:bookmarkEnd w:id="846"/>
      <w:bookmarkEnd w:id="847"/>
      <w:r>
        <w:rPr>
          <w:shd w:fill="EEEEEE" w:val="clear"/>
          <w:lang w:val="de-DE"/>
        </w:rPr>
        <w:t xml:space="preserve"> und -wiederherstellung</w:t>
      </w:r>
    </w:p>
    <w:p>
      <w:pPr>
        <w:pStyle w:val="Heading2"/>
        <w:ind w:hanging="0" w:left="0"/>
        <w:rPr>
          <w:shd w:fill="EEEEEE" w:val="clear"/>
        </w:rPr>
      </w:pPr>
      <w:bookmarkStart w:id="848" w:name="__RefHeading___Toc32098_2021121348"/>
      <w:bookmarkStart w:id="849" w:name="_Toc187327138"/>
      <w:bookmarkEnd w:id="848"/>
      <w:r>
        <w:rPr>
          <w:shd w:fill="EEEEEE" w:val="clear"/>
          <w:lang w:val="de-DE"/>
        </w:rPr>
        <w:t>Grundlagen</w:t>
      </w:r>
      <w:bookmarkEnd w:id="849"/>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0" w:name="__RefHeading___Toc32100_2021121348"/>
      <w:bookmarkStart w:id="851" w:name="_Toc530662970_Copy_1_Copy_1"/>
      <w:bookmarkStart w:id="852" w:name="_Ref179188907_Copy_1_Copy_1"/>
      <w:bookmarkStart w:id="853" w:name="_Toc178761403_Copy_1_Copy_1"/>
      <w:bookmarkStart w:id="854" w:name="_Toc187327139_Copy_1_Copy_1"/>
      <w:bookmarkStart w:id="855" w:name="is-richtlinie3_Copy_1_Copy_1"/>
      <w:bookmarkStart w:id="856" w:name="_Toc531165105_Copy_1_Copy_1"/>
      <w:bookmarkStart w:id="857" w:name="_Toc178588110_Copy_1_Copy_1"/>
      <w:bookmarkEnd w:id="850"/>
      <w:bookmarkEnd w:id="851"/>
      <w:bookmarkEnd w:id="852"/>
      <w:bookmarkEnd w:id="853"/>
      <w:bookmarkEnd w:id="854"/>
      <w:bookmarkEnd w:id="855"/>
      <w:bookmarkEnd w:id="856"/>
      <w:bookmarkEnd w:id="857"/>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8" w:name="__RefHeading___Toc32102_2021121348"/>
      <w:bookmarkStart w:id="859" w:name="_Toc178588111"/>
      <w:bookmarkStart w:id="860" w:name="_Ref184204724"/>
      <w:bookmarkStart w:id="861" w:name="_Toc178761404"/>
      <w:bookmarkStart w:id="862" w:name="verfahren"/>
      <w:bookmarkStart w:id="863" w:name="_Toc530662972"/>
      <w:bookmarkStart w:id="864" w:name="_Toc531165107"/>
      <w:bookmarkStart w:id="865" w:name="_Toc187327140"/>
      <w:bookmarkStart w:id="866" w:name="rl%252525252525252525252525252525252522d"/>
      <w:bookmarkEnd w:id="858"/>
      <w:bookmarkEnd w:id="866"/>
      <w:r>
        <w:rPr>
          <w:lang w:val="de-DE"/>
        </w:rPr>
        <w:t>Verfahren</w:t>
      </w:r>
      <w:bookmarkEnd w:id="859"/>
      <w:bookmarkEnd w:id="860"/>
      <w:bookmarkEnd w:id="861"/>
      <w:bookmarkEnd w:id="862"/>
      <w:bookmarkEnd w:id="863"/>
      <w:bookmarkEnd w:id="864"/>
      <w:bookmarkEnd w:id="865"/>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w:t>
      </w:r>
      <w:ins w:id="278" w:author="Mark Semmler" w:date="2026-01-10T14:46:42Z">
        <w:r>
          <w:rPr>
            <w:rFonts w:eastAsia="Arial" w:cs="DejaVu Sans"/>
            <w:color w:val="auto"/>
            <w:kern w:val="0"/>
            <w:sz w:val="20"/>
            <w:szCs w:val="22"/>
            <w:shd w:fill="EEEEEE" w:val="clear"/>
            <w:lang w:val="de-DE" w:eastAsia="en-US" w:bidi="ar-SA"/>
          </w:rPr>
          <w:t> </w:t>
        </w:r>
      </w:ins>
      <w:del w:id="279" w:author="Mark Semmler" w:date="2026-01-10T14:46:42Z">
        <w:r>
          <w:rPr>
            <w:rFonts w:eastAsia="Arial" w:cs="DejaVu Sans"/>
            <w:color w:val="auto"/>
            <w:kern w:val="0"/>
            <w:sz w:val="20"/>
            <w:szCs w:val="22"/>
            <w:shd w:fill="EEEEEE" w:val="clear"/>
            <w:lang w:val="de-DE" w:eastAsia="en-US" w:bidi="ar-SA"/>
          </w:rPr>
          <w:delText xml:space="preserve"> </w:delText>
        </w:r>
      </w:del>
      <w:r>
        <w:rPr>
          <w:rFonts w:eastAsia="Arial" w:cs="DejaVu Sans"/>
          <w:color w:val="auto"/>
          <w:kern w:val="0"/>
          <w:sz w:val="20"/>
          <w:szCs w:val="22"/>
          <w:shd w:fill="EEEEEE" w:val="clear"/>
          <w:lang w:val="de-DE" w:eastAsia="en-US" w:bidi="ar-SA"/>
        </w:rPr>
        <w:t>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Empfehlung"/>
        <w:widowControl/>
        <w:suppressAutoHyphens w:val="false"/>
        <w:bidi w:val="0"/>
        <w:spacing w:lineRule="auto" w:line="247" w:before="0" w:after="120"/>
        <w:ind w:hanging="0" w:left="720"/>
        <w:jc w:val="both"/>
        <w:rPr>
          <w:del w:id="285" w:author="Mark Semmler" w:date="2026-01-10T14:46:42Z"/>
        </w:rPr>
      </w:pPr>
      <w:del w:id="280" w:author="Mark Semmler" w:date="2026-01-10T14:46:42Z">
        <w:r>
          <w:rPr>
            <w:rStyle w:val="Emphasis"/>
            <w:i/>
            <w:shd w:fill="auto" w:val="clear"/>
            <w:lang w:val="de-DE"/>
          </w:rPr>
          <w:delText xml:space="preserve">Ein fehlgeschlagener Test </w:delText>
        </w:r>
      </w:del>
      <w:del w:id="281" w:author="Mark Semmler" w:date="2026-01-10T14:46:42Z">
        <w:r>
          <w:rPr>
            <w:rStyle w:val="Emphasis"/>
            <w:i/>
            <w:iCs/>
            <w:shd w:fill="auto" w:val="clear"/>
            <w:lang w:val="de-DE"/>
          </w:rPr>
          <w:delText xml:space="preserve">SOLLTE als Sicherheitsvorfall (siehe Kapitel </w:delText>
        </w:r>
      </w:del>
      <w:del w:id="282" w:author="Mark Semmler" w:date="2026-01-10T14:46:42Z">
        <w:r>
          <w:rPr>
            <w:rStyle w:val="Emphasis"/>
            <w:i/>
            <w:iCs/>
            <w:shd w:fill="auto" w:val="clear"/>
            <w:lang w:val="de-DE"/>
          </w:rPr>
          <w:fldChar w:fldCharType="begin"/>
        </w:r>
        <w:r>
          <w:rPr>
            <w:rStyle w:val="Emphasis"/>
            <w:i/>
            <w:shd w:fill="auto" w:val="clear"/>
            <w:iCs/>
            <w:lang w:val="de-DE"/>
          </w:rPr>
          <w:delInstrText xml:space="preserve"> REF __RefHeading___Toc32116_2021121348 \n \n \h </w:delInstrText>
        </w:r>
        <w:r>
          <w:rPr>
            <w:rStyle w:val="Emphasis"/>
            <w:i/>
            <w:shd w:fill="auto" w:val="clear"/>
            <w:iCs/>
            <w:lang w:val="de-DE"/>
          </w:rPr>
          <w:fldChar w:fldCharType="separate"/>
        </w:r>
        <w:r>
          <w:rPr>
            <w:rStyle w:val="Emphasis"/>
            <w:i/>
            <w:shd w:fill="auto" w:val="clear"/>
            <w:iCs/>
            <w:lang w:val="de-DE"/>
          </w:rPr>
          <w:delText>17</w:delText>
        </w:r>
        <w:r>
          <w:rPr>
            <w:rStyle w:val="Emphasis"/>
            <w:i/>
            <w:shd w:fill="auto" w:val="clear"/>
            <w:iCs/>
            <w:lang w:val="de-DE"/>
          </w:rPr>
          <w:fldChar w:fldCharType="end"/>
        </w:r>
      </w:del>
      <w:del w:id="283" w:author="Mark Semmler" w:date="2026-01-10T14:46:42Z">
        <w:r>
          <w:rPr>
            <w:rStyle w:val="Emphasis"/>
            <w:i/>
            <w:iCs/>
            <w:shd w:fill="auto" w:val="clear"/>
            <w:lang w:val="de-DE"/>
          </w:rPr>
          <w:delText>) behandelt werden.</w:delText>
        </w:r>
      </w:del>
      <w:del w:id="284" w:author="Mark Semmler" w:date="2026-01-10T14:46:42Z">
        <w:r>
          <w:rPr/>
          <w:commentReference w:id="32"/>
        </w:r>
      </w:del>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7" w:name="__RefHeading___Toc32104_2021121348"/>
      <w:bookmarkStart w:id="868" w:name="_Toc178761405"/>
      <w:bookmarkStart w:id="869" w:name="rl%252525252525252525252525252525252522e"/>
      <w:bookmarkStart w:id="870" w:name="_Toc187327141"/>
      <w:bookmarkStart w:id="871" w:name="_Ref179189000"/>
      <w:bookmarkStart w:id="872" w:name="_Toc178588112"/>
      <w:bookmarkStart w:id="873" w:name="weiterentwicklung"/>
      <w:bookmarkStart w:id="874" w:name="_Toc530662973"/>
      <w:bookmarkStart w:id="875" w:name="_Toc531165108"/>
      <w:bookmarkEnd w:id="867"/>
      <w:bookmarkEnd w:id="869"/>
      <w:r>
        <w:rPr>
          <w:shd w:fill="EEEEEE" w:val="clear"/>
          <w:lang w:val="de-DE"/>
        </w:rPr>
        <w:t>Weiterentwicklung</w:t>
      </w:r>
      <w:bookmarkEnd w:id="868"/>
      <w:bookmarkEnd w:id="870"/>
      <w:bookmarkEnd w:id="871"/>
      <w:bookmarkEnd w:id="872"/>
      <w:bookmarkEnd w:id="873"/>
      <w:bookmarkEnd w:id="874"/>
      <w:bookmarkEnd w:id="875"/>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6" w:name="__RefHeading___Toc32106_2021121348"/>
      <w:bookmarkStart w:id="877" w:name="_Toc178761406"/>
      <w:bookmarkStart w:id="878" w:name="_Toc530662974"/>
      <w:bookmarkStart w:id="879" w:name="_Toc531165109"/>
      <w:bookmarkStart w:id="880" w:name="_Ref179379162"/>
      <w:bookmarkStart w:id="881" w:name="_Toc187327142"/>
      <w:bookmarkStart w:id="882" w:name="_Toc178588113"/>
      <w:bookmarkStart w:id="883" w:name="basisschutz2"/>
      <w:bookmarkStart w:id="884" w:name="rl%252525252525252525252525252525252522f"/>
      <w:bookmarkEnd w:id="876"/>
      <w:bookmarkEnd w:id="884"/>
      <w:r>
        <w:rPr>
          <w:shd w:fill="EEEEEE" w:val="clear"/>
          <w:lang w:val="de-DE"/>
        </w:rPr>
        <w:t>Basisschutz</w:t>
      </w:r>
      <w:bookmarkEnd w:id="877"/>
      <w:bookmarkEnd w:id="878"/>
      <w:bookmarkEnd w:id="879"/>
      <w:bookmarkEnd w:id="880"/>
      <w:bookmarkEnd w:id="881"/>
      <w:bookmarkEnd w:id="882"/>
      <w:bookmarkEnd w:id="883"/>
    </w:p>
    <w:p>
      <w:pPr>
        <w:pStyle w:val="Heading3"/>
        <w:ind w:hanging="0" w:left="0"/>
        <w:rPr>
          <w:shd w:fill="EEEEEE" w:val="clear"/>
        </w:rPr>
      </w:pPr>
      <w:bookmarkStart w:id="885" w:name="__RefHeading___Toc32108_2021121348"/>
      <w:bookmarkStart w:id="886" w:name="_Toc187327143"/>
      <w:bookmarkEnd w:id="885"/>
      <w:r>
        <w:rPr>
          <w:shd w:fill="EEEEEE" w:val="clear"/>
          <w:lang w:val="de-DE"/>
        </w:rPr>
        <w:t>Basisschutz-Maßnahmen</w:t>
      </w:r>
      <w:bookmarkEnd w:id="886"/>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commentRangeStart w:id="33"/>
      <w:r>
        <w:rPr>
          <w:i/>
          <w:iCs/>
          <w:lang w:val="de-DE"/>
        </w:rPr>
        <w:t>Nachrangige Speicherorte, Server, aktive Netzwerkkomponenten und mobile IT-Systeme KÖNNEN von der Umsetzung der Maßnahmen des Basisschutzes generell ausgenommen werden.</w:t>
      </w:r>
      <w:commentRangeEnd w:id="33"/>
      <w:r>
        <w:commentReference w:id="33"/>
      </w:r>
      <w:ins w:id="286" w:author="Mark Semmler" w:date="2026-01-10T14:46:42Z">
        <w:r>
          <w:rPr>
            <w:i/>
            <w:iCs/>
            <w:lang w:val="de-DE"/>
          </w:rPr>
        </w:r>
      </w:ins>
    </w:p>
    <w:p>
      <w:pPr>
        <w:pStyle w:val="Heading3"/>
        <w:ind w:hanging="0" w:left="0"/>
        <w:rPr>
          <w:lang w:val="de-DE"/>
        </w:rPr>
      </w:pPr>
      <w:bookmarkStart w:id="887" w:name="__RefHeading___Toc32110_2021121348"/>
      <w:bookmarkStart w:id="888" w:name="_Toc178761407"/>
      <w:bookmarkStart w:id="889" w:name="_Ref184204739"/>
      <w:bookmarkStart w:id="890" w:name="_Toc187327144"/>
      <w:bookmarkEnd w:id="887"/>
      <w:r>
        <w:rPr>
          <w:lang w:val="de-DE"/>
        </w:rPr>
        <w:t>IT-Systeme für die Datensicherung und -wiederherstellung</w:t>
      </w:r>
      <w:bookmarkEnd w:id="888"/>
      <w:bookmarkEnd w:id="889"/>
      <w:bookmarkEnd w:id="890"/>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1" w:name="__RefHeading___speicherorte_110"/>
      <w:bookmarkStart w:id="892" w:name="_Toc187327145"/>
      <w:bookmarkStart w:id="893" w:name="_Toc530662975"/>
      <w:bookmarkStart w:id="894" w:name="speicherorte"/>
      <w:bookmarkStart w:id="895" w:name="_Toc178761408"/>
      <w:bookmarkStart w:id="896" w:name="_Toc531165110"/>
      <w:bookmarkStart w:id="897" w:name="rl%252525252525252525252525252525252522g"/>
      <w:bookmarkEnd w:id="891"/>
      <w:bookmarkEnd w:id="897"/>
      <w:r>
        <w:rPr>
          <w:shd w:fill="EEEEEE" w:val="clear"/>
          <w:lang w:val="de-DE"/>
        </w:rPr>
        <w:t>Speicherorte</w:t>
      </w:r>
      <w:bookmarkEnd w:id="892"/>
      <w:bookmarkEnd w:id="893"/>
      <w:bookmarkEnd w:id="894"/>
      <w:bookmarkEnd w:id="895"/>
      <w:bookmarkEnd w:id="896"/>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8" w:name="__RefHeading___server_111"/>
      <w:bookmarkStart w:id="899" w:name="rl%252525252525252525252525252525252522h"/>
      <w:bookmarkStart w:id="900" w:name="_Toc178761409"/>
      <w:bookmarkStart w:id="901" w:name="_Toc531165111"/>
      <w:bookmarkStart w:id="902" w:name="server"/>
      <w:bookmarkStart w:id="903" w:name="_Toc530662976"/>
      <w:bookmarkStart w:id="904" w:name="_Toc187327146"/>
      <w:bookmarkEnd w:id="898"/>
      <w:bookmarkEnd w:id="899"/>
      <w:r>
        <w:rPr>
          <w:shd w:fill="EEEEEE" w:val="clear"/>
          <w:lang w:val="de-DE"/>
        </w:rPr>
        <w:t>Server</w:t>
      </w:r>
      <w:bookmarkEnd w:id="900"/>
      <w:bookmarkEnd w:id="901"/>
      <w:bookmarkEnd w:id="902"/>
      <w:bookmarkEnd w:id="903"/>
      <w:bookmarkEnd w:id="904"/>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5" w:name="__RefHeading___aktive_netzwerkkomponente"/>
      <w:bookmarkStart w:id="906" w:name="_Toc178761410"/>
      <w:bookmarkStart w:id="907" w:name="_Toc187327147"/>
      <w:bookmarkStart w:id="908" w:name="aktive_netzwerkkomponenten1"/>
      <w:bookmarkStart w:id="909" w:name="_Toc530662977"/>
      <w:bookmarkStart w:id="910" w:name="_Toc531165112"/>
      <w:bookmarkStart w:id="911" w:name="rl%252525252525252525252525252525252522i"/>
      <w:bookmarkEnd w:id="905"/>
      <w:bookmarkEnd w:id="911"/>
      <w:r>
        <w:rPr>
          <w:shd w:fill="EEEEEE" w:val="clear"/>
          <w:lang w:val="de-DE"/>
        </w:rPr>
        <w:t>Aktive Netzwerkkomponenten</w:t>
      </w:r>
      <w:bookmarkEnd w:id="906"/>
      <w:bookmarkEnd w:id="907"/>
      <w:bookmarkEnd w:id="908"/>
      <w:bookmarkEnd w:id="909"/>
      <w:bookmarkEnd w:id="910"/>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2" w:name="__RefHeading___mobile_it-systeme_113"/>
      <w:bookmarkStart w:id="913" w:name="_Toc530662978"/>
      <w:bookmarkStart w:id="914" w:name="rl%252525252525252525252525252525252522j"/>
      <w:bookmarkStart w:id="915" w:name="_Toc187327148"/>
      <w:bookmarkStart w:id="916" w:name="mobile_it-systeme"/>
      <w:bookmarkStart w:id="917" w:name="_Toc178761411"/>
      <w:bookmarkStart w:id="918" w:name="_Toc531165113"/>
      <w:bookmarkEnd w:id="912"/>
      <w:bookmarkEnd w:id="914"/>
      <w:r>
        <w:rPr>
          <w:shd w:fill="EEEEEE" w:val="clear"/>
          <w:lang w:val="de-DE"/>
        </w:rPr>
        <w:t>Mobile IT-Systeme</w:t>
      </w:r>
      <w:bookmarkEnd w:id="913"/>
      <w:bookmarkEnd w:id="915"/>
      <w:bookmarkEnd w:id="916"/>
      <w:bookmarkEnd w:id="917"/>
      <w:bookmarkEnd w:id="918"/>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9" w:name="__RefHeading___Toc32112_2021121348"/>
      <w:bookmarkStart w:id="920" w:name="_Toc178761412"/>
      <w:bookmarkStart w:id="921" w:name="rl%252525252525252525252525252525252522k"/>
      <w:bookmarkStart w:id="922" w:name="_Toc530662979"/>
      <w:bookmarkStart w:id="923" w:name="_Toc531165114"/>
      <w:bookmarkStart w:id="924" w:name="_Toc187327149"/>
      <w:bookmarkStart w:id="925" w:name="_Toc178588114"/>
      <w:bookmarkEnd w:id="919"/>
      <w:bookmarkEnd w:id="921"/>
      <w:r>
        <w:rPr>
          <w:lang w:val="de-DE"/>
        </w:rPr>
        <w:t>Zusätzliche Maßnahmen für wichtige IT-Systeme</w:t>
      </w:r>
      <w:bookmarkEnd w:id="920"/>
      <w:bookmarkEnd w:id="922"/>
      <w:bookmarkEnd w:id="923"/>
      <w:bookmarkEnd w:id="924"/>
      <w:bookmarkEnd w:id="925"/>
    </w:p>
    <w:p>
      <w:pPr>
        <w:pStyle w:val="Heading3"/>
        <w:ind w:hanging="0" w:left="0"/>
        <w:rPr>
          <w:lang w:val="de-DE"/>
        </w:rPr>
      </w:pPr>
      <w:bookmarkStart w:id="926" w:name="__RefHeading___Toc32114_2021121348"/>
      <w:bookmarkStart w:id="927" w:name="_Ref179187386"/>
      <w:bookmarkStart w:id="928" w:name="_Toc187327150"/>
      <w:bookmarkEnd w:id="926"/>
      <w:r>
        <w:rPr>
          <w:lang w:val="de-DE"/>
        </w:rPr>
        <w:t>Datensicherung</w:t>
      </w:r>
      <w:bookmarkEnd w:id="927"/>
      <w:bookmarkEnd w:id="928"/>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9" w:name="__RefHeading___risikoanalyse_116"/>
      <w:bookmarkStart w:id="930" w:name="_Toc178761413"/>
      <w:bookmarkStart w:id="931" w:name="_Toc531165115"/>
      <w:bookmarkStart w:id="932" w:name="_Toc530662980"/>
      <w:bookmarkStart w:id="933" w:name="risikoanalyse"/>
      <w:bookmarkStart w:id="934" w:name="_Toc187327151"/>
      <w:bookmarkStart w:id="935" w:name="rl%252525252525252525252525252525252522l"/>
      <w:bookmarkEnd w:id="929"/>
      <w:bookmarkEnd w:id="935"/>
      <w:r>
        <w:rPr>
          <w:lang w:val="de-DE"/>
        </w:rPr>
        <w:t>Risiko</w:t>
      </w:r>
      <w:bookmarkEnd w:id="930"/>
      <w:bookmarkEnd w:id="931"/>
      <w:bookmarkEnd w:id="932"/>
      <w:bookmarkEnd w:id="933"/>
      <w:bookmarkEnd w:id="934"/>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6" w:name="__RefHeading___verfahren_117"/>
      <w:bookmarkStart w:id="937" w:name="_Toc531165116"/>
      <w:bookmarkStart w:id="938" w:name="_Toc178761414"/>
      <w:bookmarkStart w:id="939" w:name="_Toc187327152"/>
      <w:bookmarkStart w:id="940" w:name="_Toc530662981"/>
      <w:bookmarkStart w:id="941" w:name="rl%252525252525252525252525252525252522m"/>
      <w:bookmarkStart w:id="942" w:name="verfahren1"/>
      <w:bookmarkEnd w:id="936"/>
      <w:bookmarkEnd w:id="941"/>
      <w:r>
        <w:rPr>
          <w:lang w:val="de-DE"/>
        </w:rPr>
        <w:t>Verfahren</w:t>
      </w:r>
      <w:bookmarkEnd w:id="937"/>
      <w:bookmarkEnd w:id="938"/>
      <w:bookmarkEnd w:id="939"/>
      <w:bookmarkEnd w:id="940"/>
      <w:bookmarkEnd w:id="942"/>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3" w:name="__RefHeading___Toc32116_2021121348"/>
      <w:bookmarkStart w:id="944" w:name="stoerungen_und_ausfaelle_Copy_1_Copy_1_C"/>
      <w:bookmarkStart w:id="945" w:name="_Ref179186901"/>
      <w:bookmarkStart w:id="946" w:name="_Ref179187629"/>
      <w:bookmarkStart w:id="947" w:name="_Ref179188750"/>
      <w:bookmarkStart w:id="948" w:name="_Toc187327153"/>
      <w:bookmarkStart w:id="949" w:name="_Toc178761415"/>
      <w:bookmarkStart w:id="950" w:name="_Toc530662982_Copy_1_Copy_1_Copy_1_Copy_"/>
      <w:bookmarkStart w:id="951" w:name="_Toc531165117_Copy_1_Copy_1_Copy_1_Copy_"/>
      <w:bookmarkStart w:id="952" w:name="_Ref179378695"/>
      <w:bookmarkStart w:id="953" w:name="_Ref178761991"/>
      <w:bookmarkStart w:id="954" w:name="_Toc178588115"/>
      <w:bookmarkEnd w:id="943"/>
      <w:bookmarkEnd w:id="944"/>
      <w:bookmarkEnd w:id="950"/>
      <w:bookmarkEnd w:id="951"/>
      <w:r>
        <w:rPr>
          <w:lang w:val="de-DE"/>
        </w:rPr>
        <w:t>Sicherheitsvorfälle</w:t>
      </w:r>
      <w:bookmarkEnd w:id="945"/>
      <w:bookmarkEnd w:id="946"/>
      <w:bookmarkEnd w:id="947"/>
      <w:bookmarkEnd w:id="948"/>
      <w:bookmarkEnd w:id="949"/>
      <w:bookmarkEnd w:id="952"/>
      <w:bookmarkEnd w:id="953"/>
      <w:bookmarkEnd w:id="954"/>
    </w:p>
    <w:p>
      <w:pPr>
        <w:pStyle w:val="Heading2"/>
        <w:ind w:hanging="0" w:left="0"/>
        <w:rPr>
          <w:shd w:fill="EEEEEE" w:val="clear"/>
        </w:rPr>
      </w:pPr>
      <w:bookmarkStart w:id="955" w:name="__RefHeading___Toc32118_2021121348"/>
      <w:bookmarkStart w:id="956" w:name="_Toc187327154"/>
      <w:bookmarkEnd w:id="955"/>
      <w:bookmarkEnd w:id="956"/>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7" w:name="__RefHeading___Toc32120_2021121348"/>
      <w:bookmarkStart w:id="958" w:name="_Toc178761416"/>
      <w:bookmarkStart w:id="959" w:name="rl%252525252525252525252525252525252522n"/>
      <w:bookmarkStart w:id="960" w:name="_Toc178588116"/>
      <w:bookmarkStart w:id="961" w:name="_Toc530662983"/>
      <w:bookmarkStart w:id="962" w:name="_Toc187327155"/>
      <w:bookmarkStart w:id="963" w:name="is-richtlinie4"/>
      <w:bookmarkStart w:id="964" w:name="_Toc531165118"/>
      <w:bookmarkEnd w:id="957"/>
      <w:bookmarkEnd w:id="959"/>
      <w:r>
        <w:rPr>
          <w:lang w:val="de-DE"/>
        </w:rPr>
        <w:t>IS-Richtlinie</w:t>
      </w:r>
      <w:bookmarkEnd w:id="958"/>
      <w:bookmarkEnd w:id="960"/>
      <w:bookmarkEnd w:id="961"/>
      <w:bookmarkEnd w:id="962"/>
      <w:bookmarkEnd w:id="963"/>
      <w:bookmarkEnd w:id="9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5" w:name="__RefHeading___Toc32122_2021121348"/>
      <w:bookmarkStart w:id="966" w:name="_Toc187327156"/>
      <w:bookmarkStart w:id="967" w:name="_Toc178588117"/>
      <w:bookmarkStart w:id="968" w:name="_Toc178761417"/>
      <w:bookmarkEnd w:id="965"/>
      <w:r>
        <w:rPr>
          <w:shd w:fill="EEEEEE" w:val="clear"/>
          <w:lang w:val="de-DE"/>
        </w:rPr>
        <w:t>Erkennen</w:t>
      </w:r>
      <w:bookmarkEnd w:id="966"/>
      <w:bookmarkEnd w:id="967"/>
      <w:bookmarkEnd w:id="968"/>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9" w:name="__RefHeading___Toc32124_2021121348"/>
      <w:bookmarkStart w:id="970" w:name="_Toc530662984"/>
      <w:bookmarkStart w:id="971" w:name="_Toc178761418"/>
      <w:bookmarkStart w:id="972" w:name="_Toc531165119"/>
      <w:bookmarkStart w:id="973" w:name="_Toc178588118"/>
      <w:bookmarkStart w:id="974" w:name="_Toc187327157"/>
      <w:bookmarkStart w:id="975" w:name="reaktion"/>
      <w:bookmarkEnd w:id="969"/>
      <w:r>
        <w:rPr>
          <w:lang w:val="de-DE"/>
        </w:rPr>
        <w:t>Reaktion</w:t>
      </w:r>
      <w:bookmarkEnd w:id="970"/>
      <w:bookmarkEnd w:id="971"/>
      <w:bookmarkEnd w:id="972"/>
      <w:bookmarkEnd w:id="973"/>
      <w:bookmarkEnd w:id="974"/>
      <w:bookmarkEnd w:id="975"/>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ins w:id="287" w:author="Mark Semmler" w:date="2026-01-10T14:46:42Z">
        <w:r>
          <w:rPr>
            <w:shd w:fill="EEEEEE" w:val="clear"/>
            <w:lang w:val="de-DE"/>
          </w:rPr>
          <w:t>Bei Bedarf werden Beweismittel</w:t>
        </w:r>
      </w:ins>
      <w:del w:id="288" w:author="Mark Semmler" w:date="2026-01-10T14:46:42Z">
        <w:r>
          <w:rPr>
            <w:shd w:fill="EEEEEE" w:val="clear"/>
            <w:lang w:val="de-DE"/>
          </w:rPr>
          <w:delText>Beweismittel werden</w:delText>
        </w:r>
      </w:del>
      <w:r>
        <w:rPr>
          <w:shd w:fill="EEEEEE" w:val="clear"/>
          <w:lang w:val="de-DE"/>
        </w:rPr>
        <w:t xml:space="preserve">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del w:id="289" w:author="Mark Semmler" w:date="2026-01-10T14:46:42Z">
        <w:r>
          <w:rPr>
            <w:shd w:fill="EEEEEE" w:val="clear"/>
            <w:lang w:val="de-DE"/>
          </w:rPr>
          <w:commentReference w:id="34"/>
        </w:r>
      </w:del>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w:t>
      </w:r>
      <w:ins w:id="290" w:author="Mark Semmler" w:date="2026-01-10T14:46:42Z">
        <w:r>
          <w:rPr>
            <w:rStyle w:val="Emphasis"/>
            <w:rFonts w:eastAsia="Arial" w:cs="DejaVu Sans"/>
            <w:i/>
            <w:iCs/>
            <w:color w:val="auto"/>
            <w:kern w:val="0"/>
            <w:sz w:val="20"/>
            <w:szCs w:val="22"/>
            <w:lang w:val="de-DE" w:eastAsia="en-US" w:bidi="ar-SA"/>
          </w:rPr>
          <w:t> </w:t>
        </w:r>
      </w:ins>
      <w:del w:id="291" w:author="Mark Semmler" w:date="2026-01-10T14:46:42Z">
        <w:r>
          <w:rPr>
            <w:rStyle w:val="Emphasis"/>
            <w:rFonts w:eastAsia="Arial" w:cs="DejaVu Sans"/>
            <w:i/>
            <w:color w:val="auto"/>
            <w:kern w:val="0"/>
            <w:sz w:val="20"/>
            <w:szCs w:val="22"/>
            <w:lang w:val="de-DE" w:eastAsia="en-US" w:bidi="ar-SA"/>
          </w:rPr>
          <w:delText xml:space="preserve"> </w:delText>
        </w:r>
      </w:del>
      <w:r>
        <w:rPr>
          <w:rStyle w:val="Emphasis"/>
          <w:rFonts w:eastAsia="Arial" w:cs="DejaVu Sans"/>
          <w:i/>
          <w:iCs/>
          <w:color w:val="auto"/>
          <w:kern w:val="0"/>
          <w:sz w:val="20"/>
          <w:szCs w:val="22"/>
          <w:lang w:val="de-DE" w:eastAsia="en-US" w:bidi="ar-SA"/>
        </w:rPr>
        <w:t>B.</w:t>
      </w:r>
      <w:r>
        <w:rPr>
          <w:rStyle w:val="Emphasis"/>
          <w:i/>
          <w:lang w:val="de-DE"/>
        </w:rPr>
        <w:t xml:space="preserve">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w:t>
      </w:r>
      <w:ins w:id="292" w:author="Mark Semmler" w:date="2026-01-10T14:46:42Z">
        <w:r>
          <w:rPr>
            <w:rStyle w:val="Emphasis"/>
            <w:rFonts w:eastAsia="Arial" w:cs="DejaVu Sans"/>
            <w:i/>
            <w:iCs/>
            <w:color w:val="auto"/>
            <w:kern w:val="0"/>
            <w:sz w:val="20"/>
            <w:szCs w:val="22"/>
            <w:lang w:val="de-DE" w:eastAsia="en-US" w:bidi="ar-SA"/>
          </w:rPr>
          <w:t> </w:t>
        </w:r>
      </w:ins>
      <w:del w:id="293" w:author="Mark Semmler" w:date="2026-01-10T14:46:42Z">
        <w:r>
          <w:rPr>
            <w:rStyle w:val="Emphasis"/>
            <w:rFonts w:eastAsia="Arial" w:cs="DejaVu Sans"/>
            <w:i/>
            <w:color w:val="auto"/>
            <w:kern w:val="0"/>
            <w:sz w:val="20"/>
            <w:szCs w:val="22"/>
            <w:lang w:val="de-DE" w:eastAsia="en-US" w:bidi="ar-SA"/>
          </w:rPr>
          <w:delText xml:space="preserve"> </w:delText>
        </w:r>
      </w:del>
      <w:r>
        <w:rPr>
          <w:rStyle w:val="Emphasis"/>
          <w:rFonts w:eastAsia="Arial" w:cs="DejaVu Sans"/>
          <w:i/>
          <w:iCs/>
          <w:color w:val="auto"/>
          <w:kern w:val="0"/>
          <w:sz w:val="20"/>
          <w:szCs w:val="22"/>
          <w:lang w:val="de-DE" w:eastAsia="en-US" w:bidi="ar-SA"/>
        </w:rPr>
        <w:t>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6" w:name="__RefHeading___Toc42893_2021121348_Copy_"/>
      <w:bookmarkEnd w:id="976"/>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r>
        <w:rPr>
          <w:rFonts w:eastAsia="Arial" w:cs="DejaVu Sans"/>
          <w:i/>
          <w:color w:val="auto"/>
          <w:kern w:val="0"/>
          <w:sz w:val="20"/>
          <w:szCs w:val="22"/>
          <w:lang w:val="de-DE" w:eastAsia="en-US" w:bidi="ar-SA"/>
        </w:rPr>
        <w:t>z.</w:t>
      </w:r>
      <w:ins w:id="294" w:author="Mark Semmler" w:date="2026-01-10T14:46:42Z">
        <w:r>
          <w:rPr>
            <w:rFonts w:eastAsia="Arial" w:cs="DejaVu Sans"/>
            <w:i/>
            <w:color w:val="auto"/>
            <w:kern w:val="0"/>
            <w:sz w:val="20"/>
            <w:szCs w:val="22"/>
            <w:lang w:val="de-DE" w:eastAsia="en-US" w:bidi="ar-SA"/>
          </w:rPr>
          <w:t> </w:t>
        </w:r>
      </w:ins>
      <w:del w:id="295" w:author="Mark Semmler" w:date="2026-01-10T14:46:42Z">
        <w:r>
          <w:rPr>
            <w:rFonts w:eastAsia="Arial" w:cs="DejaVu Sans"/>
            <w:i/>
            <w:color w:val="auto"/>
            <w:kern w:val="0"/>
            <w:sz w:val="20"/>
            <w:szCs w:val="22"/>
            <w:lang w:val="de-DE" w:eastAsia="en-US" w:bidi="ar-SA"/>
          </w:rPr>
          <w:delText xml:space="preserve"> </w:delText>
        </w:r>
      </w:del>
      <w:r>
        <w:rPr>
          <w:rFonts w:eastAsia="Arial" w:cs="DejaVu Sans"/>
          <w:i/>
          <w:color w:val="auto"/>
          <w:kern w:val="0"/>
          <w:sz w:val="20"/>
          <w:szCs w:val="22"/>
          <w:lang w:val="de-DE" w:eastAsia="en-US" w:bidi="ar-SA"/>
        </w:rPr>
        <w:t>B.</w:t>
      </w:r>
      <w:r>
        <w:rPr>
          <w:lang w:val="de-DE"/>
        </w:rPr>
        <w:t xml:space="preserve">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77" w:name="__RefHeading___wiederanlaufplaene_123_Co"/>
      <w:bookmarkStart w:id="978" w:name="_Toc178761420_Copy_1"/>
      <w:bookmarkStart w:id="979" w:name="_Toc531165121_Copy_1"/>
      <w:bookmarkStart w:id="980" w:name="_Toc530662986_Copy_1"/>
      <w:bookmarkStart w:id="981" w:name="wiederanlaufplaene_Copy_1"/>
      <w:bookmarkStart w:id="982" w:name="_Toc187327160_Copy_1"/>
      <w:bookmarkStart w:id="983" w:name="rl%252525252525252525252525252525252522o"/>
      <w:bookmarkEnd w:id="977"/>
      <w:bookmarkEnd w:id="983"/>
      <w:r>
        <w:rPr>
          <w:lang w:val="de-DE"/>
        </w:rPr>
        <w:t>Wiederanlaufpläne</w:t>
      </w:r>
      <w:bookmarkEnd w:id="978"/>
      <w:bookmarkEnd w:id="979"/>
      <w:bookmarkEnd w:id="980"/>
      <w:bookmarkEnd w:id="981"/>
      <w:bookmarkEnd w:id="982"/>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84" w:name="__RefHeading___abhaengigkeiten_124_Copy_"/>
      <w:bookmarkStart w:id="985" w:name="rl%252525252525252525252525252525252522p"/>
      <w:bookmarkStart w:id="986" w:name="_Toc530662987_Copy_1"/>
      <w:bookmarkStart w:id="987" w:name="_Toc531165122_Copy_1"/>
      <w:bookmarkStart w:id="988" w:name="_Toc187327161_Copy_1"/>
      <w:bookmarkStart w:id="989" w:name="_Toc178761421_Copy_1"/>
      <w:bookmarkStart w:id="990" w:name="abhaengigkeiten_Copy_1"/>
      <w:bookmarkEnd w:id="984"/>
      <w:bookmarkEnd w:id="985"/>
      <w:r>
        <w:rPr>
          <w:shd w:fill="auto" w:val="clear"/>
          <w:lang w:val="de-DE"/>
        </w:rPr>
        <w:t>Abhängigkeiten</w:t>
      </w:r>
      <w:bookmarkEnd w:id="986"/>
      <w:bookmarkEnd w:id="987"/>
      <w:bookmarkEnd w:id="988"/>
      <w:bookmarkEnd w:id="989"/>
      <w:bookmarkEnd w:id="990"/>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tru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91" w:name="del_testsdel1"/>
      <w:bookmarkEnd w:id="991"/>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92" w:name="__RefHeading___Toc32116_2021121348_Copy_"/>
      <w:bookmarkEnd w:id="992"/>
      <w:r>
        <w:rPr/>
        <w:t>IT-Krisen</w:t>
      </w:r>
    </w:p>
    <w:p>
      <w:pPr>
        <w:pStyle w:val="Heading2"/>
        <w:ind w:hanging="0" w:left="0"/>
        <w:rPr>
          <w:shd w:fill="auto" w:val="clear"/>
        </w:rPr>
      </w:pPr>
      <w:bookmarkStart w:id="993" w:name="__RefHeading___Toc36621_3811123099"/>
      <w:bookmarkEnd w:id="993"/>
      <w:r>
        <w:rPr>
          <w:shd w:fill="auto" w:val="clear"/>
        </w:rPr>
        <w:t>Grundlagen</w:t>
      </w:r>
    </w:p>
    <w:p>
      <w:pPr>
        <w:pStyle w:val="Normal"/>
        <w:rPr>
          <w:shd w:fill="auto" w:val="clear"/>
        </w:rPr>
      </w:pPr>
      <w:commentRangeStart w:id="35"/>
      <w:ins w:id="296" w:author="Mark Semmler" w:date="2026-01-10T14:46:42Z">
        <w:r>
          <w:rPr>
            <w:shd w:fill="auto" w:val="clear"/>
          </w:rPr>
          <w:t>Eine</w:t>
        </w:r>
      </w:ins>
      <w:del w:id="297" w:author="Mark Semmler" w:date="2026-01-10T14:46:42Z">
        <w:r>
          <w:rPr>
            <w:shd w:fill="auto" w:val="clear"/>
          </w:rPr>
          <w:delText>Die</w:delText>
        </w:r>
      </w:del>
      <w:r>
        <w:rPr>
          <w:shd w:fill="auto" w:val="clear"/>
        </w:rPr>
        <w:t xml:space="preserve"> strukturierte Vorbereitung ermöglicht es, </w:t>
      </w:r>
      <w:ins w:id="298" w:author="Mark Semmler" w:date="2026-01-10T14:46:42Z">
        <w:r>
          <w:rPr>
            <w:shd w:fill="auto" w:val="clear"/>
          </w:rPr>
          <w:t xml:space="preserve">schnell </w:t>
        </w:r>
      </w:ins>
      <w:r>
        <w:rPr>
          <w:shd w:fill="auto" w:val="clear"/>
        </w:rPr>
        <w:t xml:space="preserve">auf Krisen die für oder durch die IT entstehen </w:t>
      </w:r>
      <w:del w:id="299" w:author="Mark Semmler" w:date="2026-01-10T14:46:42Z">
        <w:r>
          <w:rPr>
            <w:shd w:fill="auto" w:val="clear"/>
          </w:rPr>
          <w:delText xml:space="preserve">und die mit der normalen Aufbauorganisation nicht bewältigt werden können, schnell </w:delText>
        </w:r>
      </w:del>
      <w:r>
        <w:rPr>
          <w:shd w:fill="auto" w:val="clear"/>
        </w:rPr>
        <w:t>zu reagieren, Schäden zu begrenzen und die Handlungsfähigkeit der Organisation wieder herzustellen.</w:t>
      </w:r>
      <w:ins w:id="300" w:author="Mark Semmler" w:date="2026-01-10T14:46:42Z">
        <w:r>
          <w:rPr>
            <w:shd w:fill="auto" w:val="clear"/>
          </w:rPr>
        </w:r>
      </w:ins>
      <w:commentRangeEnd w:id="35"/>
      <w:r>
        <w:commentReference w:id="35"/>
      </w:r>
      <w:ins w:id="301" w:author="Mark Semmler" w:date="2026-01-10T14:42:51Z">
        <w:r>
          <w:rPr/>
          <w:commentReference w:id="36"/>
        </w:r>
      </w:ins>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94" w:name="__RefHeading___Toc32120_2021121348_Copy_"/>
      <w:bookmarkStart w:id="995" w:name="_Toc530662983_Copy_1"/>
      <w:bookmarkStart w:id="996" w:name="rl%252525252525252525252525252525252522q"/>
      <w:bookmarkStart w:id="997" w:name="is-richtlinie4_Copy_1"/>
      <w:bookmarkStart w:id="998" w:name="_Toc187327155_Copy_1"/>
      <w:bookmarkStart w:id="999" w:name="_Toc531165118_Copy_1"/>
      <w:bookmarkStart w:id="1000" w:name="_Toc178588116_Copy_1"/>
      <w:bookmarkStart w:id="1001" w:name="_Toc178761416_Copy_1"/>
      <w:bookmarkEnd w:id="994"/>
      <w:bookmarkEnd w:id="996"/>
      <w:r>
        <w:rPr>
          <w:shd w:fill="auto" w:val="clear"/>
          <w:lang w:val="de-DE"/>
        </w:rPr>
        <w:t>IS-Richtlinie</w:t>
      </w:r>
      <w:bookmarkEnd w:id="995"/>
      <w:bookmarkEnd w:id="997"/>
      <w:bookmarkEnd w:id="998"/>
      <w:bookmarkEnd w:id="999"/>
      <w:bookmarkEnd w:id="1000"/>
      <w:bookmarkEnd w:id="1001"/>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4"/>
        </w:numPr>
        <w:rPr>
          <w:shd w:fill="auto" w:val="clear"/>
          <w:lang w:val="de-DE"/>
        </w:rPr>
      </w:pPr>
      <w:ins w:id="302" w:author="Mark Semmler" w:date="2026-01-10T14:46:42Z">
        <w:r>
          <w:rPr>
            <w:shd w:fill="auto" w:val="clear"/>
            <w:lang w:val="de-DE"/>
          </w:rPr>
          <w:t xml:space="preserve">Alle </w:t>
        </w:r>
      </w:ins>
      <w:r>
        <w:rPr>
          <w:shd w:fill="auto" w:val="clear"/>
          <w:lang w:val="de-DE"/>
        </w:rPr>
        <w:t>Mitarbeiter unterstützen bei Bedarf das IT-Krisenteam und den IT-Krisenmanager.</w:t>
      </w:r>
    </w:p>
    <w:p>
      <w:pPr>
        <w:pStyle w:val="10000-DefaultParagraph"/>
        <w:numPr>
          <w:ilvl w:val="0"/>
          <w:numId w:val="64"/>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1002" w:name="__RefHeading___Toc7665_3136084842"/>
      <w:bookmarkEnd w:id="1002"/>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5"/>
        </w:numPr>
        <w:rPr>
          <w:shd w:fill="auto" w:val="clear"/>
          <w:lang w:val="de-DE"/>
        </w:rPr>
      </w:pPr>
      <w:r>
        <w:rPr>
          <w:shd w:fill="auto" w:val="clear"/>
          <w:lang w:val="de-DE"/>
        </w:rPr>
        <w:t>Es wird ein Überblick über die Situation gewonnen.</w:t>
      </w:r>
    </w:p>
    <w:p>
      <w:pPr>
        <w:pStyle w:val="10000-DefaultParagraph"/>
        <w:numPr>
          <w:ilvl w:val="0"/>
          <w:numId w:val="65"/>
        </w:numPr>
        <w:rPr/>
      </w:pPr>
      <w:r>
        <w:rPr>
          <w:shd w:fill="auto" w:val="clear"/>
          <w:lang w:val="de-DE"/>
        </w:rPr>
        <w:t>Der IT-Krisenmanager ruft den IT-Krisenfall aus.</w:t>
      </w:r>
    </w:p>
    <w:p>
      <w:pPr>
        <w:pStyle w:val="10000-DefaultParagraph"/>
        <w:numPr>
          <w:ilvl w:val="0"/>
          <w:numId w:val="65"/>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5"/>
        </w:numPr>
        <w:rPr>
          <w:shd w:fill="auto" w:val="clear"/>
          <w:lang w:val="de-DE"/>
        </w:rPr>
      </w:pPr>
      <w:r>
        <w:rPr>
          <w:shd w:fill="auto" w:val="clear"/>
          <w:lang w:val="de-DE"/>
        </w:rPr>
        <w:t>Der Schaden wird durch Sofortmaßnahmen eingedämmt.</w:t>
      </w:r>
    </w:p>
    <w:p>
      <w:pPr>
        <w:pStyle w:val="10000-DefaultParagraph"/>
        <w:numPr>
          <w:ilvl w:val="0"/>
          <w:numId w:val="65"/>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5"/>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5"/>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w:t>
      </w:r>
      <w:ins w:id="303" w:author="Mark Semmler" w:date="2026-01-10T14:46:42Z">
        <w:r>
          <w:rPr>
            <w:rFonts w:eastAsia="Arial" w:cs="DejaVu Sans"/>
            <w:color w:val="auto"/>
            <w:kern w:val="0"/>
            <w:sz w:val="20"/>
            <w:szCs w:val="22"/>
            <w:shd w:fill="auto" w:val="clear"/>
            <w:lang w:val="de-DE" w:eastAsia="en-US" w:bidi="ar-SA"/>
          </w:rPr>
          <w:t> </w:t>
        </w:r>
      </w:ins>
      <w:del w:id="304" w:author="Mark Semmler" w:date="2026-01-10T14:46:42Z">
        <w:r>
          <w:rPr>
            <w:rFonts w:eastAsia="Arial" w:cs="DejaVu Sans"/>
            <w:color w:val="auto"/>
            <w:kern w:val="0"/>
            <w:sz w:val="20"/>
            <w:szCs w:val="22"/>
            <w:shd w:fill="auto" w:val="clear"/>
            <w:lang w:val="de-DE" w:eastAsia="en-US" w:bidi="ar-SA"/>
          </w:rPr>
          <w:delText xml:space="preserve"> </w:delText>
        </w:r>
      </w:del>
      <w:r>
        <w:rPr>
          <w:rFonts w:eastAsia="Arial" w:cs="DejaVu Sans"/>
          <w:color w:val="auto"/>
          <w:kern w:val="0"/>
          <w:sz w:val="20"/>
          <w:szCs w:val="22"/>
          <w:shd w:fill="auto" w:val="clear"/>
          <w:lang w:val="de-DE" w:eastAsia="en-US" w:bidi="ar-SA"/>
        </w:rPr>
        <w:t>B.</w:t>
      </w:r>
      <w:r>
        <w:rPr>
          <w:shd w:fill="auto" w:val="clear"/>
          <w:lang w:val="de-DE"/>
        </w:rPr>
        <w:t xml:space="preserve"> durch ihre zyklische Rotation, die Bereitstellung von Verpflegung, Ruhezeiten und/oder durch Supervision.</w:t>
      </w:r>
    </w:p>
    <w:p>
      <w:pPr>
        <w:pStyle w:val="10000-DefaultParagraph"/>
        <w:numPr>
          <w:ilvl w:val="0"/>
          <w:numId w:val="65"/>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5"/>
        </w:numPr>
        <w:rPr>
          <w:shd w:fill="auto" w:val="clear"/>
          <w:lang w:val="de-DE"/>
        </w:rPr>
      </w:pPr>
      <w:r>
        <w:rPr>
          <w:shd w:fill="auto" w:val="clear"/>
          <w:lang w:val="de-DE"/>
        </w:rPr>
        <w:t xml:space="preserve">Die Entwicklung der Krise, die Reaktionen auf sie und der entstandene Schaden werden so dokumentiert, dass die Organisation ihre Informationspflichten erfüllen und die Krise </w:t>
      </w:r>
      <w:ins w:id="305" w:author="Mark Semmler" w:date="2026-01-10T14:46:42Z">
        <w:r>
          <w:rPr>
            <w:shd w:fill="auto" w:val="clear"/>
            <w:lang w:val="de-DE"/>
          </w:rPr>
          <w:t>nachbereiten</w:t>
        </w:r>
      </w:ins>
      <w:del w:id="306" w:author="Mark Semmler" w:date="2026-01-10T14:46:42Z">
        <w:r>
          <w:rPr>
            <w:shd w:fill="auto" w:val="clear"/>
            <w:lang w:val="de-DE"/>
          </w:rPr>
          <w:delText>Nachbereitung</w:delText>
        </w:r>
      </w:del>
      <w:r>
        <w:rPr>
          <w:shd w:fill="auto" w:val="clear"/>
          <w:lang w:val="de-DE"/>
        </w:rPr>
        <w:t xml:space="preserve"> kann.</w:t>
      </w:r>
    </w:p>
    <w:p>
      <w:pPr>
        <w:pStyle w:val="10000-DefaultParagraph"/>
        <w:numPr>
          <w:ilvl w:val="0"/>
          <w:numId w:val="65"/>
        </w:numPr>
        <w:rPr>
          <w:shd w:fill="auto" w:val="clear"/>
          <w:lang w:val="de-DE"/>
        </w:rPr>
      </w:pPr>
      <w:ins w:id="307" w:author="Mark Semmler" w:date="2026-01-10T14:46:42Z">
        <w:r>
          <w:rPr>
            <w:shd w:fill="EEEEEE" w:val="clear"/>
            <w:lang w:val="de-DE"/>
          </w:rPr>
          <w:t>Bei Bedarf</w:t>
        </w:r>
      </w:ins>
      <w:del w:id="308" w:author="Mark Semmler" w:date="2026-01-10T14:46:42Z">
        <w:r>
          <w:rPr>
            <w:shd w:fill="auto" w:val="clear"/>
            <w:lang w:val="de-DE"/>
          </w:rPr>
          <w:delText>Ggf.</w:delText>
        </w:r>
      </w:del>
      <w:r>
        <w:rPr>
          <w:shd w:fill="EEEEEE" w:val="clear"/>
          <w:lang w:val="de-DE"/>
        </w:rPr>
        <w:t xml:space="preserve"> werden Beweismittel gesichert.</w:t>
      </w:r>
    </w:p>
    <w:p>
      <w:pPr>
        <w:pStyle w:val="10000-DefaultParagraph"/>
        <w:numPr>
          <w:ilvl w:val="0"/>
          <w:numId w:val="65"/>
        </w:numPr>
        <w:rPr>
          <w:shd w:fill="auto" w:val="clear"/>
        </w:rPr>
      </w:pPr>
      <w:r>
        <w:rPr>
          <w:shd w:fill="auto" w:val="clear"/>
        </w:rPr>
        <w:t xml:space="preserve">Es findet eine Nachbereitung statt, bei der die Ursachen der IT-Krise ermittelt, ihre Bewältigung bewertet und konkrete Verbesserungen </w:t>
      </w:r>
      <w:del w:id="309" w:author="Mark Semmler" w:date="2026-01-10T14:46:42Z">
        <w:r>
          <w:rPr>
            <w:shd w:fill="auto" w:val="clear"/>
          </w:rPr>
          <w:commentReference w:id="37"/>
        </w:r>
      </w:del>
      <w:r>
        <w:rPr>
          <w:shd w:fill="auto" w:val="clear"/>
        </w:rPr>
        <w:t>erarbeitet werden.</w:t>
      </w:r>
    </w:p>
    <w:p>
      <w:pPr>
        <w:pStyle w:val="10000-DefaultParagraph"/>
        <w:numPr>
          <w:ilvl w:val="0"/>
          <w:numId w:val="65"/>
        </w:numPr>
        <w:rPr>
          <w:shd w:fill="auto" w:val="clear"/>
        </w:rPr>
      </w:pPr>
      <w:r>
        <w:rPr>
          <w:shd w:fill="auto" w:val="clear"/>
        </w:rPr>
        <w:t>Das Verfahren ist auch bei IT-Krisen schnell verfügbar.</w:t>
      </w:r>
    </w:p>
    <w:p>
      <w:pPr>
        <w:pStyle w:val="Heading2"/>
        <w:ind w:hanging="0" w:left="0"/>
        <w:rPr/>
      </w:pPr>
      <w:bookmarkStart w:id="1003" w:name="__RefHeading___Toc30030_597644758"/>
      <w:bookmarkEnd w:id="1003"/>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xml:space="preserve">) </w:t>
      </w:r>
      <w:ins w:id="310" w:author="Mark Semmler" w:date="2026-01-10T14:46:42Z">
        <w:r>
          <w:rPr/>
          <w:t>zur individuellen Krisenbewältigung implementiert werden</w:t>
        </w:r>
      </w:ins>
      <w:del w:id="311" w:author="Mark Semmler" w:date="2026-01-10T14:46:42Z">
        <w:r>
          <w:rPr/>
          <w:delText>implementiert werden, um sich auf deren Bewältigung individuell vorzubereiten</w:delText>
        </w:r>
      </w:del>
      <w:r>
        <w:rPr/>
        <w:t>.</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9"/>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9"/>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t>
      </w:r>
      <w:del w:id="312" w:author="Mark Semmler" w:date="2026-01-10T14:46:42Z">
        <w:r>
          <w:rPr>
            <w:rStyle w:val="Emphasis"/>
            <w:i/>
            <w:iCs/>
            <w:shd w:fill="auto" w:val="clear"/>
            <w:lang w:val="de-DE"/>
          </w:rPr>
          <w:delText>(</w:delText>
        </w:r>
      </w:del>
      <w:r>
        <w:rPr>
          <w:rStyle w:val="Emphasis"/>
          <w:i/>
          <w:iCs/>
          <w:shd w:fill="auto" w:val="clear"/>
          <w:lang w:val="de-DE"/>
        </w:rPr>
        <w:t xml:space="preserve">wie </w:t>
      </w:r>
      <w:r>
        <w:rPr>
          <w:rStyle w:val="Emphasis"/>
          <w:rFonts w:eastAsia="Arial" w:cs="DejaVu Sans"/>
          <w:i/>
          <w:iCs/>
          <w:color w:val="auto"/>
          <w:kern w:val="0"/>
          <w:sz w:val="20"/>
          <w:szCs w:val="22"/>
          <w:shd w:fill="auto" w:val="clear"/>
          <w:lang w:val="de-DE" w:eastAsia="en-US" w:bidi="ar-SA"/>
        </w:rPr>
        <w:t>z.</w:t>
      </w:r>
      <w:ins w:id="313" w:author="Mark Semmler" w:date="2026-01-10T14:46:42Z">
        <w:r>
          <w:rPr>
            <w:rStyle w:val="Emphasis"/>
            <w:rFonts w:eastAsia="Arial" w:cs="DejaVu Sans"/>
            <w:i/>
            <w:iCs/>
            <w:color w:val="auto"/>
            <w:kern w:val="0"/>
            <w:sz w:val="20"/>
            <w:szCs w:val="22"/>
            <w:shd w:fill="auto" w:val="clear"/>
            <w:lang w:val="de-DE" w:eastAsia="en-US" w:bidi="ar-SA"/>
          </w:rPr>
          <w:t> </w:t>
        </w:r>
      </w:ins>
      <w:del w:id="314" w:author="Mark Semmler" w:date="2026-01-10T14:46:42Z">
        <w:r>
          <w:rPr>
            <w:rStyle w:val="Emphasis"/>
            <w:rFonts w:eastAsia="Arial" w:cs="DejaVu Sans"/>
            <w:i/>
            <w:iCs/>
            <w:color w:val="auto"/>
            <w:kern w:val="0"/>
            <w:sz w:val="20"/>
            <w:szCs w:val="22"/>
            <w:shd w:fill="auto" w:val="clear"/>
            <w:lang w:val="de-DE" w:eastAsia="en-US" w:bidi="ar-SA"/>
          </w:rPr>
          <w:delText xml:space="preserve"> </w:delText>
        </w:r>
      </w:del>
      <w:r>
        <w:rPr>
          <w:rStyle w:val="Emphasis"/>
          <w:rFonts w:eastAsia="Arial" w:cs="DejaVu Sans"/>
          <w:i/>
          <w:iCs/>
          <w:color w:val="auto"/>
          <w:kern w:val="0"/>
          <w:sz w:val="20"/>
          <w:szCs w:val="22"/>
          <w:shd w:fill="auto" w:val="clear"/>
          <w:lang w:val="de-DE" w:eastAsia="en-US" w:bidi="ar-SA"/>
        </w:rPr>
        <w:t>B.</w:t>
      </w:r>
      <w:r>
        <w:rPr>
          <w:rStyle w:val="Emphasis"/>
          <w:i/>
          <w:iCs/>
          <w:shd w:fill="auto" w:val="clear"/>
          <w:lang w:val="de-DE"/>
        </w:rPr>
        <w:t xml:space="preserve"> Wiederanlaufpläne </w:t>
      </w:r>
      <w:ins w:id="315" w:author="Mark Semmler" w:date="2026-01-10T14:46:42Z">
        <w:r>
          <w:rPr>
            <w:rStyle w:val="Emphasis"/>
            <w:i/>
            <w:iCs/>
            <w:shd w:fill="auto" w:val="clear"/>
            <w:lang w:val="de-DE"/>
          </w:rPr>
          <w:t xml:space="preserve">(siehe Abschnitt </w:t>
        </w:r>
      </w:ins>
      <w:ins w:id="316" w:author="Mark Semmler" w:date="2026-01-10T14:46:42Z">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ins>
      <w:ins w:id="317" w:author="Mark Semmler" w:date="2026-01-10T14:46:42Z">
        <w:r>
          <w:rPr>
            <w:rStyle w:val="Emphasis"/>
            <w:i/>
            <w:iCs/>
            <w:shd w:fill="auto" w:val="clear"/>
            <w:lang w:val="de-DE"/>
          </w:rPr>
          <w:t xml:space="preserve">) oder </w:t>
        </w:r>
      </w:ins>
      <w:del w:id="318" w:author="Mark Semmler" w:date="2026-01-10T14:46:42Z">
        <w:r>
          <w:rPr>
            <w:rStyle w:val="Emphasis"/>
            <w:i/>
            <w:iCs/>
            <w:shd w:fill="auto" w:val="clear"/>
            <w:lang w:val="de-DE"/>
          </w:rPr>
          <w:delText xml:space="preserve">und </w:delText>
        </w:r>
      </w:del>
      <w:r>
        <w:rPr>
          <w:rStyle w:val="Emphasis"/>
          <w:i/>
          <w:iCs/>
          <w:shd w:fill="auto" w:val="clear"/>
          <w:lang w:val="de-DE"/>
        </w:rPr>
        <w:t>die Dokumentation der Abhängigkeiten der wichtigen IT-Ressourcen</w:t>
      </w:r>
      <w:ins w:id="319" w:author="Mark Semmler" w:date="2026-01-10T14:46:42Z">
        <w:r>
          <w:rPr>
            <w:rStyle w:val="Emphasis"/>
            <w:i/>
            <w:iCs/>
            <w:shd w:fill="auto" w:val="clear"/>
            <w:lang w:val="de-DE"/>
          </w:rPr>
          <w:t xml:space="preserve"> (siehe Abschnitt </w:t>
        </w:r>
      </w:ins>
      <w:ins w:id="320" w:author="Mark Semmler" w:date="2026-01-10T14:46:42Z">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ins>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4" w:name="__RefHeading___Toc29771_3572532615"/>
      <w:bookmarkEnd w:id="1004"/>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5" w:name="__RefHeading___Toc23186_2990485309"/>
      <w:bookmarkEnd w:id="1005"/>
      <w:r>
        <w:rPr>
          <w:lang w:val="de-DE"/>
        </w:rPr>
        <w:t>Überwachung und Steuerung</w:t>
      </w:r>
    </w:p>
    <w:p>
      <w:pPr>
        <w:pStyle w:val="Heading2"/>
        <w:ind w:hanging="0" w:left="0"/>
        <w:rPr/>
      </w:pPr>
      <w:bookmarkStart w:id="1006" w:name="__RefHeading___Toc45800_597644758"/>
      <w:bookmarkEnd w:id="1006"/>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07" w:name="__RefHeading___Toc45802_597644758"/>
      <w:bookmarkEnd w:id="1007"/>
      <w:r>
        <w:rPr/>
        <w:t>Kennzahlen</w:t>
      </w:r>
    </w:p>
    <w:p>
      <w:pPr>
        <w:pStyle w:val="Normal"/>
        <w:rPr>
          <w:u w:val="none"/>
          <w:lang w:val="de-DE"/>
        </w:rPr>
      </w:pPr>
      <w:commentRangeStart w:id="38"/>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ins w:id="321" w:author="Mark Semmler" w:date="2026-01-10T14:46:42Z">
        <w:r>
          <w:rPr>
            <w:u w:val="none"/>
            <w:lang w:val="de-DE"/>
          </w:rPr>
        </w:r>
      </w:ins>
      <w:commentRangeEnd w:id="38"/>
      <w:r>
        <w:commentReference w:id="38"/>
      </w:r>
      <w:ins w:id="322" w:author="Mark Semmler" w:date="2026-01-10T14:46:42Z">
        <w:r>
          <w:rPr/>
          <w:commentReference w:id="39"/>
        </w:r>
      </w:ins>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i w:val="false"/>
          <w:i w:val="false"/>
          <w:iCs w:val="false"/>
          <w:u w:val="none"/>
          <w:lang w:val="de-DE"/>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w:t>
      </w:r>
      <w:ins w:id="323" w:author="Mark Semmler" w:date="2026-01-10T14:46:42Z">
        <w:r>
          <w:rPr>
            <w:rFonts w:eastAsia="Arial" w:cs="DejaVu Sans"/>
            <w:i/>
            <w:iCs/>
            <w:color w:val="auto"/>
            <w:kern w:val="0"/>
            <w:sz w:val="20"/>
            <w:szCs w:val="22"/>
            <w:u w:val="none"/>
            <w:lang w:val="de-DE" w:eastAsia="en-US" w:bidi="ar-SA"/>
          </w:rPr>
          <w:t> </w:t>
        </w:r>
      </w:ins>
      <w:del w:id="324" w:author="Mark Semmler" w:date="2026-01-10T14:46:42Z">
        <w:r>
          <w:rPr>
            <w:rFonts w:eastAsia="Arial" w:cs="DejaVu Sans"/>
            <w:i/>
            <w:iCs/>
            <w:color w:val="auto"/>
            <w:kern w:val="0"/>
            <w:sz w:val="20"/>
            <w:szCs w:val="22"/>
            <w:u w:val="none"/>
            <w:lang w:val="de-DE" w:eastAsia="en-US" w:bidi="ar-SA"/>
          </w:rPr>
          <w:delText xml:space="preserve"> </w:delText>
        </w:r>
      </w:del>
      <w:r>
        <w:rPr>
          <w:rFonts w:eastAsia="Arial" w:cs="DejaVu Sans"/>
          <w:i/>
          <w:iCs/>
          <w:color w:val="auto"/>
          <w:kern w:val="0"/>
          <w:sz w:val="20"/>
          <w:szCs w:val="22"/>
          <w:u w:val="none"/>
          <w:lang w:val="de-DE" w:eastAsia="en-US" w:bidi="ar-SA"/>
        </w:rPr>
        <w:t>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w:t>
      </w:r>
      <w:ins w:id="325" w:author="Mark Semmler" w:date="2026-01-10T14:46:42Z">
        <w:r>
          <w:rPr>
            <w:rFonts w:eastAsia="Arial" w:cs="DejaVu Sans"/>
            <w:i/>
            <w:iCs/>
            <w:color w:val="auto"/>
            <w:kern w:val="0"/>
            <w:sz w:val="20"/>
            <w:szCs w:val="22"/>
            <w:u w:val="none"/>
            <w:lang w:val="de-DE" w:eastAsia="en-US" w:bidi="ar-SA"/>
          </w:rPr>
          <w:t> </w:t>
        </w:r>
      </w:ins>
      <w:del w:id="326" w:author="Mark Semmler" w:date="2026-01-10T14:46:42Z">
        <w:r>
          <w:rPr>
            <w:rFonts w:eastAsia="Arial" w:cs="DejaVu Sans"/>
            <w:i/>
            <w:iCs/>
            <w:color w:val="auto"/>
            <w:kern w:val="0"/>
            <w:sz w:val="20"/>
            <w:szCs w:val="22"/>
            <w:u w:val="none"/>
            <w:lang w:val="de-DE" w:eastAsia="en-US" w:bidi="ar-SA"/>
          </w:rPr>
          <w:delText xml:space="preserve"> </w:delText>
        </w:r>
      </w:del>
      <w:r>
        <w:rPr>
          <w:rFonts w:eastAsia="Arial" w:cs="DejaVu Sans"/>
          <w:i/>
          <w:iCs/>
          <w:color w:val="auto"/>
          <w:kern w:val="0"/>
          <w:sz w:val="20"/>
          <w:szCs w:val="22"/>
          <w:u w:val="none"/>
          <w:lang w:val="de-DE" w:eastAsia="en-US" w:bidi="ar-SA"/>
        </w:rPr>
        <w:t>B.</w:t>
      </w:r>
      <w:r>
        <w:rPr>
          <w:i/>
          <w:iCs/>
          <w:u w:val="none"/>
          <w:lang w:val="de-DE"/>
        </w:rPr>
        <w:t xml:space="preserve"> dienen:</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moveFrom w:id="328" w:author="Mark Semmler" w:date="2026-01-10T14:46:42Z"/>
        </w:rPr>
      </w:pPr>
      <w:del w:id="327" w:author="Mark Semmler" w:date="2026-01-10T14:46:42Z">
        <w:r>
          <w:rPr>
            <w:i/>
            <w:iCs/>
            <w:lang w:val="de-DE"/>
          </w:rPr>
          <w:delText>Das Ergebnis von Auswertung der Logfiles wichtiger und/oder kritischer IT-Systeme.</w:delText>
        </w:r>
      </w:del>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moveTo w:id="330" w:author="Mark Semmler" w:date="2026-01-10T14:46:42Z"/>
        </w:rPr>
      </w:pPr>
      <w:ins w:id="329" w:author="Mark Semmler" w:date="2026-01-10T14:46:42Z">
        <w:r>
          <w:rPr>
            <w:i/>
            <w:iCs/>
            <w:lang w:val="de-DE"/>
          </w:rPr>
          <w:t>Das Ergebnis von Auswertung der Logfiles wichtiger und/oder kritischer IT-Systeme.</w:t>
        </w:r>
      </w:ins>
    </w:p>
    <w:p>
      <w:pPr>
        <w:pStyle w:val="Normal"/>
        <w:numPr>
          <w:ilvl w:val="0"/>
          <w:numId w:val="6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8" w:name="__RefHeading___Toc23186_2990485309_Copy_"/>
      <w:bookmarkEnd w:id="1008"/>
      <w:r>
        <w:rPr/>
        <w:t>Kryptografie</w:t>
      </w:r>
    </w:p>
    <w:p>
      <w:pPr>
        <w:pStyle w:val="Heading2"/>
        <w:ind w:hanging="0" w:left="0"/>
        <w:rPr/>
      </w:pPr>
      <w:bookmarkStart w:id="1009" w:name="__RefHeading___Toc57612_3081562653"/>
      <w:bookmarkEnd w:id="1009"/>
      <w:r>
        <w:rPr/>
        <w:t>Grundlagen</w:t>
      </w:r>
    </w:p>
    <w:p>
      <w:pPr>
        <w:pStyle w:val="Normal"/>
        <w:spacing w:before="0" w:after="240"/>
        <w:ind w:hanging="0" w:left="0"/>
        <w:rPr>
          <w:lang w:val="de-DE"/>
        </w:rPr>
      </w:pPr>
      <w:r>
        <w:rPr>
          <w:lang w:val="de-DE"/>
        </w:rPr>
        <w:t xml:space="preserve">Kryptografie ist eine unverzichtbare Technologie für die Informationssicherheit. Mit ihrer Hilfe können </w:t>
      </w:r>
      <w:ins w:id="331" w:author="Mark Semmler" w:date="2026-01-10T14:46:42Z">
        <w:r>
          <w:rPr>
            <w:lang w:val="de-DE"/>
          </w:rPr>
          <w:t>Informationen zuverlässig</w:t>
        </w:r>
      </w:ins>
      <w:del w:id="332" w:author="Mark Semmler" w:date="2026-01-10T14:46:42Z">
        <w:r>
          <w:rPr>
            <w:lang w:val="de-DE"/>
          </w:rPr>
          <w:delText>zuverlässig Informationen</w:delText>
        </w:r>
      </w:del>
      <w:r>
        <w:rPr>
          <w:lang w:val="de-DE"/>
        </w:rPr>
        <w:t xml:space="preserve">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10" w:name="__RefHeading___Toc66247_844644548"/>
      <w:bookmarkEnd w:id="1010"/>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40"/>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40"/>
      <w:r>
        <w:commentReference w:id="40"/>
      </w:r>
      <w:ins w:id="333" w:author="Mark Semmler" w:date="2026-01-10T14:46:42Z">
        <w:r>
          <w:rPr>
            <w:i/>
            <w:iCs/>
          </w:rPr>
        </w:r>
      </w:ins>
    </w:p>
    <w:p>
      <w:pPr>
        <w:pStyle w:val="Normal"/>
        <w:ind w:hanging="0" w:left="0"/>
        <w:rPr/>
      </w:pPr>
      <w:r>
        <w:rPr/>
        <w:t xml:space="preserve">Wenn Maßnahmen nicht umgesetzt werden, </w:t>
      </w:r>
      <w:commentRangeStart w:id="41"/>
      <w:r>
        <w:rPr/>
        <w:t xml:space="preserve">obwohl eine entsprechende Funktionalität vorhanden ist, </w:t>
      </w:r>
      <w:ins w:id="334" w:author="Mark Semmler" w:date="2026-01-10T14:46:42Z">
        <w:r>
          <w:rPr/>
        </w:r>
      </w:ins>
      <w:commentRangeEnd w:id="41"/>
      <w:r>
        <w:commentReference w:id="41"/>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1011" w:name="__RefHeading___Toc23122_3248772027"/>
      <w:bookmarkEnd w:id="1011"/>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w:t>
      </w:r>
      <w:ins w:id="335" w:author="Mark Semmler" w:date="2026-01-10T14:46:42Z">
        <w:r>
          <w:rPr>
            <w:rFonts w:eastAsia="Arial" w:cs="DejaVu Sans"/>
            <w:color w:val="auto"/>
            <w:kern w:val="0"/>
            <w:sz w:val="20"/>
            <w:szCs w:val="22"/>
            <w:shd w:fill="auto" w:val="clear"/>
            <w:lang w:val="de-DE" w:eastAsia="en-US" w:bidi="ar-SA"/>
          </w:rPr>
          <w:t> </w:t>
        </w:r>
      </w:ins>
      <w:del w:id="336" w:author="Mark Semmler" w:date="2026-01-10T14:46:42Z">
        <w:r>
          <w:rPr>
            <w:rFonts w:eastAsia="Arial" w:cs="DejaVu Sans"/>
            <w:color w:val="auto"/>
            <w:kern w:val="0"/>
            <w:sz w:val="20"/>
            <w:szCs w:val="22"/>
            <w:shd w:fill="auto" w:val="clear"/>
            <w:lang w:val="de-DE" w:eastAsia="en-US" w:bidi="ar-SA"/>
          </w:rPr>
          <w:delText xml:space="preserve"> </w:delText>
        </w:r>
      </w:del>
      <w:r>
        <w:rPr>
          <w:rFonts w:eastAsia="Arial" w:cs="DejaVu Sans"/>
          <w:color w:val="auto"/>
          <w:kern w:val="0"/>
          <w:sz w:val="20"/>
          <w:szCs w:val="22"/>
          <w:shd w:fill="auto" w:val="clear"/>
          <w:lang w:val="de-DE" w:eastAsia="en-US" w:bidi="ar-SA"/>
        </w:rPr>
        <w:t>B.</w:t>
      </w:r>
      <w:r>
        <w:rPr>
          <w:shd w:fill="auto" w:val="clear"/>
          <w:lang w:val="de-DE"/>
        </w:rPr>
        <w:t xml:space="preserve"> Schlüssellängen</w:t>
      </w:r>
      <w:ins w:id="337" w:author="Mark Semmler" w:date="2026-01-10T14:46:42Z">
        <w:r>
          <w:rPr>
            <w:shd w:fill="auto" w:val="clear"/>
            <w:lang w:val="de-DE"/>
          </w:rPr>
          <w:t xml:space="preserve"> und Betriebsarten</w:t>
        </w:r>
      </w:ins>
      <w:r>
        <w:rPr>
          <w:shd w:fill="auto" w:val="clear"/>
          <w:lang w:val="de-DE"/>
        </w:rPr>
        <w:t>) betrieben, die von der Fachwelt als ausreichend sicher angesehen werden.</w:t>
      </w:r>
    </w:p>
    <w:p>
      <w:pPr>
        <w:pStyle w:val="10000-DefaultParagraph"/>
        <w:widowControl/>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ins w:id="339" w:author="Mark Semmler" w:date="2026-01-10T14:46:42Z"/>
        </w:rPr>
      </w:pPr>
      <w:ins w:id="338" w:author="Mark Semmler" w:date="2026-01-10T14:46:42Z">
        <w:r>
          <w:rPr/>
          <w:t>Kryptografischen Maßnahmen MÜSSEN zeitnah verbessert oder ersetzt werden, wenn sie als unsicher erkannt werden.</w:t>
        </w:r>
      </w:ins>
    </w:p>
    <w:p>
      <w:pPr>
        <w:pStyle w:val="Heading3"/>
        <w:ind w:hanging="0" w:left="0"/>
        <w:rPr/>
      </w:pPr>
      <w:bookmarkStart w:id="1012" w:name="__RefHeading___Toc66251_844644548"/>
      <w:bookmarkEnd w:id="1012"/>
      <w:r>
        <w:rPr/>
        <w:t>Schlüsselmanagement</w:t>
      </w:r>
    </w:p>
    <w:p>
      <w:pPr>
        <w:pStyle w:val="10000-DefaultParagraph"/>
        <w:widowControl/>
        <w:suppressAutoHyphens w:val="false"/>
        <w:overflowPunct w:val="true"/>
        <w:bidi w:val="0"/>
        <w:spacing w:lineRule="auto" w:line="247" w:before="0" w:after="120"/>
        <w:jc w:val="both"/>
        <w:rPr>
          <w:shd w:fill="auto" w:val="clear"/>
        </w:rPr>
      </w:pPr>
      <w:ins w:id="340" w:author="Mark Semmler" w:date="2026-01-10T14:46:42Z">
        <w:r>
          <w:rPr>
            <w:shd w:fill="auto" w:val="clear"/>
          </w:rPr>
          <w:t xml:space="preserve">Für das </w:t>
        </w:r>
      </w:ins>
      <w:del w:id="341" w:author="Mark Semmler" w:date="2026-01-10T14:46:42Z">
        <w:r>
          <w:rPr>
            <w:shd w:fill="auto" w:val="clear"/>
          </w:rPr>
          <w:delText xml:space="preserve">Das </w:delText>
        </w:r>
      </w:del>
      <w:r>
        <w:rPr>
          <w:shd w:fill="auto" w:val="clear"/>
        </w:rPr>
        <w:t xml:space="preserve">Management der Schlüssel </w:t>
      </w:r>
      <w:ins w:id="342" w:author="Mark Semmler" w:date="2026-01-10T14:46:42Z">
        <w:r>
          <w:rPr>
            <w:shd w:fill="auto" w:val="clear"/>
          </w:rPr>
          <w:t xml:space="preserve">für kryptografische Maßnahmen MUSS ein Verfahren implementiert werden, das </w:t>
        </w:r>
      </w:ins>
      <w:del w:id="343" w:author="Mark Semmler" w:date="2026-01-10T14:46:42Z">
        <w:r>
          <w:rPr>
            <w:shd w:fill="auto" w:val="clear"/>
          </w:rPr>
          <w:delText xml:space="preserve">MUSS </w:delText>
        </w:r>
      </w:del>
      <w:r>
        <w:rPr>
          <w:shd w:fill="auto" w:val="clear"/>
        </w:rPr>
        <w:t>folgende Anforderungen erfü</w:t>
      </w:r>
      <w:ins w:id="344" w:author="Mark Semmler" w:date="2026-01-10T14:46:42Z">
        <w:r>
          <w:rPr>
            <w:shd w:fill="auto" w:val="clear"/>
          </w:rPr>
          <w:t>llt:</w:t>
        </w:r>
      </w:ins>
      <w:del w:id="345" w:author="Mark Semmler" w:date="2026-01-10T14:46:42Z">
        <w:r>
          <w:rPr>
            <w:shd w:fill="auto" w:val="clear"/>
          </w:rPr>
          <w:delText>llen:</w:delText>
        </w:r>
      </w:del>
      <w:del w:id="346" w:author="Mark Semmler" w:date="2026-01-10T14:46:42Z">
        <w:r>
          <w:rPr>
            <w:shd w:fill="auto" w:val="clear"/>
          </w:rPr>
          <w:commentReference w:id="42"/>
        </w:r>
      </w:del>
    </w:p>
    <w:p>
      <w:pPr>
        <w:pStyle w:val="Normal"/>
        <w:numPr>
          <w:ilvl w:val="0"/>
          <w:numId w:val="68"/>
        </w:numPr>
        <w:rPr>
          <w:ins w:id="351" w:author="Mark Semmler" w:date="2026-01-10T14:46:42Z"/>
        </w:rPr>
      </w:pPr>
      <w:commentRangeStart w:id="43"/>
      <w:r>
        <w:rPr/>
        <w:t xml:space="preserve">Schlüssel werden bei Erzeugung, Übertragung, Lagerung und Transport vor unberechtigter </w:t>
      </w:r>
      <w:ins w:id="347" w:author="Mark Semmler" w:date="2026-01-10T14:46:42Z">
        <w:r>
          <w:rPr/>
          <w:t xml:space="preserve">Erzeugung, </w:t>
        </w:r>
      </w:ins>
      <w:r>
        <w:rPr/>
        <w:t>Änderung, Beschädigung, Verlust</w:t>
      </w:r>
      <w:ins w:id="348" w:author="Mark Semmler" w:date="2026-01-10T14:46:42Z">
        <w:r>
          <w:rPr/>
          <w:t>, Einsichtnahme und Nutzung</w:t>
        </w:r>
      </w:ins>
      <w:del w:id="349" w:author="Mark Semmler" w:date="2026-01-10T14:46:42Z">
        <w:r>
          <w:rPr/>
          <w:delText xml:space="preserve"> und Einsichtnahme</w:delText>
        </w:r>
      </w:del>
      <w:r>
        <w:rPr/>
        <w:t xml:space="preserve"> geschützt.</w:t>
      </w:r>
      <w:commentRangeEnd w:id="43"/>
      <w:r>
        <w:commentReference w:id="43"/>
      </w:r>
      <w:ins w:id="350" w:author="Mark Semmler" w:date="2026-01-10T14:46:42Z">
        <w:r>
          <w:rPr/>
        </w:r>
      </w:ins>
    </w:p>
    <w:p>
      <w:pPr>
        <w:pStyle w:val="Normal"/>
        <w:numPr>
          <w:ilvl w:val="0"/>
          <w:numId w:val="68"/>
        </w:numPr>
        <w:rPr>
          <w:ins w:id="353" w:author="Mark Semmler" w:date="2026-01-10T14:46:42Z"/>
        </w:rPr>
      </w:pPr>
      <w:ins w:id="352" w:author="Mark Semmler" w:date="2026-01-10T14:46:42Z">
        <w:r>
          <w:rPr/>
          <w:t>Wenn der begründete Verdacht besteht, dass die Vertraulichkeit, Integrität und/oder Authentizität von Schlüsseln verletzt wurde werden sie umgehend zurückgezogen und ersetzt.</w:t>
        </w:r>
      </w:ins>
    </w:p>
    <w:p>
      <w:pPr>
        <w:pStyle w:val="Normal"/>
        <w:ind w:hanging="0" w:left="720"/>
        <w:rPr>
          <w:i w:val="false"/>
          <w:i w:val="false"/>
          <w:iCs w:val="false"/>
          <w:ins w:id="357" w:author="Mark Semmler" w:date="2026-01-10T14:46:42Z"/>
        </w:rPr>
      </w:pPr>
      <w:ins w:id="354" w:author="Mark Semmler" w:date="2026-01-10T14:46:42Z">
        <w:r>
          <w:rPr>
            <w:i w:val="false"/>
            <w:iCs w:val="false"/>
          </w:rPr>
          <w:t xml:space="preserve">Die Verletzung der Vertraulichkeit, Integrität und/oder Authentizität von Schlüsseln MUSS als Sicherheitsvorfall (siehe Kapitel </w:t>
        </w:r>
      </w:ins>
      <w:ins w:id="355" w:author="Mark Semmler" w:date="2026-01-10T14:46:42Z">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ins>
      <w:ins w:id="356" w:author="Mark Semmler" w:date="2026-01-10T14:46:42Z">
        <w:r>
          <w:rPr>
            <w:i w:val="false"/>
            <w:iCs w:val="false"/>
          </w:rPr>
          <w:t>) behandelt werden.</w:t>
        </w:r>
      </w:ins>
    </w:p>
    <w:p>
      <w:pPr>
        <w:pStyle w:val="Normal"/>
        <w:numPr>
          <w:ilvl w:val="0"/>
          <w:numId w:val="68"/>
        </w:numPr>
        <w:rPr>
          <w:ins w:id="359" w:author="Mark Semmler" w:date="2026-01-10T14:46:42Z"/>
        </w:rPr>
      </w:pPr>
      <w:ins w:id="358" w:author="Mark Semmler" w:date="2026-01-10T14:46:42Z">
        <w:r>
          <w:rPr/>
          <w:t>Schlüssel werden in regelmäßigen, definierten Abständen erneuert.</w:t>
        </w:r>
      </w:ins>
    </w:p>
    <w:p>
      <w:pPr>
        <w:pStyle w:val="Normal"/>
        <w:numPr>
          <w:ilvl w:val="0"/>
          <w:numId w:val="68"/>
        </w:numPr>
        <w:rPr>
          <w:ins w:id="361" w:author="Mark Semmler" w:date="2026-01-10T14:46:42Z"/>
        </w:rPr>
      </w:pPr>
      <w:ins w:id="360" w:author="Mark Semmler" w:date="2026-01-10T14:46:42Z">
        <w:r>
          <w:rPr/>
          <w:t>Nicht mehr benötigte Schlüssel werden umgehend zurückgezogen oder gelöscht.</w:t>
        </w:r>
      </w:ins>
    </w:p>
    <w:p>
      <w:pPr>
        <w:pStyle w:val="Normal"/>
        <w:numPr>
          <w:ilvl w:val="0"/>
          <w:numId w:val="68"/>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del w:id="362" w:author="Mark Semmler" w:date="2026-01-10T14:46:42Z">
        <w:r>
          <w:rPr>
            <w:i/>
            <w:iCs/>
          </w:rPr>
          <w:commentReference w:id="44"/>
        </w:r>
      </w:del>
    </w:p>
    <w:p>
      <w:pPr>
        <w:pStyle w:val="Normal"/>
        <w:numPr>
          <w:ilvl w:val="0"/>
          <w:numId w:val="68"/>
        </w:numPr>
        <w:rPr>
          <w:del w:id="364" w:author="Mark Semmler" w:date="2026-01-10T14:46:42Z"/>
        </w:rPr>
      </w:pPr>
      <w:del w:id="363" w:author="Mark Semmler" w:date="2026-01-10T14:46:42Z">
        <w:r>
          <w:rPr/>
          <w:delText>Wenn der begründete Verdacht besteht, dass die Vertraulichkeit, Integrität und/oder Authentizität von Schlüsseln verletzt wurde werden sie zurückgezogen und ersetzt.</w:delText>
        </w:r>
      </w:del>
    </w:p>
    <w:p>
      <w:pPr>
        <w:pStyle w:val="Normal"/>
        <w:ind w:hanging="0" w:left="720"/>
        <w:rPr>
          <w:i/>
          <w:i/>
          <w:iCs/>
          <w:del w:id="369" w:author="Mark Semmler" w:date="2026-01-10T14:46:42Z"/>
        </w:rPr>
      </w:pPr>
      <w:commentRangeStart w:id="45"/>
      <w:del w:id="365" w:author="Mark Semmler" w:date="2026-01-10T14:46:42Z">
        <w:r>
          <w:rPr>
            <w:i/>
            <w:iCs/>
          </w:rPr>
          <w:delText xml:space="preserve">Die Verletzung der Vertraulichkeit, Integrität und/oder Authentizität von Schlüsseln SOLLTE als Sicherheitsvorfall (siehe Kapitel </w:delText>
        </w:r>
      </w:del>
      <w:del w:id="366" w:author="Mark Semmler" w:date="2026-01-10T14:46:42Z">
        <w:r>
          <w:rPr>
            <w:i/>
            <w:iCs/>
          </w:rPr>
          <w:fldChar w:fldCharType="begin"/>
        </w:r>
        <w:r>
          <w:rPr>
            <w:i/>
            <w:iCs/>
          </w:rPr>
          <w:delInstrText xml:space="preserve"> REF __RefHeading___Toc32116_2021121348 \n \n \h </w:delInstrText>
        </w:r>
        <w:r>
          <w:rPr>
            <w:i/>
            <w:iCs/>
          </w:rPr>
          <w:fldChar w:fldCharType="separate"/>
        </w:r>
        <w:r>
          <w:rPr>
            <w:i/>
            <w:iCs/>
          </w:rPr>
          <w:delText>17</w:delText>
        </w:r>
        <w:r>
          <w:rPr>
            <w:i/>
            <w:iCs/>
          </w:rPr>
          <w:fldChar w:fldCharType="end"/>
        </w:r>
      </w:del>
      <w:del w:id="367" w:author="Mark Semmler" w:date="2026-01-10T14:46:42Z">
        <w:r>
          <w:rPr>
            <w:i/>
            <w:iCs/>
          </w:rPr>
          <w:delText>) behandelt werden.</w:delText>
        </w:r>
      </w:del>
      <w:commentRangeEnd w:id="45"/>
      <w:r>
        <w:commentReference w:id="45"/>
      </w:r>
      <w:del w:id="368" w:author="Mark Semmler" w:date="2026-01-10T14:46:42Z">
        <w:r>
          <w:rPr>
            <w:i/>
            <w:iCs/>
          </w:rPr>
          <w:commentReference w:id="46"/>
        </w:r>
      </w:del>
    </w:p>
    <w:p>
      <w:pPr>
        <w:pStyle w:val="Normal"/>
        <w:numPr>
          <w:ilvl w:val="0"/>
          <w:numId w:val="68"/>
        </w:numPr>
        <w:rPr/>
      </w:pPr>
      <w:r>
        <w:rPr/>
        <w:t xml:space="preserve">Schlüssel werden in </w:t>
      </w:r>
      <w:ins w:id="370" w:author="Mark Semmler" w:date="2026-01-10T14:46:42Z">
        <w:r>
          <w:rPr/>
          <w:t>die Datensicherung aufgenommen</w:t>
        </w:r>
      </w:ins>
      <w:del w:id="371" w:author="Mark Semmler" w:date="2026-01-10T14:46:42Z">
        <w:r>
          <w:rPr/>
          <w:delText>regelmäßigen, definierten Abständen erneuert</w:delText>
        </w:r>
      </w:del>
      <w:r>
        <w:rPr/>
        <w:t>.</w:t>
      </w:r>
    </w:p>
    <w:p>
      <w:pPr>
        <w:pStyle w:val="Normal"/>
        <w:numPr>
          <w:ilvl w:val="0"/>
          <w:numId w:val="68"/>
        </w:numPr>
        <w:rPr>
          <w:del w:id="373" w:author="Mark Semmler" w:date="2026-01-10T14:46:42Z"/>
        </w:rPr>
      </w:pPr>
      <w:del w:id="372" w:author="Mark Semmler" w:date="2026-01-10T14:46:42Z">
        <w:r>
          <w:rPr/>
          <w:delText>Sie werden in die Datensicherung aufgenommen.</w:delText>
        </w:r>
      </w:del>
    </w:p>
    <w:p>
      <w:pPr>
        <w:pStyle w:val="Heading3"/>
        <w:ind w:hanging="0" w:left="0"/>
        <w:rPr>
          <w:del w:id="375" w:author="Mark Semmler" w:date="2026-01-10T14:46:42Z"/>
        </w:rPr>
      </w:pPr>
      <w:bookmarkStart w:id="1013" w:name="__RefHeading___Toc66253_844644548"/>
      <w:bookmarkEnd w:id="1013"/>
      <w:del w:id="374" w:author="Mark Semmler" w:date="2026-01-10T14:46:42Z">
        <w:r>
          <w:rPr/>
          <w:delText>Verbesserung</w:delText>
        </w:r>
      </w:del>
    </w:p>
    <w:p>
      <w:pPr>
        <w:pStyle w:val="Normal"/>
        <w:rPr>
          <w:del w:id="377" w:author="Mark Semmler" w:date="2026-01-10T14:46:42Z"/>
        </w:rPr>
      </w:pPr>
      <w:del w:id="376" w:author="Mark Semmler" w:date="2026-01-10T14:46:42Z">
        <w:r>
          <w:rPr/>
          <w:delText>Kryptografischen Maßnahmen MÜSSEN zeitnah verbessert oder ersetzt werden, wenn sie als unsicher erkannt werden.</w:delText>
        </w:r>
      </w:del>
    </w:p>
    <w:p>
      <w:pPr>
        <w:pStyle w:val="Heading2"/>
        <w:ind w:hanging="0" w:left="0"/>
        <w:rPr/>
      </w:pPr>
      <w:bookmarkStart w:id="1014" w:name="__RefHeading___Toc24870_512392082"/>
      <w:bookmarkEnd w:id="1014"/>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15" w:name="__RefHeading___Toc18925_512392082"/>
      <w:bookmarkEnd w:id="1015"/>
      <w:commentRangeStart w:id="47"/>
      <w:r>
        <w:rPr/>
        <w:t>Entwicklungen</w:t>
      </w:r>
      <w:commentRangeEnd w:id="47"/>
      <w:r>
        <w:commentReference w:id="47"/>
      </w:r>
      <w:r>
        <w:rPr/>
      </w:r>
    </w:p>
    <w:p>
      <w:pPr>
        <w:pStyle w:val="Heading2"/>
        <w:ind w:hanging="0" w:left="0"/>
        <w:rPr/>
      </w:pPr>
      <w:bookmarkStart w:id="1016" w:name="__RefHeading___Toc57614_3081562653"/>
      <w:bookmarkEnd w:id="1016"/>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i/>
          <w:i/>
          <w:iCs/>
        </w:rPr>
      </w:pPr>
      <w:r>
        <w:rPr>
          <w:i/>
          <w:iCs/>
        </w:rPr>
        <w:t>sichere Datenübertragung und -speicherung</w:t>
      </w:r>
    </w:p>
    <w:p>
      <w:pPr>
        <w:pStyle w:val="Normal"/>
        <w:numPr>
          <w:ilvl w:val="0"/>
          <w:numId w:val="69"/>
        </w:numPr>
        <w:rPr>
          <w:i/>
          <w:i/>
          <w:iCs/>
        </w:rPr>
      </w:pPr>
      <w:r>
        <w:rPr>
          <w:i/>
          <w:iCs/>
        </w:rPr>
        <w:t>Validierung der Eingabedaten</w:t>
      </w:r>
    </w:p>
    <w:p>
      <w:pPr>
        <w:pStyle w:val="Normal"/>
        <w:numPr>
          <w:ilvl w:val="0"/>
          <w:numId w:val="69"/>
        </w:numPr>
        <w:rPr>
          <w:i/>
          <w:i/>
          <w:iCs/>
        </w:rPr>
      </w:pPr>
      <w:r>
        <w:rPr>
          <w:i/>
          <w:iCs/>
        </w:rPr>
        <w:t>ausreichend starke Authentifizierung der nutzenden Instanzen</w:t>
      </w:r>
    </w:p>
    <w:p>
      <w:pPr>
        <w:pStyle w:val="Normal"/>
        <w:numPr>
          <w:ilvl w:val="0"/>
          <w:numId w:val="69"/>
        </w:numPr>
        <w:rPr>
          <w:i/>
          <w:i/>
          <w:iCs/>
        </w:rPr>
      </w:pPr>
      <w:r>
        <w:rPr>
          <w:i/>
          <w:iCs/>
        </w:rPr>
        <w:t>Autorisierung der nutzenden Instanzen (Zugriffskontrolle)</w:t>
      </w:r>
    </w:p>
    <w:p>
      <w:pPr>
        <w:pStyle w:val="Normal"/>
        <w:numPr>
          <w:ilvl w:val="0"/>
          <w:numId w:val="69"/>
        </w:numPr>
        <w:rPr>
          <w:i/>
          <w:i/>
          <w:iCs/>
        </w:rPr>
      </w:pPr>
      <w:r>
        <w:rPr>
          <w:i/>
          <w:iCs/>
        </w:rPr>
        <w:t>Protokollierung erfolgreicher und erfolgloser Anmeldeversuche, von Fehlern und Informationssicherheitsereignissen</w:t>
      </w:r>
    </w:p>
    <w:p>
      <w:pPr>
        <w:pStyle w:val="Normal"/>
        <w:numPr>
          <w:ilvl w:val="0"/>
          <w:numId w:val="69"/>
        </w:numPr>
        <w:rPr>
          <w:i/>
          <w:i/>
          <w:iCs/>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w:t>
      </w:r>
      <w:ins w:id="378" w:author="Mark Semmler" w:date="2026-01-10T14:46:42Z">
        <w:r>
          <w:rPr>
            <w:rStyle w:val="Emphasis"/>
            <w:rFonts w:eastAsia="Arial" w:cs="DejaVu Sans"/>
            <w:i/>
            <w:iCs/>
            <w:color w:val="auto"/>
            <w:kern w:val="0"/>
            <w:sz w:val="20"/>
            <w:szCs w:val="22"/>
            <w:lang w:val="de-DE" w:eastAsia="en-US" w:bidi="ar-SA"/>
          </w:rPr>
          <w:t> </w:t>
        </w:r>
      </w:ins>
      <w:del w:id="379" w:author="Mark Semmler" w:date="2026-01-10T14:46:42Z">
        <w:r>
          <w:rPr>
            <w:rStyle w:val="Emphasis"/>
            <w:rFonts w:eastAsia="Arial" w:cs="DejaVu Sans"/>
            <w:i/>
            <w:iCs/>
            <w:color w:val="auto"/>
            <w:kern w:val="0"/>
            <w:sz w:val="20"/>
            <w:szCs w:val="22"/>
            <w:lang w:val="de-DE" w:eastAsia="en-US" w:bidi="ar-SA"/>
          </w:rPr>
          <w:delText xml:space="preserve"> </w:delText>
        </w:r>
      </w:del>
      <w:r>
        <w:rPr>
          <w:rStyle w:val="Emphasis"/>
          <w:rFonts w:eastAsia="Arial" w:cs="DejaVu Sans"/>
          <w:i/>
          <w:iCs/>
          <w:color w:val="auto"/>
          <w:kern w:val="0"/>
          <w:sz w:val="20"/>
          <w:szCs w:val="22"/>
          <w:lang w:val="de-DE" w:eastAsia="en-US" w:bidi="ar-SA"/>
        </w:rPr>
        <w:t>B.</w:t>
      </w:r>
      <w:r>
        <w:rPr>
          <w:rStyle w:val="Emphasis"/>
          <w:i/>
          <w:iCs/>
        </w:rPr>
        <w:t xml:space="preserve">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Normal"/>
        <w:numPr>
          <w:ilvl w:val="0"/>
          <w:numId w:val="70"/>
        </w:numPr>
        <w:rPr/>
      </w:pPr>
      <w:r>
        <w:rPr>
          <w:rStyle w:val="Emphasis"/>
          <w:i/>
          <w:iCs/>
        </w:rPr>
        <w:t>Authentifizierungsmerkmale können geändert werden.</w:t>
      </w:r>
    </w:p>
    <w:p>
      <w:pPr>
        <w:pStyle w:val="Heading6"/>
        <w:ind w:hanging="0" w:left="0"/>
        <w:rPr>
          <w:shd w:fill="EEEEEE" w:val="clear"/>
          <w:lang w:val="de-DE"/>
        </w:rPr>
      </w:pPr>
      <w:bookmarkStart w:id="1019" w:name="__RefHeading___Toc33735_4113391834"/>
      <w:bookmarkStart w:id="1020" w:name="_Ref178768361"/>
      <w:bookmarkStart w:id="1021" w:name="_Toc178588120"/>
      <w:bookmarkStart w:id="1022" w:name="_Toc187327162"/>
      <w:bookmarkEnd w:id="1019"/>
      <w:bookmarkEnd w:id="1021"/>
      <w:r>
        <w:rPr>
          <w:shd w:fill="EEEEEE" w:val="clear"/>
          <w:lang w:val="de-DE"/>
        </w:rPr>
        <w:t>Verfahren</w:t>
      </w:r>
      <w:bookmarkEnd w:id="1020"/>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8712"/>
      <w:bookmarkStart w:id="1025" w:name="_Ref179189094"/>
      <w:bookmarkStart w:id="1026" w:name="_Ref178762140"/>
      <w:bookmarkStart w:id="1027" w:name="_Ref179189260"/>
      <w:bookmarkStart w:id="1028" w:name="_Ref179186357"/>
      <w:bookmarkStart w:id="1029" w:name="_Ref179188840"/>
      <w:bookmarkStart w:id="1030" w:name="_Toc531165128"/>
      <w:bookmarkStart w:id="1031" w:name="_Ref179189122"/>
      <w:bookmarkStart w:id="1032" w:name="_Toc187327163"/>
      <w:bookmarkStart w:id="1033" w:name="_Ref179186218"/>
      <w:bookmarkStart w:id="1034" w:name="_Toc178588121"/>
      <w:bookmarkStart w:id="1035" w:name="_Ref179186850"/>
      <w:bookmarkStart w:id="1036" w:name="_Ref178762155"/>
      <w:bookmarkStart w:id="1037" w:name="rl%252525252525252525252525252525252522r"/>
      <w:bookmarkStart w:id="1038" w:name="_Ref179379202"/>
      <w:bookmarkStart w:id="1039" w:name="_Ref179189208"/>
      <w:bookmarkStart w:id="1040" w:name="_Toc178761422"/>
      <w:bookmarkStart w:id="1041" w:name="_Ref179188814"/>
      <w:bookmarkStart w:id="1042" w:name="_Ref179187958"/>
      <w:bookmarkStart w:id="1043" w:name="_Toc530662993"/>
      <w:bookmarkStart w:id="1044" w:name="_Ref178761570"/>
      <w:bookmarkStart w:id="1045" w:name="a_1_verfahren"/>
      <w:bookmarkStart w:id="1046" w:name="_Ref178762217"/>
      <w:bookmarkStart w:id="1047" w:name="_Ref178762043"/>
      <w:bookmarkStart w:id="1048" w:name="_Ref179186091"/>
      <w:bookmarkStart w:id="1049" w:name="_Ref178762087"/>
      <w:bookmarkEnd w:id="1023"/>
      <w:bookmarkEnd w:id="1037"/>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2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2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84205051"/>
      <w:bookmarkStart w:id="1052" w:name="_Ref179187798"/>
      <w:bookmarkStart w:id="1053" w:name="_Toc187327164"/>
      <w:bookmarkStart w:id="1054" w:name="_Ref179188878"/>
      <w:bookmarkStart w:id="1055" w:name="_Ref179186913"/>
      <w:bookmarkStart w:id="1056" w:name="_Ref179186925"/>
      <w:bookmarkStart w:id="1057" w:name="_Toc178588122"/>
      <w:bookmarkStart w:id="1058" w:name="_Ref179187652"/>
      <w:bookmarkStart w:id="1059" w:name="_Ref179187843"/>
      <w:bookmarkStart w:id="1060" w:name="_Toc530662994_Copy_1_Copy_1_Copy_1"/>
      <w:bookmarkStart w:id="1061" w:name="_Ref179187943"/>
      <w:bookmarkStart w:id="1062" w:name="a_2_risikoanalyse_und_-behandlung_Copy_1"/>
      <w:bookmarkStart w:id="1063" w:name="_Toc531165129_Copy_1_Copy_1_Copy_1"/>
      <w:bookmarkStart w:id="1064" w:name="_Ref179187788"/>
      <w:bookmarkStart w:id="1065" w:name="_Ref179186333"/>
      <w:bookmarkStart w:id="1066" w:name="_Ref179187642"/>
      <w:bookmarkStart w:id="1067" w:name="_Ref179188860"/>
      <w:bookmarkStart w:id="1068" w:name="_Toc178761423"/>
      <w:bookmarkStart w:id="1069" w:name="_Ref179186316"/>
      <w:bookmarkEnd w:id="1050"/>
      <w:bookmarkEnd w:id="1060"/>
      <w:bookmarkEnd w:id="1062"/>
      <w:bookmarkEnd w:id="1063"/>
      <w:r>
        <w:rPr>
          <w:shd w:fill="EEEEEE" w:val="clear"/>
          <w:lang w:val="de-DE"/>
        </w:rPr>
        <w:t>Risikomanagement</w:t>
      </w:r>
      <w:bookmarkEnd w:id="1051"/>
      <w:bookmarkEnd w:id="1052"/>
      <w:bookmarkEnd w:id="1053"/>
      <w:bookmarkEnd w:id="1054"/>
      <w:bookmarkEnd w:id="1055"/>
      <w:bookmarkEnd w:id="1056"/>
      <w:bookmarkEnd w:id="1057"/>
      <w:bookmarkEnd w:id="1058"/>
      <w:bookmarkEnd w:id="1059"/>
      <w:bookmarkEnd w:id="1061"/>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78761424"/>
      <w:bookmarkStart w:id="1075" w:name="_Ref184205067"/>
      <w:bookmarkStart w:id="1076" w:name="_Toc187327166"/>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Ref184205084"/>
      <w:bookmarkStart w:id="1079" w:name="_Toc178761425"/>
      <w:bookmarkStart w:id="1080" w:name="_Toc187327167"/>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7"/>
        </w:numPr>
        <w:rPr>
          <w:shd w:fill="EEEEEE" w:val="clear"/>
          <w:lang w:val="de-DE"/>
        </w:rPr>
      </w:pPr>
      <w:r>
        <w:rPr>
          <w:shd w:fill="EEEEEE" w:val="clear"/>
          <w:lang w:val="de-DE"/>
        </w:rPr>
        <w:t>Ihre Durchführung und ihre Ergebnisse werden dokumentiert.</w:t>
      </w:r>
    </w:p>
    <w:p>
      <w:pPr>
        <w:pStyle w:val="10000-DefaultParagraph"/>
        <w:numPr>
          <w:ilvl w:val="0"/>
          <w:numId w:val="12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_Toc531165131_Copy_1"/>
      <w:bookmarkStart w:id="1083" w:name="_Toc187327168"/>
      <w:bookmarkStart w:id="1084" w:name="rl%252525252525252525252525252525252522s"/>
      <w:bookmarkStart w:id="1085" w:name="_Ref184205096"/>
      <w:bookmarkStart w:id="1086" w:name="_Toc530662996_Copy_1"/>
      <w:bookmarkStart w:id="1087" w:name="_Toc178761426"/>
      <w:bookmarkStart w:id="1088" w:name="a_2.2_risikobehandlung_Copy_1"/>
      <w:bookmarkEnd w:id="1081"/>
      <w:bookmarkEnd w:id="1084"/>
      <w:r>
        <w:rPr>
          <w:shd w:fill="EEEEEE" w:val="clear"/>
          <w:lang w:val="de-DE"/>
        </w:rPr>
        <w:t>Risiko</w:t>
      </w:r>
      <w:bookmarkEnd w:id="1082"/>
      <w:bookmarkEnd w:id="1086"/>
      <w:bookmarkEnd w:id="1088"/>
      <w:r>
        <w:rPr>
          <w:shd w:fill="EEEEEE" w:val="clear"/>
          <w:lang w:val="de-DE"/>
        </w:rPr>
        <w:t>analyse</w:t>
      </w:r>
      <w:bookmarkEnd w:id="1083"/>
      <w:bookmarkEnd w:id="1085"/>
      <w:bookmarkEnd w:id="108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_Ref184205143"/>
      <w:bookmarkStart w:id="1091" w:name="rl%252525252525252525252525252525252522t"/>
      <w:bookmarkStart w:id="1092" w:name="_Toc187327169"/>
      <w:bookmarkStart w:id="1093" w:name="_Toc178761427"/>
      <w:bookmarkStart w:id="1094" w:name="_Toc530662996"/>
      <w:bookmarkStart w:id="1095" w:name="_Toc531165131"/>
      <w:bookmarkStart w:id="1096" w:name="a_2.2_risikobehandlung"/>
      <w:bookmarkEnd w:id="1089"/>
      <w:bookmarkEnd w:id="1091"/>
      <w:r>
        <w:rPr>
          <w:shd w:fill="EEEEEE" w:val="clear"/>
          <w:lang w:val="de-DE"/>
        </w:rPr>
        <w:t>Risikobehandlung</w:t>
      </w:r>
      <w:bookmarkEnd w:id="1090"/>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78761428"/>
      <w:bookmarkStart w:id="1099" w:name="_Toc531165132"/>
      <w:bookmarkStart w:id="1100" w:name="_Toc530662997"/>
      <w:bookmarkStart w:id="1101" w:name="a_2.3_wiederholung_und_anpassung"/>
      <w:bookmarkStart w:id="1102" w:name="_Ref184288318"/>
      <w:bookmarkStart w:id="1103" w:name="_Toc187327170"/>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Schadensverhütungs GmbH“?</w:t>
      </w:r>
    </w:p>
  </w:comment>
  <w:comment w:id="1" w:author="Mark Semmler" w:date="2026-01-05T07:23: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...oder „Verweise“?</w:t>
      </w:r>
    </w:p>
  </w:comment>
  <w:comment w:id="3" w:author="Mark Semmler" w:date="2025-12-18T09:59: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redundant zu Abschnitt 5.1</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 zusätzlich redundant zum Begriff „Leitlinie“ (siehe weiter unten).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 streichen?!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4" w:author="Mark Semmler" w:date="2025-12-27T17:04:0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Für den Begriff „Leitlinie“ gibt es in diesem Kapitel eine Definition, für den Begriff „Richtlinie“ nicht. Vereinheitlichen.</w:t>
      </w:r>
    </w:p>
  </w:comment>
  <w:comment w:id="5" w:author="Mark Semmler" w:date="2025-12-27T15:33:4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14:paraId="01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6" w:author="Mark Semmler" w:date="2026-01-10T11:49:09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Diskusion notwendig. Ich sehe aktuell noch keinen Mehrwert, wenn wir die Definition anpassen.</w:t>
      </w:r>
    </w:p>
  </w:comment>
  <w:comment w:id="7" w:author="Mark Semmler" w:date="2026-01-10T14:20:29Z" w:initials="MSe">
    <w:p w14:paraId="03000000">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 xml:space="preserve">Anmerkung aus dem Kernteam: </w:t>
      </w:r>
      <w:r>
        <w:rPr>
          <w:rFonts w:eastAsia="DejaVu Sans" w:cs="Noto Sans Arabic UI" w:ascii="Liberation Serif" w:hAnsi="Liberation Serif"/>
          <w:sz w:val="24"/>
          <w:szCs w:val="24"/>
          <w:lang w:eastAsia="en-US" w:val="en-US" w:bidi="en-US"/>
        </w:rPr>
        <w:t>Organisation nutzen wir in einer anderen Bedeutung als im Glossar definiert. Entweder müssten wir den Glossar um Organisation als Struktureinheit erweitern oder hier von einer „strukturellen Organisation“ sprechen.</w:t>
      </w:r>
    </w:p>
  </w:comment>
  <w:comment w:id="8" w:author="Mark Semmler" w:date="2026-01-10T14:21:24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4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Geändert in „organisatorische Strukturen“. Diskussion!</w:t>
      </w:r>
    </w:p>
  </w:comment>
  <w:comment w:id="9" w:author="Mark Semmler" w:date="2026-01-10T14:23:08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SOLLTE oder MUSS? Diskussion!</w:t>
      </w:r>
    </w:p>
  </w:comment>
  <w:comment w:id="10" w:author="Mark Semmler" w:date="2026-01-10T12:06:53Z" w:initials="MSe">
    <w:p>
      <w:pPr>
        <w:overflowPunct w:val="false"/>
        <w:bidi w:val="0"/>
        <w:spacing w:lineRule="auto" w:line="240" w:before="0" w:after="0"/>
        <w:jc w:val="left"/>
        <w:rPr/>
      </w:pPr>
      <w:r>
        <w:annotationRef/>
      </w:r>
      <w:r>
        <w:rPr>
          <w:rFonts w:cs="DejaVu Sans" w:eastAsia="Arial" w:ascii="Arial" w:hAnsi="Arial"/>
          <w:color w:val="auto"/>
          <w:kern w:val="0"/>
          <w:sz w:val="20"/>
          <w:szCs w:val="22"/>
          <w:lang w:bidi="ar-SA" w:eastAsia="en-US" w:val="de-DE"/>
        </w:rPr>
        <w:t xml:space="preserve">Der Bedarf kann z. B. entstehen, wenn sich Kernprozesse ändern oder die Risikoexposition zugenommen hat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1">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hyperlink r:id="rId2">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comment>
  <w:comment w:id="11" w:author="Mark Semmler" w:date="2026-01-10T12:05:55Z" w:initials="MSe">
    <w:p>
      <w:pPr>
        <w:overflowPunct w:val="false"/>
        <w:bidi w:val="0"/>
        <w:spacing w:lineRule="auto" w:line="240" w:before="0" w:after="0"/>
        <w:jc w:val="left"/>
        <w:rPr/>
      </w:pPr>
      <w:r>
        <w:annotationRef/>
      </w:r>
      <w:r>
        <w:rPr>
          <w:rFonts w:ascii="Arial" w:hAnsi="Arial" w:cs="DejaVu Sans" w:eastAsia="Arial"/>
          <w:color w:val="auto"/>
          <w:kern w:val="0"/>
          <w:sz w:val="20"/>
          <w:szCs w:val="22"/>
          <w:lang w:bidi="ar-SA" w:eastAsia="en-US" w:val="de-DE"/>
        </w:rPr>
        <w:t xml:space="preserve">Die Inhalte der Schulung wurden mittlerweile vom BSI konkretisiert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3">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Sollten wir anpassen.</w:t>
      </w:r>
    </w:p>
  </w:comment>
  <w:comment w:id="12" w:author="Mark Semmler" w:date="2026-01-05T07:30:3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Mit der strukturierten Erfassung dieser Informationen verankern wir die Prinzipien „Schutzkategorie“ und „Administrationszone“ und werten sie auf.</w:t>
      </w:r>
    </w:p>
  </w:comment>
  <w:comment w:id="13" w:author="Mark Semmler" w:date="2026-01-10T14:28:2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Anmerkung aus dem Kernteam:</w:t>
      </w:r>
    </w:p>
    <w:p w14:paraId="05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Klingt etwas Widersprüchlich zum ersten Absatz, unter 10.4.1., dort steht „Müssen..für alle IT-Systeme“ – Dann sollten wir im ersten Absatz schreiben alle IT-Systeme die mindestens der Kategorie „Standard“ entsprechen. Oder generell diese KÖNNEN-Option herausnehmen (mein persönlicher Favorit)</w:t>
      </w:r>
    </w:p>
  </w:comment>
  <w:comment w:id="14" w:author="Mark Semmler" w:date="2026-01-10T14:28:44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Ich wollte mit dieser Formulierung das Prinzip des Basisschutzes möglichst weit erhalten (Kompatibilität zur VdS 10000).</w:t>
      </w:r>
    </w:p>
    <w:p w14:paraId="06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Eine generelle Ausnahme für nachrangige IT-Ressourcen sollten wir erhalten, weil das die Grundstruktur der VdS 10100 ist.</w:t>
      </w:r>
    </w:p>
  </w:comment>
  <w:comment w:id="15"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16"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17"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notwendig.</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Die Umsetzung eines „MUSS“ bedingt, dass sämtliche Authentifizierungen geloggt und diese Logs ausgewertet werden müssen → hoher Aufwand!</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Allerdings würde ein MUSS dazu führen, dass die Organisation diesen Punkt in sein Risikomanegement aufnehmen muss, wenn er nicht 100% umgesetzt wird.</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Das Ausprobieren von Anmeldeinformationen ist eine sehr häufig gesehene Technik beim Lateral Movement.</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2-26T15:55:56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9"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20" w:author="Mark Semmler" w:date="2025-12-26T15:56:03Z" w:initials="MSe">
    <w:p w14:paraId="07000000">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21" w:author="Mark Semmler" w:date="2026-01-10T14:33:06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8000000">
      <w:pPr>
        <w:overflowPunct w:val="false"/>
        <w:spacing w:before="0" w:after="0" w:lineRule="auto" w:line="240"/>
        <w:jc w:val="left"/>
        <w:rPr/>
      </w:pPr>
      <w:r>
        <w:rPr>
          <w:rFonts w:eastAsia="DejaVu Sans" w:cs="Noto Sans Arabic UI" w:ascii="Liberation Serif" w:hAnsi="Liberation Serif"/>
          <w:sz w:val="24"/>
          <w:szCs w:val="24"/>
          <w:lang w:val="en-US" w:eastAsia="en-US" w:bidi="en-US"/>
        </w:rPr>
        <w:t>Tendenz der Kommentierungen: SOLLTE</w:t>
      </w:r>
    </w:p>
  </w:comment>
  <w:comment w:id="22" w:author="Mark Semmler" w:date="2026-01-10T14:34:2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SOLLTE oder MUSS?</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Tendenz in den Kommentaren geht in Richtung MUSS.</w:t>
      </w:r>
    </w:p>
  </w:comment>
  <w:comment w:id="23" w:author="Mark Semmler" w:date="2025-12-26T15:56:09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24" w:author="Mark Semmler" w:date="2025-12-26T15:56:14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25" w:author="Mark Semmler" w:date="2025-12-26T15:56:20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26" w:author="Mark Semmler" w:date="2026-01-05T14:12:4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comment>
  <w:comment w:id="27" w:author="Mark Semmler" w:date="2025-12-05T16:54:42Z" w:initials="MSe">
    <w:p w14:paraId="09000000">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8" w:author="Mark Semmler" w:date="2026-01-10T14:37:17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Unterschiedliches Feedback.</w:t>
      </w:r>
    </w:p>
    <w:p w14:paraId="0a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29" w:author="Mark Semmler" w:date="2026-01-10T14:38:2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siehe Kommentar zu diesem Konstrukt in Kapitel 10 (IT-Systeme)</w:t>
      </w:r>
    </w:p>
  </w:comment>
  <w:comment w:id="30" w:author="Mark Semmler" w:date="2026-01-04T09:14:12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Streichen?</w:t>
      </w:r>
    </w:p>
  </w:comment>
  <w:comment w:id="31" w:author="Mark Semmler" w:date="2026-01-08T12:58:11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Zugänge und Zugriffsrechte, die nicht von Usern benötigt werden, wohl aber z. B. von Software.</w:t>
      </w:r>
    </w:p>
  </w:comment>
  <w:comment w:id="32"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w:t>
      </w:r>
      <w:r>
        <w:rPr>
          <w:rFonts w:eastAsia="DejaVu Sans" w:cs="Noto Sans Arabic UI" w:ascii="Liberation Serif" w:hAnsi="Liberation Serif"/>
          <w:sz w:val="24"/>
          <w:szCs w:val="24"/>
          <w:lang w:eastAsia="en-US" w:bidi="en-US" w:val="de-DE"/>
        </w:rPr>
        <w:t>SOLLTE</w:t>
      </w:r>
      <w:r>
        <w:rPr>
          <w:rFonts w:eastAsia="DejaVu Sans" w:cs="Noto Sans Arabic UI" w:ascii="Liberation Serif" w:hAnsi="Liberation Serif"/>
          <w:sz w:val="24"/>
          <w:szCs w:val="24"/>
          <w:lang w:eastAsia="en-US" w:bidi="en-US" w:val="en-US"/>
        </w:rPr>
        <w:t xml:space="preserve"> oder überflüssig?</w:t>
      </w:r>
    </w:p>
  </w:comment>
  <w:comment w:id="33" w:author="Mark Semmler" w:date="2026-01-10T14:40:5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Diskussion zum Thema wie in Kap. 10 und 11.</w:t>
      </w:r>
    </w:p>
  </w:comment>
  <w:comment w:id="34" w:author="Mark Semmler" w:date="2025-12-28T20:35:57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KVP auch für die Bewältigung von Sicherheitsvorfällen.</w:t>
      </w:r>
    </w:p>
  </w:comment>
  <w:comment w:id="35" w:author="Mark Semmler" w:date="2026-01-10T12:44:14Z" w:initials="MSe">
    <w:p w14:paraId="0b000000">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Frage: „die für und durch die IT entstehen“ entsorgen, weil aus dem Kontext ersichtlich oder stehen lassen, um hervorzuheben, dass wir uns „nur“ um IT-Krisen kümmern?</w:t>
      </w:r>
    </w:p>
  </w:comment>
  <w:comment w:id="36" w:author="Mark Semmler" w:date="2026-01-10T14:42:51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Textvorschlag:</w:t>
      </w:r>
    </w:p>
    <w:p w14:paraId="0c000000">
      <w:pPr>
        <w:overflowPunct w:val="true"/>
        <w:bidi w:val="0"/>
        <w:spacing w:lineRule="auto" w:line="240" w:before="0" w:after="0"/>
        <w:jc w:val="left"/>
        <w:rPr/>
      </w:pPr>
      <w:r>
        <w:rPr>
          <w:rFonts w:eastAsia="Arial" w:cs="DejaVu Sans" w:ascii="Arial" w:hAnsi="Arial"/>
          <w:color w:val="auto"/>
          <w:kern w:val="0"/>
          <w:sz w:val="20"/>
          <w:szCs w:val="22"/>
          <w:lang w:val="de-DE" w:eastAsia="en-US" w:bidi="ar-SA"/>
        </w:rPr>
        <w:t>„</w:t>
      </w:r>
      <w:r>
        <w:rPr>
          <w:rFonts w:eastAsia="DejaVu Sans" w:cs="Noto Sans Arabic UI" w:ascii="Liberation Serif" w:hAnsi="Liberation Serif"/>
          <w:sz w:val="24"/>
          <w:szCs w:val="24"/>
          <w:lang w:eastAsia="en-US" w:val="en-US" w:bidi="en-US"/>
        </w:rPr>
        <w:t>Eine strukturierte Vorbereitung ist wesentlich, um auf IT-bezogene Krisen, die von der regulären Aufbauorganisation nicht bewältigt werden können, schnell und zielgerichtet zu reagieren, Schäden zu begrenzen und die Handlungsfähigkeit der Organisation zeitnah wiederherzustellen.“</w:t>
      </w:r>
    </w:p>
  </w:comment>
  <w:comment w:id="37" w:author="Mark Semmler" w:date="2026-01-03T16:12:4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de-DE" w:eastAsia="en-US" w:bidi="en-US"/>
        </w:rPr>
        <w:t>KVP auch für die Bewältigung von IT-Krisen.</w:t>
      </w:r>
    </w:p>
  </w:comment>
  <w:comment w:id="38" w:author="Mark Semmler" w:date="2026-01-10T12:52:48Z" w:initials="MSe">
    <w:p>
      <w:pPr>
        <w:overflowPunct w:val="tru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14:paraId="0d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39" w:author="Mark Semmler" w:date="2026-01-10T12:53:03Z" w:initials="MSe">
    <w:p>
      <w:pPr>
        <w:overflowPunct w:val="false"/>
        <w:spacing w:before="0" w:after="0" w:lineRule="auto" w:line="24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fals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e000000">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40" w:author="Mark Semmler" w:date="2026-01-05T12:06: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41" w:author="Mark Semmler" w:date="2026-01-05T12:06:48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42" w:author="Mark Semmler" w:date="2025-12-30T10:43: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Sollten wir diesen Abschnitt als Verfahren definieren? Wir haben z. B. auch ein Verfahren für den Verlust eines mobilen IT-Systems und für die Datensicherung gefordert. Angesichts der Bedeutung der Kryptografie ist es ggf. sinnvoll dies auch hier zu tun. </w:t>
      </w:r>
    </w:p>
  </w:comment>
  <w:comment w:id="43" w:author="Mark Semmler" w:date="2026-01-08T13:06: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Zertifikate!</w:t>
      </w:r>
    </w:p>
  </w:comment>
  <w:comment w:id="44" w:author="Mark Semmler" w:date="2025-12-29T09:06: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MUSS </w:t>
      </w:r>
      <w:r>
        <w:rPr>
          <w:rFonts w:eastAsia="DejaVu Sans" w:cs="Noto Sans Arabic UI" w:ascii="Liberation Serif" w:hAnsi="Liberation Serif"/>
          <w:sz w:val="24"/>
          <w:szCs w:val="24"/>
          <w:lang w:eastAsia="en-US" w:bidi="en-US" w:val="de-DE"/>
        </w:rPr>
        <w:t>oder</w:t>
      </w:r>
      <w:r>
        <w:rPr>
          <w:rFonts w:eastAsia="DejaVu Sans" w:cs="Noto Sans Arabic UI" w:ascii="Liberation Serif" w:hAnsi="Liberation Serif"/>
          <w:sz w:val="24"/>
          <w:szCs w:val="24"/>
          <w:lang w:eastAsia="en-US" w:bidi="en-US" w:val="en-US"/>
        </w:rPr>
        <w:t xml:space="preserve"> SOLLTE?</w:t>
      </w:r>
    </w:p>
  </w:comment>
  <w:comment w:id="46" w:author="Mark Semmler" w:date="2025-12-29T09:06:1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47" w:author="Mark Semmler" w:date="2025-12-28T21:44:1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Wenn wir nur „Entwicklungen“ adressieren, dann vergessen wir ggf. den Umstand, dass bestehende IT-Ressourcen im Laufe ihres Lebenszyklus angepasst/verbessert werden. Deshalb die Frage: Sollten wir „Anpassungen“ mit in dieses Kapitel aufnehmen, um Unklarheiten zu vermeiden? </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a000000" w15:paraIdParent="09000000"/>
  <w15:commentEx w15:paraId="0c000000" w15:paraIdParent="0b000000"/>
  <w15:commentEx w15:paraId="0e000000" w15:paraIdParent="0d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5"/>
    <w:bookmarkStart w:id="1105" w:name="_Hlk177383159_Copy_5"/>
    <w:bookmarkStart w:id="1106" w:name="_Hlk177383160_Copy_5"/>
    <w:bookmarkStart w:id="1107" w:name="_Hlk177383161_Copy_5"/>
    <w:r>
      <w:rPr>
        <w:lang w:val="de-DE"/>
      </w:rPr>
      <w:t xml:space="preserve">VdS 10100, Version 0.9.68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10.01.2026</w:t>
    </w:r>
    <w:r>
      <w:rPr>
        <w:bCs/>
        <w:lang w:val="de-DE"/>
      </w:rPr>
      <w:fldChar w:fldCharType="end"/>
    </w:r>
    <w:bookmarkEnd w:id="1104"/>
    <w:bookmarkEnd w:id="1105"/>
    <w:bookmarkEnd w:id="1106"/>
    <w:bookmarkEnd w:id="1107"/>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58"/>
    <w:bookmarkStart w:id="1109" w:name="_Hlk177383159"/>
    <w:bookmarkStart w:id="1110" w:name="_Hlk177383160"/>
    <w:bookmarkStart w:id="1111" w:name="_Hlk177383161"/>
    <w:r>
      <w:rPr>
        <w:lang w:val="de-DE"/>
      </w:rPr>
      <w:t xml:space="preserve">VdS 10100, Version 0.9.68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10.01.2026</w:t>
    </w:r>
    <w:r>
      <w:rPr>
        <w:bCs/>
        <w:lang w:val="de-DE"/>
      </w:rPr>
      <w:fldChar w:fldCharType="end"/>
    </w:r>
    <w:bookmarkStart w:id="1112" w:name="_Hlk177383308_Copy_11_Copy_6"/>
    <w:bookmarkStart w:id="1113" w:name="_Hlk177383308"/>
    <w:bookmarkEnd w:id="1112"/>
    <w:bookmarkEnd w:id="1113"/>
    <w:r>
      <w:rPr>
        <w:lang w:val="de-DE"/>
      </w:rPr>
      <w:tab/>
      <w:tab/>
    </w:r>
    <w:bookmarkEnd w:id="1108"/>
    <w:bookmarkEnd w:id="1109"/>
    <w:bookmarkEnd w:id="1110"/>
    <w:bookmarkEnd w:id="1111"/>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90"/>
    <w:lvlOverride w:ilvl="0">
      <w:startOverride w:val="1"/>
    </w:lvlOverride>
  </w:num>
  <w:num w:numId="108">
    <w:abstractNumId w:val="90"/>
  </w:num>
  <w:num w:numId="109">
    <w:abstractNumId w:val="90"/>
  </w:num>
  <w:num w:numId="110">
    <w:abstractNumId w:val="90"/>
  </w:num>
  <w:num w:numId="111">
    <w:abstractNumId w:val="90"/>
  </w:num>
  <w:num w:numId="112">
    <w:abstractNumId w:val="90"/>
    <w:lvlOverride w:ilvl="0">
      <w:startOverride w:val="1"/>
    </w:lvlOverride>
  </w:num>
  <w:num w:numId="113">
    <w:abstractNumId w:val="90"/>
  </w:num>
  <w:num w:numId="114">
    <w:abstractNumId w:val="90"/>
  </w:num>
  <w:num w:numId="115">
    <w:abstractNumId w:val="90"/>
  </w:num>
  <w:num w:numId="116">
    <w:abstractNumId w:val="90"/>
  </w:num>
  <w:num w:numId="117">
    <w:abstractNumId w:val="95"/>
    <w:lvlOverride w:ilvl="0">
      <w:startOverride w:val="1"/>
    </w:lvlOverride>
  </w:num>
  <w:num w:numId="118">
    <w:abstractNumId w:val="95"/>
  </w:num>
  <w:num w:numId="119">
    <w:abstractNumId w:val="95"/>
  </w:num>
  <w:num w:numId="120">
    <w:abstractNumId w:val="95"/>
  </w:num>
  <w:num w:numId="121">
    <w:abstractNumId w:val="95"/>
  </w:num>
  <w:num w:numId="122">
    <w:abstractNumId w:val="95"/>
  </w:num>
  <w:num w:numId="123">
    <w:abstractNumId w:val="101"/>
    <w:lvlOverride w:ilvl="0">
      <w:startOverride w:val="1"/>
    </w:lvlOverride>
  </w:num>
  <w:num w:numId="124">
    <w:abstractNumId w:val="101"/>
  </w:num>
  <w:num w:numId="125">
    <w:abstractNumId w:val="101"/>
  </w:num>
  <w:num w:numId="126">
    <w:abstractNumId w:val="101"/>
  </w:num>
  <w:num w:numId="127">
    <w:abstractNumId w:val="95"/>
    <w:lvlOverride w:ilvl="0">
      <w:startOverride w:val="1"/>
    </w:lvlOverride>
  </w:num>
  <w:num w:numId="128">
    <w:abstractNumId w:val="95"/>
  </w:num>
</w:numbering>
</file>

<file path=word/settings.xml><?xml version="1.0" encoding="utf-8"?>
<w:settings xmlns:w="http://schemas.openxmlformats.org/wordprocessingml/2006/main">
  <w:zoom w:percent="13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SharedDocs/Downloads/DE/BSI/NIS-2/nis-2-geschaeftsleitungsschulung.pdf?__blob=publicationFile&amp;v=3" TargetMode="External"/><Relationship Id="rId2" Type="http://schemas.openxmlformats.org/officeDocument/2006/relationships/hyperlink" Target="https://www.bsi.bund.de/SharedDocs/Downloads/DE/BSI/NIS-2/nis-2-geschaeftsleitungsschulung.pdf?__blob=publicationFile&amp;v=3" TargetMode="External"/><Relationship Id="rId3" Type="http://schemas.openxmlformats.org/officeDocument/2006/relationships/hyperlink" Target="https://www.bsi.bund.de/SharedDocs/Downloads/DE/BSI/NIS-2/nis-2-geschaeftsleitungsschulung.pdf?__blob=publicationFile&amp;v=3"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53798</TotalTime>
  <Application>LibreOffice/25.8.3.2$Linux_X86_64 LibreOffice_project/580$Build-2</Application>
  <AppVersion>15.0000</AppVersion>
  <Pages>47</Pages>
  <Words>14404</Words>
  <Characters>104328</Characters>
  <CharactersWithSpaces>116992</CharactersWithSpaces>
  <Paragraphs>1269</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2026-01-06T21:53:39Z</cp:lastPrinted>
  <dcterms:modified xsi:type="dcterms:W3CDTF">2026-01-10T14:49:15Z</dcterms:modified>
  <cp:revision>1006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