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816"/>
        <w:gridCol w:w="6713"/>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descr=""/>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3" w:type="dxa"/>
            <w:tcBorders>
              <w:top w:val="single" w:sz="2" w:space="0" w:color="000000"/>
              <w:bottom w:val="single" w:sz="2" w:space="0" w:color="000000"/>
              <w:right w:val="single" w:sz="2" w:space="0" w:color="000000"/>
            </w:tcBorders>
            <w:shd w:fill="FFFF00" w:val="clear"/>
          </w:tcPr>
          <w:p>
            <w:pPr>
              <w:pStyle w:val="Normal"/>
              <w:bidi w:val="0"/>
              <w:jc w:val="left"/>
              <w:rPr>
                <w:lang w:val="de-DE"/>
              </w:rPr>
            </w:pPr>
            <w:r>
              <w:rPr>
                <w:lang w:val="de-DE"/>
              </w:rPr>
              <w:t>Änderungen bitte im Änderungsmodus (Tracking) verfassen.</w:t>
            </w:r>
          </w:p>
          <w:p>
            <w:pPr>
              <w:pStyle w:val="Normal"/>
              <w:bidi w:val="0"/>
              <w:jc w:val="left"/>
              <w:rPr>
                <w:lang w:val="de-DE"/>
              </w:rPr>
            </w:pPr>
            <w:r>
              <w:rPr>
                <w:lang w:val="de-DE"/>
              </w:rPr>
              <w:t>Geänderte Versionen bitte per Mail senden an:</w:t>
              <w:br/>
              <w:t>vds10100-feedback [at] vds-nis2.de</w:t>
            </w:r>
          </w:p>
          <w:p>
            <w:pPr>
              <w:pStyle w:val="Normal"/>
              <w:bidi w:val="0"/>
              <w:jc w:val="left"/>
              <w:rPr>
                <w:lang w:val="de-DE"/>
              </w:rPr>
            </w:pPr>
            <w:r>
              <w:rPr>
                <w:lang w:val="de-DE"/>
              </w:rPr>
            </w:r>
          </w:p>
          <w:p>
            <w:pPr>
              <w:pStyle w:val="Normal"/>
              <w:bidi w:val="0"/>
              <w:spacing w:before="0" w:after="120"/>
              <w:jc w:val="left"/>
              <w:rPr>
                <w:lang w:val="de-DE"/>
              </w:rPr>
            </w:pPr>
            <w:r>
              <w:rPr>
                <w:lang w:val="de-DE"/>
              </w:rP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w:t>
      </w:r>
    </w:p>
    <w:p>
      <w:pPr>
        <w:pStyle w:val="Normal"/>
        <w:rPr>
          <w:sz w:val="36"/>
          <w:szCs w:val="36"/>
        </w:rPr>
      </w:pPr>
      <w:bookmarkStart w:id="2" w:name="__RefHeading___Toc10679_2312135153"/>
      <w:bookmarkEnd w:id="2"/>
      <w:r>
        <w:rPr>
          <w:sz w:val="36"/>
          <w:szCs w:val="36"/>
          <w:lang w:val="de-DE"/>
        </w:rPr>
        <w:t>Vorbemerkung</w:t>
      </w:r>
    </w:p>
    <w:p>
      <w:pPr>
        <w:pStyle w:val="Normal"/>
        <w:rPr/>
      </w:pPr>
      <w:r>
        <w:rPr>
          <w:lang w:val="de-DE"/>
        </w:rPr>
        <w:t>Durch den Bruch der Ampelkoalition war die Entwicklung des gesetzlichen Rahmens für die Umsetzung von NIS-2 (das NIS2UmsuCG) zum Erliegen gekommen.</w:t>
      </w:r>
      <w:r>
        <w:rPr>
          <w:lang w:val="de-DE" w:eastAsia="en-US" w:bidi="ar-SA"/>
        </w:rPr>
        <w:t xml:space="preserve"> </w:t>
      </w:r>
      <w:hyperlink r:id="rId3">
        <w:r>
          <w:rPr>
            <w:rStyle w:val="Hyperlink"/>
            <w:lang w:val="de-DE"/>
          </w:rPr>
          <w:t>Mit der Verabschiedung des Gesetzes im Bundestag am 13.11.2025 befindet sich das Gesetz auf der Zielgeraden.</w:t>
        </w:r>
      </w:hyperlink>
      <w:r>
        <w:rPr>
          <w:lang w:val="de-DE"/>
        </w:rPr>
        <w:t>.</w:t>
      </w:r>
    </w:p>
    <w:p>
      <w:pPr>
        <w:pStyle w:val="Normal"/>
        <w:rPr>
          <w:lang w:val="de-DE" w:eastAsia="en-US" w:bidi="ar-SA"/>
        </w:rPr>
      </w:pPr>
      <w:r>
        <w:rPr>
          <w:lang w:val="de-DE" w:eastAsia="en-US" w:bidi="ar-SA"/>
        </w:rPr>
        <w:t xml:space="preserve">Der vom Bundestrag verabschiedete </w:t>
      </w:r>
      <w:r>
        <w:rPr>
          <w:rFonts w:eastAsia="Arial" w:cs="DejaVu Sans"/>
          <w:color w:val="auto"/>
          <w:kern w:val="0"/>
          <w:sz w:val="20"/>
          <w:szCs w:val="22"/>
          <w:lang w:val="de-DE" w:eastAsia="en-US" w:bidi="ar-SA"/>
        </w:rPr>
        <w:t>Gesetzesentwurf bringt einige Neuerungen, unterscheidet sich aber nicht grundlegend von den bisherigen Texten.</w:t>
      </w:r>
    </w:p>
    <w:p>
      <w:pPr>
        <w:pStyle w:val="Normal"/>
        <w:numPr>
          <w:ilvl w:val="1"/>
          <w:numId w:val="30"/>
        </w:numPr>
        <w:spacing w:before="0" w:after="120"/>
        <w:rPr>
          <w:b/>
          <w:bCs/>
          <w:sz w:val="40"/>
          <w:szCs w:val="40"/>
        </w:rPr>
      </w:pPr>
      <w:r>
        <w:rPr>
          <w:b/>
          <w:bCs/>
          <w:sz w:val="40"/>
          <w:szCs w:val="40"/>
          <w:lang w:val="de-DE"/>
        </w:rPr>
        <w:t>Vorgehensweise der VdS 10100</w:t>
      </w:r>
    </w:p>
    <w:p>
      <w:pPr>
        <w:pStyle w:val="Normal"/>
        <w:numPr>
          <w:ilvl w:val="1"/>
          <w:numId w:val="30"/>
        </w:numPr>
        <w:spacing w:before="0" w:after="120"/>
        <w:rPr>
          <w:b/>
          <w:bCs/>
          <w:sz w:val="40"/>
          <w:szCs w:val="40"/>
        </w:rPr>
      </w:pPr>
      <w:r>
        <w:rPr>
          <w:lang w:val="de-DE"/>
        </w:rPr>
        <w:t xml:space="preserve">Der Aufwand für die Umsetzung gängiger Regelwerke wie z. B. der VdS 10100 oder ISO 27001 wird z. B. dadurch begrenzt, dass ihr Geltungsbereich festgelegt werden kann. Das ist im Rahmen der Umsetzung von NIS-2 nicht möglich; die betroffenen Organisationen sind verpflichtet, ihre </w:t>
      </w:r>
      <w:r>
        <w:rPr>
          <w:rFonts w:eastAsia="Bitstream Vera Sans" w:cs="Bitstream Vera Sans"/>
          <w:color w:val="auto"/>
          <w:kern w:val="0"/>
          <w:sz w:val="20"/>
          <w:szCs w:val="24"/>
          <w:lang w:val="de-DE" w:eastAsia="en-US" w:bidi="en-US"/>
        </w:rPr>
        <w:t>„</w:t>
      </w:r>
      <w:r>
        <w:rPr>
          <w:lang w:val="de-DE"/>
        </w:rPr>
        <w:t>informationstechnischen Systeme, Komponenten und Prozesse, die sie für die Erbringung ihrer Dienste nutzen</w:t>
      </w:r>
      <w:r>
        <w:rPr>
          <w:rFonts w:eastAsia="Bitstream Vera Sans" w:cs="Bitstream Vera Sans"/>
          <w:color w:val="auto"/>
          <w:kern w:val="0"/>
          <w:sz w:val="20"/>
          <w:szCs w:val="24"/>
          <w:lang w:val="de-DE" w:eastAsia="en-US" w:bidi="en-US"/>
        </w:rPr>
        <w:t xml:space="preserve">“ durch entsprechende „geeignete, verhältnismäßige und wirksame technische und organisatorische Maßnahmen“ abzusichern (§ 30 Abs. 1 Satz 1). </w:t>
      </w:r>
      <w:r>
        <w:rPr>
          <w:lang w:val="de-DE"/>
        </w:rPr>
        <w:t xml:space="preserve">Die Erklärung im Entwurf des NIS2UmsuCG stellt klar, dass </w:t>
      </w:r>
      <w:r>
        <w:rPr>
          <w:rFonts w:eastAsia="Bitstream Vera Sans" w:cs="Bitstream Vera Sans"/>
          <w:color w:val="auto"/>
          <w:kern w:val="0"/>
          <w:sz w:val="20"/>
          <w:szCs w:val="24"/>
          <w:lang w:val="de-DE" w:eastAsia="en-US" w:bidi="en-US"/>
        </w:rPr>
        <w:t>„d</w:t>
      </w:r>
      <w:r>
        <w:rPr>
          <w:lang w:val="de-DE"/>
        </w:rPr>
        <w:t>er Begriff „Erbringung ihrer Dienste“ (</w:t>
      </w:r>
      <w:r>
        <w:rPr>
          <w:rFonts w:eastAsia="Bitstream Vera Sans" w:cs="Bitstream Vera Sans"/>
          <w:color w:val="auto"/>
          <w:kern w:val="0"/>
          <w:sz w:val="20"/>
          <w:szCs w:val="24"/>
          <w:lang w:val="de-DE" w:eastAsia="en-US" w:bidi="en-US"/>
        </w:rPr>
        <w:t>…</w:t>
      </w:r>
      <w:r>
        <w:rPr>
          <w:lang w:val="de-DE"/>
        </w:rPr>
        <w:t>) weit gefasst (ist) und insbesondere nicht mit der Erbringung (kritischer) Versorgungsdienstleistungen zu verwechseln (ist). Vielmehr sind die hier gemeinten Dienste sämtliche Aktivitäten der Einrichtung, für die IT-Systeme eingesetzt werden, dies beinhaltet beispielsweise auch Büro-IT oder andere IT-Systeme, die durch die Einrichtung betrieben werden.</w:t>
      </w:r>
      <w:r>
        <w:rPr>
          <w:rFonts w:eastAsia="Bitstream Vera Sans" w:cs="Bitstream Vera Sans"/>
          <w:color w:val="auto"/>
          <w:kern w:val="0"/>
          <w:sz w:val="20"/>
          <w:szCs w:val="24"/>
          <w:lang w:val="de-DE" w:eastAsia="en-US" w:bidi="en-US"/>
        </w:rPr>
        <w:t>“ Wir reagieren auf diese Vorgabe, indem in Abschnitt 1.2 der VdS 10100 (Anwendungs- und Geltungsbereich) festgelegt ist, dass die Richtlinien für die gesamte Organisation umzusetzen sind.</w:t>
      </w:r>
    </w:p>
    <w:p>
      <w:pPr>
        <w:pStyle w:val="Normal"/>
        <w:bidi w:val="0"/>
        <w:jc w:val="left"/>
        <w:rPr>
          <w:lang w:val="de-DE"/>
        </w:rPr>
      </w:pPr>
      <w:r>
        <w:rPr>
          <w:lang w:val="de-DE"/>
        </w:rPr>
        <w:t xml:space="preserve">Im </w:t>
      </w:r>
      <w:r>
        <w:rPr>
          <w:rFonts w:eastAsia="Bitstream Vera Sans" w:cs="Bitstream Vera Sans"/>
          <w:color w:val="auto"/>
          <w:kern w:val="0"/>
          <w:sz w:val="20"/>
          <w:szCs w:val="24"/>
          <w:lang w:val="de-DE" w:eastAsia="en-US" w:bidi="en-US"/>
        </w:rPr>
        <w:t>Gesetzestext</w:t>
      </w:r>
      <w:r>
        <w:rPr>
          <w:lang w:val="de-DE"/>
        </w:rPr>
        <w:t xml:space="preserve"> wird betont, dass bei der Auswahl der technischen und organisatorischen Maßnahmen </w:t>
      </w:r>
      <w:r>
        <w:rPr>
          <w:rFonts w:eastAsia="Bitstream Vera Sans" w:cs="Bitstream Vera Sans"/>
          <w:color w:val="auto"/>
          <w:kern w:val="0"/>
          <w:sz w:val="20"/>
          <w:szCs w:val="24"/>
          <w:lang w:val="de-DE" w:eastAsia="en-US" w:bidi="en-US"/>
        </w:rPr>
        <w:t>„das Ausmaß der Risikoexposition die Größe der Einrichtung, die Umsetzungskosten und die Eintrittswahrscheinlichkeit und Schwere von Sicherheitsvorfällen sowie ihre gesellschaftlichen und wirtschaftlichen Auswirkungen zu berücksichtigen“ sind (§ 30 Abs. 1 Satz 2). Diese Formulierung ermöglicht es, den Aufwand für die Umsetzung von NIS-2 (und damit der VdS 10100) zu minimieren, ohne den Geltungsbereich unzulässigerweise einzuschränken.</w:t>
      </w:r>
    </w:p>
    <w:p>
      <w:pPr>
        <w:pStyle w:val="Normal"/>
        <w:numPr>
          <w:ilvl w:val="1"/>
          <w:numId w:val="30"/>
        </w:numPr>
        <w:rPr>
          <w:lang w:val="de-DE"/>
        </w:rPr>
      </w:pPr>
      <w:r>
        <w:rPr>
          <w:lang w:val="de-DE"/>
        </w:rPr>
        <w:t>Die VdS 10100 unterteilt die IT-Ressourcen in vier Kategorien, wobei für die Einteilung allein die mögliche Schadenshöhe beim Eintritt eines Sicherheitsvorfalls (Bruch der Vertraulichkeit, Verfügbarkeit und/oder Integrität) verwendet wird:</w:t>
      </w:r>
    </w:p>
    <w:tbl>
      <w:tblPr>
        <w:tblW w:w="9011" w:type="dxa"/>
        <w:jc w:val="left"/>
        <w:tblInd w:w="-188" w:type="dxa"/>
        <w:tblLayout w:type="fixed"/>
        <w:tblCellMar>
          <w:top w:w="55" w:type="dxa"/>
          <w:left w:w="55" w:type="dxa"/>
          <w:bottom w:w="55" w:type="dxa"/>
          <w:right w:w="55" w:type="dxa"/>
        </w:tblCellMar>
      </w:tblPr>
      <w:tblGrid>
        <w:gridCol w:w="1757"/>
        <w:gridCol w:w="7254"/>
      </w:tblGrid>
      <w:tr>
        <w:trPr/>
        <w:tc>
          <w:tcPr>
            <w:tcW w:w="1757" w:type="dxa"/>
            <w:tcBorders>
              <w:top w:val="single" w:sz="4" w:space="0" w:color="000000"/>
              <w:left w:val="single" w:sz="4" w:space="0" w:color="000000"/>
              <w:bottom w:val="single" w:sz="4" w:space="0" w:color="000000"/>
            </w:tcBorders>
            <w:shd w:fill="DDDDDD" w:val="clear"/>
            <w:vAlign w:val="center"/>
          </w:tcPr>
          <w:p>
            <w:pPr>
              <w:pStyle w:val="Tabelleninhalt"/>
              <w:keepNext w:val="true"/>
              <w:spacing w:before="0" w:after="120"/>
              <w:jc w:val="center"/>
              <w:rPr>
                <w:b/>
                <w:bCs/>
              </w:rPr>
            </w:pPr>
            <w:r>
              <w:rPr>
                <w:b/>
                <w:bCs/>
                <w:lang w:val="de-DE"/>
              </w:rPr>
              <w:t>Schutzkategorie</w:t>
            </w:r>
          </w:p>
        </w:tc>
        <w:tc>
          <w:tcPr>
            <w:tcW w:w="7254" w:type="dxa"/>
            <w:tcBorders>
              <w:top w:val="single" w:sz="4" w:space="0" w:color="000000"/>
              <w:left w:val="single" w:sz="4" w:space="0" w:color="000000"/>
              <w:bottom w:val="single" w:sz="4" w:space="0" w:color="000000"/>
              <w:right w:val="single" w:sz="4" w:space="0" w:color="000000"/>
            </w:tcBorders>
            <w:shd w:fill="DDDDDD" w:val="clear"/>
            <w:vAlign w:val="center"/>
          </w:tcPr>
          <w:p>
            <w:pPr>
              <w:pStyle w:val="Tabelleninhalt"/>
              <w:spacing w:before="0" w:after="120"/>
              <w:jc w:val="center"/>
              <w:rPr>
                <w:b/>
                <w:bCs/>
              </w:rPr>
            </w:pPr>
            <w:r>
              <w:rPr>
                <w:b/>
                <w:bCs/>
                <w:lang w:val="de-DE"/>
              </w:rPr>
              <w:t>‍</w:t>
            </w:r>
            <w:r>
              <w:rPr>
                <w:b/>
                <w:bCs/>
                <w:lang w:val="de-DE"/>
              </w:rPr>
              <w:t>Kriterien</w:t>
            </w:r>
          </w:p>
        </w:tc>
      </w:tr>
      <w:tr>
        <w:trPr/>
        <w:tc>
          <w:tcPr>
            <w:tcW w:w="1757" w:type="dxa"/>
            <w:tcBorders>
              <w:left w:val="single" w:sz="4" w:space="0" w:color="000000"/>
              <w:bottom w:val="single" w:sz="4" w:space="0" w:color="000000"/>
            </w:tcBorders>
          </w:tcPr>
          <w:p>
            <w:pPr>
              <w:pStyle w:val="Tabelleninhalt"/>
              <w:keepNext w:val="true"/>
              <w:spacing w:before="0" w:after="120"/>
              <w:rPr>
                <w:lang w:val="de-DE" w:eastAsia="en-US" w:bidi="en-US"/>
              </w:rPr>
            </w:pPr>
            <w:r>
              <w:rPr>
                <w:rFonts w:eastAsia="Bitstream Vera Sans" w:cs="Bitstream Vera Sans"/>
                <w:color w:val="auto"/>
                <w:kern w:val="0"/>
                <w:sz w:val="20"/>
                <w:szCs w:val="24"/>
                <w:lang w:val="de-DE" w:eastAsia="en-US" w:bidi="en-US"/>
              </w:rPr>
              <w:t>nachrangig</w:t>
            </w:r>
          </w:p>
        </w:tc>
        <w:tc>
          <w:tcPr>
            <w:tcW w:w="7254"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IT-Ressourcen, bei denen ein Sicherheitsvorfall nur zu einem vernachlässigbaren Schaden führen kann (die Schadenshöhe liegt unterhalb der Risikoakzeptanzgrenze, die von der betroffenen Organisation definiert werden muss (siehe Anhang A 2) und die von der restlichen IT-Infrastruktur umfassend abgeschottet ist.</w:t>
            </w:r>
          </w:p>
        </w:tc>
      </w:tr>
      <w:tr>
        <w:trPr/>
        <w:tc>
          <w:tcPr>
            <w:tcW w:w="1757" w:type="dxa"/>
            <w:tcBorders>
              <w:left w:val="single" w:sz="4" w:space="0" w:color="000000"/>
              <w:bottom w:val="single" w:sz="4" w:space="0" w:color="000000"/>
            </w:tcBorders>
          </w:tcPr>
          <w:p>
            <w:pPr>
              <w:pStyle w:val="Tabelleninhalt"/>
              <w:keepNext w:val="true"/>
              <w:spacing w:before="0" w:after="120"/>
              <w:rPr>
                <w:lang w:val="de-DE"/>
              </w:rPr>
            </w:pPr>
            <w:r>
              <w:rPr>
                <w:lang w:val="de-DE"/>
              </w:rPr>
              <w:t>‍‍‍‍‍</w:t>
            </w:r>
            <w:r>
              <w:rPr>
                <w:rFonts w:eastAsia="Bitstream Vera Sans" w:cs="Bitstream Vera Sans"/>
                <w:color w:val="auto"/>
                <w:kern w:val="0"/>
                <w:sz w:val="20"/>
                <w:szCs w:val="24"/>
                <w:lang w:val="de-DE" w:eastAsia="en-US" w:bidi="en-US"/>
              </w:rPr>
              <w:t>standard</w:t>
            </w:r>
          </w:p>
        </w:tc>
        <w:tc>
          <w:tcPr>
            <w:tcW w:w="7254"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Alle IT-Ressourcen von Bedeutung; also alle IT-Ressourcen, die nicht nachrangig sind.</w:t>
            </w:r>
          </w:p>
        </w:tc>
      </w:tr>
      <w:tr>
        <w:trPr/>
        <w:tc>
          <w:tcPr>
            <w:tcW w:w="1757" w:type="dxa"/>
            <w:tcBorders>
              <w:left w:val="single" w:sz="4" w:space="0" w:color="000000"/>
              <w:bottom w:val="single" w:sz="4" w:space="0" w:color="000000"/>
            </w:tcBorders>
          </w:tcPr>
          <w:p>
            <w:pPr>
              <w:pStyle w:val="Tabelleninhalt"/>
              <w:keepNext w:val="true"/>
              <w:spacing w:before="0" w:after="120"/>
              <w:rPr>
                <w:lang w:val="de-DE"/>
              </w:rPr>
            </w:pPr>
            <w:r>
              <w:rPr>
                <w:lang w:val="de-DE"/>
              </w:rPr>
              <w:t>wichtig</w:t>
            </w:r>
          </w:p>
        </w:tc>
        <w:tc>
          <w:tcPr>
            <w:tcW w:w="7254"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IT-Ressourcen, die für den Betrieb eines zentralen Prozesses oder eines Prozesses mit hohem Schadenspotential (</w:t>
            </w:r>
            <w:r>
              <w:rPr>
                <w:rFonts w:eastAsia="Arial" w:cs="DejaVu Sans"/>
                <w:color w:val="auto"/>
                <w:kern w:val="0"/>
                <w:sz w:val="20"/>
                <w:szCs w:val="22"/>
                <w:lang w:val="de-DE" w:eastAsia="en-US" w:bidi="ar-SA"/>
              </w:rPr>
              <w:t xml:space="preserve">z. B. </w:t>
            </w:r>
            <w:r>
              <w:rPr>
                <w:lang w:val="de-DE"/>
              </w:rPr>
              <w:t xml:space="preserve">die Datensicherung oder -wiederherstellung) unbedingt benötigt werden. Untermenge der Kategorie </w:t>
            </w:r>
            <w:r>
              <w:rPr>
                <w:rFonts w:eastAsia="Arial" w:cs="DejaVu Sans"/>
                <w:color w:val="auto"/>
                <w:kern w:val="0"/>
                <w:sz w:val="20"/>
                <w:szCs w:val="22"/>
                <w:lang w:val="de-DE" w:eastAsia="en-US" w:bidi="ar-SA"/>
              </w:rPr>
              <w:t>„standard“.</w:t>
            </w:r>
          </w:p>
        </w:tc>
      </w:tr>
      <w:tr>
        <w:trPr/>
        <w:tc>
          <w:tcPr>
            <w:tcW w:w="1757" w:type="dxa"/>
            <w:tcBorders>
              <w:left w:val="single" w:sz="4" w:space="0" w:color="000000"/>
              <w:bottom w:val="single" w:sz="4" w:space="0" w:color="000000"/>
            </w:tcBorders>
          </w:tcPr>
          <w:p>
            <w:pPr>
              <w:pStyle w:val="Tabelleninhalt"/>
              <w:spacing w:before="0" w:after="120"/>
              <w:rPr>
                <w:rFonts w:eastAsia="Bitstream Vera Sans" w:cs="Bitstream Vera Sans"/>
                <w:color w:val="auto"/>
                <w:kern w:val="0"/>
                <w:sz w:val="20"/>
                <w:szCs w:val="24"/>
                <w:lang w:val="de-DE" w:eastAsia="en-US" w:bidi="en-US"/>
              </w:rPr>
            </w:pPr>
            <w:r>
              <w:rPr>
                <w:lang w:val="de-DE"/>
              </w:rPr>
              <w:t>‍‍‍‍‍</w:t>
            </w:r>
            <w:r>
              <w:rPr>
                <w:lang w:val="de-DE"/>
              </w:rPr>
              <w:t>kritisch</w:t>
            </w:r>
          </w:p>
        </w:tc>
        <w:tc>
          <w:tcPr>
            <w:tcW w:w="7254"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w:t>
            </w:r>
            <w:r>
              <w:rPr>
                <w:lang w:val="de-DE"/>
              </w:rPr>
              <w:t xml:space="preserve">IT-Ressourcen, die </w:t>
            </w:r>
            <w:r>
              <w:rPr>
                <w:rFonts w:eastAsia="Bitstream Vera Sans" w:cs="Bitstream Vera Sans"/>
                <w:color w:val="auto"/>
                <w:kern w:val="0"/>
                <w:sz w:val="20"/>
                <w:szCs w:val="24"/>
                <w:lang w:val="de-DE" w:eastAsia="en-US" w:bidi="en-US"/>
              </w:rPr>
              <w:t xml:space="preserve">kritische </w:t>
            </w:r>
            <w:r>
              <w:rPr>
                <w:lang w:val="de-DE"/>
              </w:rPr>
              <w:t xml:space="preserve">Informationen verarbeiten, speichern oder übertragen oder die für den Betrieb von kritischen IT-Ressourcen zwingend benötigt werden. Ein Sicherheitsvorfall bei diesen IT-Ressourcen kann zu einem katastrophalen Schaden führen. Untermenge der Kategorie </w:t>
            </w:r>
            <w:r>
              <w:rPr>
                <w:rFonts w:eastAsia="Arial" w:cs="DejaVu Sans"/>
                <w:color w:val="auto"/>
                <w:kern w:val="0"/>
                <w:sz w:val="20"/>
                <w:szCs w:val="22"/>
                <w:lang w:val="de-DE" w:eastAsia="en-US" w:bidi="ar-SA"/>
              </w:rPr>
              <w:t>„</w:t>
            </w:r>
            <w:r>
              <w:rPr>
                <w:lang w:val="de-DE"/>
              </w:rPr>
              <w:t>wichtig</w:t>
            </w:r>
            <w:r>
              <w:rPr>
                <w:rFonts w:eastAsia="Arial" w:cs="DejaVu Sans"/>
                <w:color w:val="auto"/>
                <w:kern w:val="0"/>
                <w:sz w:val="20"/>
                <w:szCs w:val="22"/>
                <w:lang w:val="de-DE" w:eastAsia="en-US" w:bidi="ar-SA"/>
              </w:rPr>
              <w:t>“</w:t>
            </w:r>
            <w:r>
              <w:rPr>
                <w:lang w:val="de-DE"/>
              </w:rPr>
              <w:t>.</w:t>
            </w:r>
          </w:p>
        </w:tc>
      </w:tr>
    </w:tbl>
    <w:p>
      <w:pPr>
        <w:pStyle w:val="Normal"/>
        <w:numPr>
          <w:ilvl w:val="2"/>
          <w:numId w:val="30"/>
        </w:numPr>
        <w:spacing w:before="0" w:after="0"/>
        <w:rPr>
          <w:lang w:val="de-DE"/>
        </w:rPr>
      </w:pPr>
      <w:bookmarkStart w:id="3" w:name="__RefHeading___Toc15925_1742933099"/>
      <w:bookmarkEnd w:id="3"/>
      <w:r>
        <w:rPr>
          <w:lang w:val="de-DE"/>
        </w:rPr>
        <w:t>Für die einzelnen Kategorien sind aufeinander aufbauende Sicherheitsmaßnahmen definiert, deren Umsetzungsaufwand mit der Bedeutung der IT-Ressourcen zunimmt.</w:t>
      </w:r>
    </w:p>
    <w:p>
      <w:pPr>
        <w:pStyle w:val="BodyText"/>
        <w:widowControl w:val="false"/>
        <w:suppressAutoHyphens w:val="true"/>
        <w:overflowPunct w:val="false"/>
        <w:bidi w:val="0"/>
        <w:spacing w:before="0" w:after="120"/>
        <w:jc w:val="left"/>
        <w:rPr>
          <w:lang w:val="de-DE"/>
        </w:rPr>
      </w:pPr>
      <w:r>
        <w:rPr/>
        <w:drawing>
          <wp:inline distT="0" distB="0" distL="0" distR="0">
            <wp:extent cx="5760720" cy="315087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4"/>
                    <a:srcRect l="-103" t="-761" r="-103" b="-761"/>
                    <a:stretch>
                      <a:fillRect/>
                    </a:stretch>
                  </pic:blipFill>
                  <pic:spPr bwMode="auto">
                    <a:xfrm>
                      <a:off x="0" y="0"/>
                      <a:ext cx="5760720" cy="3150870"/>
                    </a:xfrm>
                    <a:prstGeom prst="rect">
                      <a:avLst/>
                    </a:prstGeom>
                    <a:noFill/>
                  </pic:spPr>
                </pic:pic>
              </a:graphicData>
            </a:graphic>
          </wp:inline>
        </w:drawing>
      </w:r>
    </w:p>
    <w:p>
      <w:pPr>
        <w:pStyle w:val="10000-DefaultParagraph"/>
        <w:rPr/>
      </w:pPr>
      <w:r>
        <w:rPr>
          <w:shd w:fill="auto" w:val="clear"/>
        </w:rPr>
        <w:t>Dabei fordert die VdS 10100, dass die IT-Ressourcen unterschiedlicher Schutzkategorien möglichst umfangreich voneinander abgeschottet sind.</w:t>
      </w:r>
      <w:r>
        <w:br w:type="page"/>
      </w:r>
    </w:p>
    <w:p>
      <w:pPr>
        <w:pStyle w:val="Normal"/>
        <w:numPr>
          <w:ilvl w:val="1"/>
          <w:numId w:val="30"/>
        </w:numPr>
        <w:spacing w:before="0" w:after="120"/>
        <w:jc w:val="left"/>
        <w:rPr>
          <w:b/>
          <w:bCs/>
          <w:sz w:val="40"/>
          <w:szCs w:val="40"/>
        </w:rPr>
      </w:pPr>
      <w:r>
        <w:rPr>
          <w:b/>
          <w:bCs/>
          <w:sz w:val="40"/>
          <w:szCs w:val="40"/>
        </w:rPr>
        <w:t>Aktueller Umsetzungsgrad</w:t>
        <w:br/>
        <w:t>von BSIG§30 Abs. 2</w:t>
      </w:r>
    </w:p>
    <w:tbl>
      <w:tblPr>
        <w:tblW w:w="9107" w:type="dxa"/>
        <w:jc w:val="left"/>
        <w:tblInd w:w="-99" w:type="dxa"/>
        <w:tblLayout w:type="fixed"/>
        <w:tblCellMar>
          <w:top w:w="28" w:type="dxa"/>
          <w:left w:w="28" w:type="dxa"/>
          <w:bottom w:w="28" w:type="dxa"/>
          <w:right w:w="28" w:type="dxa"/>
        </w:tblCellMar>
      </w:tblPr>
      <w:tblGrid>
        <w:gridCol w:w="1221"/>
        <w:gridCol w:w="6129"/>
        <w:gridCol w:w="1757"/>
      </w:tblGrid>
      <w:tr>
        <w:trPr>
          <w:trHeight w:val="347" w:hRule="atLeast"/>
        </w:trPr>
        <w:tc>
          <w:tcPr>
            <w:tcW w:w="1221" w:type="dxa"/>
            <w:tcBorders>
              <w:top w:val="single" w:sz="4" w:space="0" w:color="000000"/>
              <w:left w:val="single" w:sz="4" w:space="0" w:color="000000"/>
              <w:bottom w:val="single" w:sz="4" w:space="0" w:color="000000"/>
            </w:tcBorders>
            <w:shd w:fill="DDDDDD" w:val="clear"/>
          </w:tcPr>
          <w:p>
            <w:pPr>
              <w:pStyle w:val="TableHeading"/>
              <w:rPr>
                <w:rFonts w:ascii="Liberation Sans" w:hAnsi="Liberation Sans"/>
              </w:rPr>
            </w:pPr>
            <w:r>
              <w:rPr>
                <w:rFonts w:ascii="Liberation Sans" w:hAnsi="Liberation Sans"/>
              </w:rPr>
              <w:t>BSIG</w:t>
              <w:br/>
              <w:t>§30 Abs. 2</w:t>
              <w:br/>
              <w:t>Punkt ...</w:t>
            </w:r>
          </w:p>
        </w:tc>
        <w:tc>
          <w:tcPr>
            <w:tcW w:w="6129" w:type="dxa"/>
            <w:tcBorders>
              <w:top w:val="single" w:sz="4" w:space="0" w:color="000000"/>
              <w:left w:val="single" w:sz="4" w:space="0" w:color="000000"/>
              <w:bottom w:val="single" w:sz="4" w:space="0" w:color="000000"/>
            </w:tcBorders>
            <w:shd w:fill="DDDDDD" w:val="clear"/>
          </w:tcPr>
          <w:p>
            <w:pPr>
              <w:pStyle w:val="TableHeading"/>
              <w:rPr/>
            </w:pPr>
            <w:r>
              <w:rPr/>
              <w:t>Stichwort</w:t>
            </w:r>
          </w:p>
        </w:tc>
        <w:tc>
          <w:tcPr>
            <w:tcW w:w="1757" w:type="dxa"/>
            <w:tcBorders>
              <w:top w:val="single" w:sz="4" w:space="0" w:color="000000"/>
              <w:left w:val="single" w:sz="4" w:space="0" w:color="000000"/>
              <w:bottom w:val="single" w:sz="4" w:space="0" w:color="000000"/>
              <w:right w:val="single" w:sz="4" w:space="0" w:color="000000"/>
            </w:tcBorders>
            <w:shd w:fill="DDDDDD" w:val="clear"/>
          </w:tcPr>
          <w:p>
            <w:pPr>
              <w:pStyle w:val="TableHeading"/>
              <w:rPr>
                <w:rFonts w:ascii="Liberation Sans" w:hAnsi="Liberation Sans"/>
              </w:rPr>
            </w:pPr>
            <w:r>
              <w:rPr>
                <w:rFonts w:ascii="Liberation Sans" w:hAnsi="Liberation Sans"/>
              </w:rPr>
              <w:t>Umsetzungsgrad</w:t>
              <w:br/>
              <w:t>(Skala 1 bis 10)</w:t>
            </w:r>
          </w:p>
        </w:tc>
      </w:tr>
      <w:tr>
        <w:trPr>
          <w:trHeight w:val="256" w:hRule="atLeast"/>
        </w:trPr>
        <w:tc>
          <w:tcPr>
            <w:tcW w:w="1221" w:type="dxa"/>
            <w:vMerge w:val="restart"/>
            <w:tcBorders>
              <w:top w:val="single" w:sz="4" w:space="0" w:color="000000"/>
              <w:left w:val="single" w:sz="4" w:space="0" w:color="000000"/>
              <w:bottom w:val="single" w:sz="4" w:space="0" w:color="000000"/>
            </w:tcBorders>
            <w:tcMar>
              <w:right w:w="170" w:type="dxa"/>
            </w:tcMar>
            <w:vAlign w:val="center"/>
          </w:tcPr>
          <w:p>
            <w:pPr>
              <w:pStyle w:val="TableContents"/>
              <w:jc w:val="right"/>
              <w:rPr/>
            </w:pPr>
            <w:r>
              <w:rPr/>
              <w:t>1</w:t>
            </w:r>
          </w:p>
        </w:tc>
        <w:tc>
          <w:tcPr>
            <w:tcW w:w="6129" w:type="dxa"/>
            <w:tcBorders>
              <w:top w:val="single" w:sz="4" w:space="0" w:color="000000"/>
              <w:left w:val="single" w:sz="4" w:space="0" w:color="000000"/>
              <w:bottom w:val="single" w:sz="4" w:space="0" w:color="000000"/>
            </w:tcBorders>
            <w:tcMar>
              <w:right w:w="170" w:type="dxa"/>
            </w:tcMar>
            <w:vAlign w:val="bottom"/>
          </w:tcPr>
          <w:p>
            <w:pPr>
              <w:pStyle w:val="TableContents"/>
              <w:rPr/>
            </w:pPr>
            <w:r>
              <w:rPr/>
              <w:t>Konzepte in Bezug auf die Risikoanalyse</w:t>
            </w:r>
          </w:p>
        </w:tc>
        <w:tc>
          <w:tcPr>
            <w:tcW w:w="1757" w:type="dxa"/>
            <w:tcBorders>
              <w:top w:val="single" w:sz="4" w:space="0" w:color="000000"/>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Konzepte in Bezug auf die Sicherheit in der Informationstechnik</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221" w:type="dxa"/>
            <w:tcBorders>
              <w:left w:val="single" w:sz="4" w:space="0" w:color="000000"/>
              <w:bottom w:val="single" w:sz="4" w:space="0" w:color="000000"/>
            </w:tcBorders>
            <w:tcMar>
              <w:right w:w="170" w:type="dxa"/>
            </w:tcMar>
            <w:vAlign w:val="bottom"/>
          </w:tcPr>
          <w:p>
            <w:pPr>
              <w:pStyle w:val="TableContents"/>
              <w:jc w:val="right"/>
              <w:rPr/>
            </w:pPr>
            <w:r>
              <w:rPr/>
              <w:t>2</w:t>
            </w:r>
          </w:p>
        </w:tc>
        <w:tc>
          <w:tcPr>
            <w:tcW w:w="6129" w:type="dxa"/>
            <w:tcBorders>
              <w:left w:val="single" w:sz="4" w:space="0" w:color="000000"/>
              <w:bottom w:val="single" w:sz="4" w:space="0" w:color="000000"/>
            </w:tcBorders>
            <w:tcMar>
              <w:right w:w="170" w:type="dxa"/>
            </w:tcMar>
            <w:vAlign w:val="bottom"/>
          </w:tcPr>
          <w:p>
            <w:pPr>
              <w:pStyle w:val="TableContents"/>
              <w:rPr/>
            </w:pPr>
            <w:r>
              <w:rPr/>
              <w:t>Bewältigung von Sicherheitsvorfällen (Kapitel 17)</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221" w:type="dxa"/>
            <w:vMerge w:val="restart"/>
            <w:tcBorders>
              <w:left w:val="single" w:sz="4" w:space="0" w:color="000000"/>
              <w:bottom w:val="single" w:sz="4" w:space="0" w:color="000000"/>
            </w:tcBorders>
            <w:tcMar>
              <w:right w:w="170" w:type="dxa"/>
            </w:tcMar>
            <w:vAlign w:val="center"/>
          </w:tcPr>
          <w:p>
            <w:pPr>
              <w:pStyle w:val="TableContents"/>
              <w:jc w:val="right"/>
              <w:rPr/>
            </w:pPr>
            <w:r>
              <w:rPr/>
              <w:t>3</w:t>
            </w:r>
          </w:p>
        </w:tc>
        <w:tc>
          <w:tcPr>
            <w:tcW w:w="6129" w:type="dxa"/>
            <w:tcBorders>
              <w:left w:val="single" w:sz="4" w:space="0" w:color="000000"/>
              <w:bottom w:val="single" w:sz="4" w:space="0" w:color="000000"/>
            </w:tcBorders>
            <w:tcMar>
              <w:right w:w="170" w:type="dxa"/>
            </w:tcMar>
            <w:vAlign w:val="bottom"/>
          </w:tcPr>
          <w:p>
            <w:pPr>
              <w:pStyle w:val="TableContents"/>
              <w:rPr/>
            </w:pPr>
            <w:r>
              <w:rPr/>
              <w:t>Backup-Management</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Wiederherstellung</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Krisenmanagement (Kapitel 17)</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221" w:type="dxa"/>
            <w:tcBorders>
              <w:left w:val="single" w:sz="4" w:space="0" w:color="000000"/>
              <w:bottom w:val="single" w:sz="4" w:space="0" w:color="000000"/>
            </w:tcBorders>
            <w:tcMar>
              <w:right w:w="170" w:type="dxa"/>
            </w:tcMar>
            <w:vAlign w:val="bottom"/>
          </w:tcPr>
          <w:p>
            <w:pPr>
              <w:pStyle w:val="TableContents"/>
              <w:jc w:val="right"/>
              <w:rPr/>
            </w:pPr>
            <w:r>
              <w:rPr/>
              <w:t>4</w:t>
            </w:r>
          </w:p>
        </w:tc>
        <w:tc>
          <w:tcPr>
            <w:tcW w:w="6129" w:type="dxa"/>
            <w:tcBorders>
              <w:left w:val="single" w:sz="4" w:space="0" w:color="000000"/>
              <w:bottom w:val="single" w:sz="4" w:space="0" w:color="000000"/>
            </w:tcBorders>
            <w:tcMar>
              <w:right w:w="170" w:type="dxa"/>
            </w:tcMar>
            <w:vAlign w:val="bottom"/>
          </w:tcPr>
          <w:p>
            <w:pPr>
              <w:pStyle w:val="TableContents"/>
              <w:rPr/>
            </w:pPr>
            <w:r>
              <w:rPr/>
              <w:t>Sicherheit der Lieferkette (Kapitel 14)</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1221" w:type="dxa"/>
            <w:vMerge w:val="restart"/>
            <w:tcBorders>
              <w:left w:val="single" w:sz="4" w:space="0" w:color="000000"/>
              <w:bottom w:val="single" w:sz="4" w:space="0" w:color="000000"/>
            </w:tcBorders>
            <w:tcMar>
              <w:right w:w="170" w:type="dxa"/>
            </w:tcMar>
            <w:vAlign w:val="center"/>
          </w:tcPr>
          <w:p>
            <w:pPr>
              <w:pStyle w:val="TableContents"/>
              <w:jc w:val="right"/>
              <w:rPr/>
            </w:pPr>
            <w:r>
              <w:rPr/>
              <w:t>5</w:t>
            </w:r>
          </w:p>
        </w:tc>
        <w:tc>
          <w:tcPr>
            <w:tcW w:w="6129" w:type="dxa"/>
            <w:tcBorders>
              <w:left w:val="single" w:sz="4" w:space="0" w:color="000000"/>
              <w:bottom w:val="single" w:sz="4" w:space="0" w:color="000000"/>
            </w:tcBorders>
            <w:tcMar>
              <w:right w:w="170" w:type="dxa"/>
            </w:tcMar>
            <w:vAlign w:val="bottom"/>
          </w:tcPr>
          <w:p>
            <w:pPr>
              <w:pStyle w:val="TableContents"/>
              <w:rPr/>
            </w:pPr>
            <w:r>
              <w:rPr/>
              <w:t>Sicherheitsmaßnahmen bei Erwerb von IT-Infrastrukturen (Kapitel 14)</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Sicherheitsmaßnahmen bei Erwerb von IT-Ressourcen (Kapitel 14)</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Sicherheitsmaßnahmen bei Erwerb von IT-Prozessen (Kapitel 14)</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Sicherheitsmaßnahmen bei Entwicklung von IT-Infrastrukturen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Sicherheitsmaßnahmen bei Entwicklung von IT-Ressourcen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Sicherheitsmaßnahmen bei Entwicklung von IT-Prozessen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Sicherheitsmaßnahmen bei Wartung von IT-Infrastrukturen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2</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Sicherheitsmaßnahmen bei Wartung von IT-Ressourcen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Sicherheitsmaßnahmen bei Wartung von IT-Prozessen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221" w:type="dxa"/>
            <w:tcBorders>
              <w:left w:val="single" w:sz="4" w:space="0" w:color="000000"/>
              <w:bottom w:val="single" w:sz="4" w:space="0" w:color="000000"/>
            </w:tcBorders>
            <w:tcMar>
              <w:right w:w="170" w:type="dxa"/>
            </w:tcMar>
            <w:vAlign w:val="bottom"/>
          </w:tcPr>
          <w:p>
            <w:pPr>
              <w:pStyle w:val="TableContents"/>
              <w:jc w:val="right"/>
              <w:rPr/>
            </w:pPr>
            <w:r>
              <w:rPr/>
              <w:t>6</w:t>
            </w:r>
          </w:p>
        </w:tc>
        <w:tc>
          <w:tcPr>
            <w:tcW w:w="6129" w:type="dxa"/>
            <w:tcBorders>
              <w:left w:val="single" w:sz="4" w:space="0" w:color="000000"/>
              <w:bottom w:val="single" w:sz="4" w:space="0" w:color="000000"/>
            </w:tcBorders>
            <w:tcMar>
              <w:right w:w="170" w:type="dxa"/>
            </w:tcMar>
            <w:vAlign w:val="bottom"/>
          </w:tcPr>
          <w:p>
            <w:pPr>
              <w:pStyle w:val="TableContents"/>
              <w:rPr/>
            </w:pPr>
            <w:r>
              <w:rPr/>
              <w:t>Konzepte und Verfahren zur Bewertung der Wirksamkeit der Maßnahmen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1221" w:type="dxa"/>
            <w:tcBorders>
              <w:left w:val="single" w:sz="4" w:space="0" w:color="000000"/>
              <w:bottom w:val="single" w:sz="4" w:space="0" w:color="000000"/>
            </w:tcBorders>
            <w:tcMar>
              <w:right w:w="170" w:type="dxa"/>
            </w:tcMar>
            <w:vAlign w:val="bottom"/>
          </w:tcPr>
          <w:p>
            <w:pPr>
              <w:pStyle w:val="TableContents"/>
              <w:jc w:val="right"/>
              <w:rPr/>
            </w:pPr>
            <w:r>
              <w:rPr/>
              <w:t>7</w:t>
            </w:r>
          </w:p>
        </w:tc>
        <w:tc>
          <w:tcPr>
            <w:tcW w:w="6129" w:type="dxa"/>
            <w:tcBorders>
              <w:left w:val="single" w:sz="4" w:space="0" w:color="000000"/>
              <w:bottom w:val="single" w:sz="4" w:space="0" w:color="000000"/>
            </w:tcBorders>
            <w:tcMar>
              <w:right w:w="170" w:type="dxa"/>
            </w:tcMar>
            <w:vAlign w:val="bottom"/>
          </w:tcPr>
          <w:p>
            <w:pPr>
              <w:pStyle w:val="TableContents"/>
              <w:rPr/>
            </w:pPr>
            <w:r>
              <w:rPr/>
              <w:t>grundlegende Schulungen und Sensibilisierungsmaßnahmen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221" w:type="dxa"/>
            <w:tcBorders>
              <w:left w:val="single" w:sz="4" w:space="0" w:color="000000"/>
              <w:bottom w:val="single" w:sz="4" w:space="0" w:color="000000"/>
            </w:tcBorders>
            <w:tcMar>
              <w:right w:w="170" w:type="dxa"/>
            </w:tcMar>
            <w:vAlign w:val="bottom"/>
          </w:tcPr>
          <w:p>
            <w:pPr>
              <w:pStyle w:val="TableContents"/>
              <w:jc w:val="right"/>
              <w:rPr/>
            </w:pPr>
            <w:r>
              <w:rPr/>
              <w:t>8</w:t>
            </w:r>
          </w:p>
        </w:tc>
        <w:tc>
          <w:tcPr>
            <w:tcW w:w="6129" w:type="dxa"/>
            <w:tcBorders>
              <w:left w:val="single" w:sz="4" w:space="0" w:color="000000"/>
              <w:bottom w:val="single" w:sz="4" w:space="0" w:color="000000"/>
            </w:tcBorders>
            <w:tcMar>
              <w:right w:w="170" w:type="dxa"/>
            </w:tcMar>
            <w:vAlign w:val="bottom"/>
          </w:tcPr>
          <w:p>
            <w:pPr>
              <w:pStyle w:val="TableContents"/>
              <w:rPr/>
            </w:pPr>
            <w:r>
              <w:rPr/>
              <w:t>Konzepte und Prozesse für den Einsatz von kryptographischen Verfahren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221" w:type="dxa"/>
            <w:vMerge w:val="restart"/>
            <w:tcBorders>
              <w:left w:val="single" w:sz="4" w:space="0" w:color="000000"/>
              <w:bottom w:val="single" w:sz="4" w:space="0" w:color="000000"/>
            </w:tcBorders>
            <w:tcMar>
              <w:right w:w="170" w:type="dxa"/>
            </w:tcMar>
            <w:vAlign w:val="center"/>
          </w:tcPr>
          <w:p>
            <w:pPr>
              <w:pStyle w:val="TableContents"/>
              <w:jc w:val="right"/>
              <w:rPr/>
            </w:pPr>
            <w:r>
              <w:rPr/>
              <w:t>9</w:t>
            </w:r>
          </w:p>
        </w:tc>
        <w:tc>
          <w:tcPr>
            <w:tcW w:w="6129" w:type="dxa"/>
            <w:tcBorders>
              <w:left w:val="single" w:sz="4" w:space="0" w:color="000000"/>
              <w:bottom w:val="single" w:sz="4" w:space="0" w:color="000000"/>
            </w:tcBorders>
            <w:tcMar>
              <w:right w:w="170" w:type="dxa"/>
            </w:tcMar>
            <w:vAlign w:val="bottom"/>
          </w:tcPr>
          <w:p>
            <w:pPr>
              <w:pStyle w:val="TableContents"/>
              <w:rPr/>
            </w:pPr>
            <w:r>
              <w:rPr/>
              <w:t>Sicherheit des Personals</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Konzepte für die Zugriffskontrolle</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Konzepte für das Management von Anlagen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221" w:type="dxa"/>
            <w:vMerge w:val="restart"/>
            <w:tcBorders>
              <w:left w:val="single" w:sz="4" w:space="0" w:color="000000"/>
              <w:bottom w:val="single" w:sz="4" w:space="0" w:color="000000"/>
            </w:tcBorders>
            <w:tcMar>
              <w:right w:w="170" w:type="dxa"/>
            </w:tcMar>
            <w:vAlign w:val="center"/>
          </w:tcPr>
          <w:p>
            <w:pPr>
              <w:pStyle w:val="TableContents"/>
              <w:jc w:val="right"/>
              <w:rPr/>
            </w:pPr>
            <w:r>
              <w:rPr/>
              <w:t>10</w:t>
            </w:r>
          </w:p>
        </w:tc>
        <w:tc>
          <w:tcPr>
            <w:tcW w:w="6129" w:type="dxa"/>
            <w:tcBorders>
              <w:left w:val="single" w:sz="4" w:space="0" w:color="000000"/>
              <w:bottom w:val="single" w:sz="4" w:space="0" w:color="000000"/>
            </w:tcBorders>
            <w:tcMar>
              <w:right w:w="170" w:type="dxa"/>
            </w:tcMar>
            <w:vAlign w:val="bottom"/>
          </w:tcPr>
          <w:p>
            <w:pPr>
              <w:pStyle w:val="TableContents"/>
              <w:rPr/>
            </w:pPr>
            <w:r>
              <w:rPr/>
              <w:t>Multi-Faktor-Authentifizierung oder kontinuierlichen Authentifizierung</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gesicherte Sprach-, Video- und Textkommunikation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gesicherte Notfallkommunikationssysteme innerhalb der Einrichtung</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221" w:type="dxa"/>
            <w:tcBorders/>
            <w:tcMar>
              <w:top w:w="0" w:type="dxa"/>
              <w:left w:w="0" w:type="dxa"/>
              <w:bottom w:w="0" w:type="dxa"/>
              <w:right w:w="0" w:type="dxa"/>
            </w:tcMar>
            <w:vAlign w:val="bottom"/>
          </w:tcPr>
          <w:p>
            <w:pPr>
              <w:pStyle w:val="TableContents"/>
              <w:rPr/>
            </w:pPr>
            <w:r>
              <w:rPr/>
            </w:r>
          </w:p>
        </w:tc>
        <w:tc>
          <w:tcPr>
            <w:tcW w:w="6129" w:type="dxa"/>
            <w:tcBorders/>
            <w:tcMar>
              <w:top w:w="0" w:type="dxa"/>
              <w:left w:w="0" w:type="dxa"/>
              <w:bottom w:w="0" w:type="dxa"/>
              <w:right w:w="0" w:type="dxa"/>
            </w:tcMar>
            <w:vAlign w:val="bottom"/>
          </w:tcPr>
          <w:p>
            <w:pPr>
              <w:pStyle w:val="TableContents"/>
              <w:jc w:val="right"/>
              <w:rPr/>
            </w:pPr>
            <w:r>
              <w:rPr/>
            </w:r>
          </w:p>
        </w:tc>
        <w:tc>
          <w:tcPr>
            <w:tcW w:w="1757" w:type="dxa"/>
            <w:tcBorders/>
            <w:tcMar>
              <w:top w:w="0" w:type="dxa"/>
              <w:left w:w="0" w:type="dxa"/>
              <w:bottom w:w="0" w:type="dxa"/>
              <w:right w:w="0" w:type="dxa"/>
            </w:tcMar>
            <w:vAlign w:val="bottom"/>
          </w:tcPr>
          <w:p>
            <w:pPr>
              <w:pStyle w:val="TableContents"/>
              <w:jc w:val="right"/>
              <w:rPr/>
            </w:pPr>
            <w:r>
              <w:rPr/>
            </w:r>
          </w:p>
        </w:tc>
      </w:tr>
      <w:tr>
        <w:trPr>
          <w:trHeight w:val="256" w:hRule="atLeast"/>
        </w:trPr>
        <w:tc>
          <w:tcPr>
            <w:tcW w:w="1221" w:type="dxa"/>
            <w:tcBorders/>
            <w:tcMar>
              <w:top w:w="0" w:type="dxa"/>
              <w:bottom w:w="0" w:type="dxa"/>
              <w:right w:w="170" w:type="dxa"/>
            </w:tcMar>
            <w:vAlign w:val="bottom"/>
          </w:tcPr>
          <w:p>
            <w:pPr>
              <w:pStyle w:val="TableContents"/>
              <w:rPr/>
            </w:pPr>
            <w:r>
              <w:rPr/>
            </w:r>
          </w:p>
        </w:tc>
        <w:tc>
          <w:tcPr>
            <w:tcW w:w="6129" w:type="dxa"/>
            <w:tcBorders/>
            <w:tcMar>
              <w:top w:w="0" w:type="dxa"/>
              <w:bottom w:w="0" w:type="dxa"/>
              <w:right w:w="170" w:type="dxa"/>
            </w:tcMar>
            <w:vAlign w:val="bottom"/>
          </w:tcPr>
          <w:p>
            <w:pPr>
              <w:pStyle w:val="TableContents"/>
              <w:jc w:val="right"/>
              <w:rPr/>
            </w:pPr>
            <w:r>
              <w:rPr/>
              <w:t>Reifegrad:</w:t>
            </w:r>
          </w:p>
        </w:tc>
        <w:tc>
          <w:tcPr>
            <w:tcW w:w="1757" w:type="dxa"/>
            <w:tcBorders>
              <w:bottom w:val="inset" w:sz="2" w:space="0" w:color="000000"/>
            </w:tcBorders>
            <w:tcMar>
              <w:top w:w="0" w:type="dxa"/>
              <w:bottom w:w="0" w:type="dxa"/>
              <w:right w:w="170" w:type="dxa"/>
            </w:tcMar>
            <w:vAlign w:val="bottom"/>
          </w:tcPr>
          <w:p>
            <w:pPr>
              <w:pStyle w:val="TableContents"/>
              <w:jc w:val="right"/>
              <w:rPr/>
            </w:pPr>
            <w:r>
              <w:rPr/>
              <w:t>8,1</w:t>
            </w:r>
          </w:p>
        </w:tc>
      </w:tr>
    </w:tbl>
    <w:p>
      <w:pPr>
        <w:pStyle w:val="Normal"/>
        <w:rPr/>
      </w:pPr>
      <w:r>
        <w:rPr/>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Normal"/>
        <w:rPr>
          <w:lang w:val="de-DE"/>
        </w:rPr>
      </w:pPr>
      <w:r>
        <w:rPr>
          <w:lang w:val="de-DE"/>
        </w:rPr>
      </w:r>
    </w:p>
    <w:p>
      <w:pPr>
        <w:pStyle w:val="Normal"/>
        <w:rPr/>
      </w:pPr>
      <w:r>
        <w:rPr>
          <w:rStyle w:val="Strong"/>
          <w:lang w:val="de-DE"/>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r>
              <w:rPr>
                <w:rStyle w:val="IndexLink"/>
              </w:rPr>
              <w:t>1</w:t>
              <w:tab/>
              <w:t>Allgemeines</w:t>
              <w:tab/>
              <w:t>11</w:t>
            </w:r>
          </w:hyperlink>
        </w:p>
        <w:p>
          <w:pPr>
            <w:pStyle w:val="TOC2"/>
            <w:tabs>
              <w:tab w:val="clear" w:pos="9062"/>
              <w:tab w:val="left" w:pos="567" w:leader="none"/>
              <w:tab w:val="right" w:pos="9071" w:leader="dot"/>
            </w:tabs>
            <w:rPr/>
          </w:pPr>
          <w:hyperlink w:anchor="__RefHeading___Toc31908_2021121348">
            <w:r>
              <w:rPr>
                <w:rStyle w:val="IndexLink"/>
              </w:rPr>
              <w:t>1.1</w:t>
              <w:tab/>
              <w:t>Einleitung</w:t>
              <w:tab/>
              <w:t>11</w:t>
            </w:r>
          </w:hyperlink>
        </w:p>
        <w:p>
          <w:pPr>
            <w:pStyle w:val="TOC2"/>
            <w:tabs>
              <w:tab w:val="clear" w:pos="9062"/>
              <w:tab w:val="left" w:pos="567" w:leader="none"/>
              <w:tab w:val="right" w:pos="9071" w:leader="dot"/>
            </w:tabs>
            <w:rPr/>
          </w:pPr>
          <w:hyperlink w:anchor="__RefHeading___Toc31910_2021121348">
            <w:r>
              <w:rPr>
                <w:rStyle w:val="IndexLink"/>
              </w:rPr>
              <w:t>1.2</w:t>
              <w:tab/>
              <w:t>Anwendungshinweise</w:t>
              <w:tab/>
              <w:t>11</w:t>
            </w:r>
          </w:hyperlink>
        </w:p>
        <w:p>
          <w:pPr>
            <w:pStyle w:val="TOC2"/>
            <w:tabs>
              <w:tab w:val="clear" w:pos="9062"/>
              <w:tab w:val="left" w:pos="567" w:leader="none"/>
              <w:tab w:val="right" w:pos="9071" w:leader="dot"/>
            </w:tabs>
            <w:rPr/>
          </w:pPr>
          <w:hyperlink w:anchor="__RefHeading___Toc31912_2021121348">
            <w:r>
              <w:rPr>
                <w:rStyle w:val="IndexLink"/>
              </w:rPr>
              <w:t>1.3</w:t>
              <w:tab/>
              <w:t>Anwendungs- und Geltungsbereich</w:t>
              <w:tab/>
              <w:t>11</w:t>
            </w:r>
          </w:hyperlink>
        </w:p>
        <w:p>
          <w:pPr>
            <w:pStyle w:val="TOC3"/>
            <w:tabs>
              <w:tab w:val="clear" w:pos="9062"/>
              <w:tab w:val="left" w:pos="709" w:leader="none"/>
              <w:tab w:val="right" w:pos="9071" w:leader="dot"/>
            </w:tabs>
            <w:rPr/>
          </w:pPr>
          <w:hyperlink w:anchor="__RefHeading___Toc31914_2021121348">
            <w:r>
              <w:rPr>
                <w:rStyle w:val="IndexLink"/>
              </w:rPr>
              <w:t>1.3.1</w:t>
              <w:tab/>
              <w:t>Analyse und Registrierung</w:t>
              <w:tab/>
              <w:t>11</w:t>
            </w:r>
          </w:hyperlink>
        </w:p>
        <w:p>
          <w:pPr>
            <w:pStyle w:val="TOC2"/>
            <w:tabs>
              <w:tab w:val="clear" w:pos="9062"/>
              <w:tab w:val="left" w:pos="567" w:leader="none"/>
              <w:tab w:val="right" w:pos="9071" w:leader="dot"/>
            </w:tabs>
            <w:rPr/>
          </w:pPr>
          <w:hyperlink w:anchor="__RefHeading___Toc31916_2021121348">
            <w:r>
              <w:rPr>
                <w:rStyle w:val="IndexLink"/>
              </w:rPr>
              <w:t>1.4</w:t>
              <w:tab/>
              <w:t>Gültigkeit</w:t>
              <w:tab/>
              <w:t>12</w:t>
            </w:r>
          </w:hyperlink>
        </w:p>
        <w:p>
          <w:pPr>
            <w:pStyle w:val="TOC1"/>
            <w:tabs>
              <w:tab w:val="clear" w:pos="9062"/>
              <w:tab w:val="left" w:pos="426" w:leader="none"/>
              <w:tab w:val="right" w:pos="9071" w:leader="dot"/>
            </w:tabs>
            <w:rPr/>
          </w:pPr>
          <w:hyperlink w:anchor="__RefHeading___Toc31918_2021121348">
            <w:r>
              <w:rPr>
                <w:rStyle w:val="IndexLink"/>
              </w:rPr>
              <w:t>2</w:t>
              <w:tab/>
              <w:t>Verweisungen</w:t>
              <w:tab/>
              <w:t>12</w:t>
            </w:r>
          </w:hyperlink>
        </w:p>
        <w:p>
          <w:pPr>
            <w:pStyle w:val="TOC2"/>
            <w:tabs>
              <w:tab w:val="clear" w:pos="9062"/>
              <w:tab w:val="left" w:pos="567" w:leader="none"/>
              <w:tab w:val="right" w:pos="9071" w:leader="dot"/>
            </w:tabs>
            <w:rPr/>
          </w:pPr>
          <w:hyperlink w:anchor="__RefHeading___Toc31918_2021121348_Copy_">
            <w:r>
              <w:rPr>
                <w:rStyle w:val="IndexLink"/>
              </w:rPr>
              <w:t>2.1</w:t>
              <w:tab/>
              <w:t>Normative Verweisungen</w:t>
              <w:tab/>
              <w:t>12</w:t>
            </w:r>
          </w:hyperlink>
        </w:p>
        <w:p>
          <w:pPr>
            <w:pStyle w:val="TOC2"/>
            <w:tabs>
              <w:tab w:val="clear" w:pos="9062"/>
              <w:tab w:val="left" w:pos="567" w:leader="none"/>
              <w:tab w:val="right" w:pos="9071" w:leader="dot"/>
            </w:tabs>
            <w:rPr/>
          </w:pPr>
          <w:hyperlink w:anchor="__RefHeading___Toc23182_2990485309">
            <w:r>
              <w:rPr>
                <w:rStyle w:val="IndexLink"/>
              </w:rPr>
              <w:t>2.2</w:t>
              <w:tab/>
              <w:t>Verweisungen auf Gesetzestexte</w:t>
              <w:tab/>
              <w:t>13</w:t>
            </w:r>
          </w:hyperlink>
        </w:p>
        <w:p>
          <w:pPr>
            <w:pStyle w:val="TOC1"/>
            <w:tabs>
              <w:tab w:val="clear" w:pos="9062"/>
              <w:tab w:val="left" w:pos="426" w:leader="none"/>
              <w:tab w:val="right" w:pos="9071" w:leader="dot"/>
            </w:tabs>
            <w:rPr/>
          </w:pPr>
          <w:hyperlink w:anchor="__RefHeading___Toc31920_2021121348">
            <w:r>
              <w:rPr>
                <w:rStyle w:val="IndexLink"/>
              </w:rPr>
              <w:t>3</w:t>
              <w:tab/>
              <w:t>Begriffe und Abkürzungen</w:t>
              <w:tab/>
              <w:t>13</w:t>
            </w:r>
          </w:hyperlink>
        </w:p>
        <w:p>
          <w:pPr>
            <w:pStyle w:val="TOC2"/>
            <w:tabs>
              <w:tab w:val="clear" w:pos="9062"/>
              <w:tab w:val="left" w:pos="567" w:leader="none"/>
              <w:tab w:val="right" w:pos="9071" w:leader="dot"/>
            </w:tabs>
            <w:rPr/>
          </w:pPr>
          <w:hyperlink w:anchor="__RefHeading___Toc31922_2021121348">
            <w:r>
              <w:rPr>
                <w:rStyle w:val="IndexLink"/>
              </w:rPr>
              <w:t>3.1</w:t>
              <w:tab/>
              <w:t>Begriffe</w:t>
              <w:tab/>
              <w:t>13</w:t>
            </w:r>
          </w:hyperlink>
        </w:p>
        <w:p>
          <w:pPr>
            <w:pStyle w:val="TOC2"/>
            <w:tabs>
              <w:tab w:val="clear" w:pos="9062"/>
              <w:tab w:val="left" w:pos="567" w:leader="none"/>
              <w:tab w:val="right" w:pos="9071" w:leader="dot"/>
            </w:tabs>
            <w:rPr/>
          </w:pPr>
          <w:hyperlink w:anchor="__RefHeading___Toc31924_2021121348">
            <w:r>
              <w:rPr>
                <w:rStyle w:val="IndexLink"/>
              </w:rPr>
              <w:t>3.2</w:t>
              <w:tab/>
              <w:t>Abkürzungen</w:t>
              <w:tab/>
              <w:t>17</w:t>
            </w:r>
          </w:hyperlink>
        </w:p>
        <w:p>
          <w:pPr>
            <w:pStyle w:val="TOC1"/>
            <w:tabs>
              <w:tab w:val="clear" w:pos="9062"/>
              <w:tab w:val="left" w:pos="426" w:leader="none"/>
              <w:tab w:val="right" w:pos="9071" w:leader="dot"/>
            </w:tabs>
            <w:rPr/>
          </w:pPr>
          <w:hyperlink w:anchor="__RefHeading___Toc31926_2021121348">
            <w:r>
              <w:rPr>
                <w:rStyle w:val="IndexLink"/>
              </w:rPr>
              <w:t>4</w:t>
              <w:tab/>
              <w:t>Organisation der Informationssicherheit</w:t>
              <w:tab/>
              <w:t>18</w:t>
            </w:r>
          </w:hyperlink>
        </w:p>
        <w:p>
          <w:pPr>
            <w:pStyle w:val="TOC2"/>
            <w:tabs>
              <w:tab w:val="clear" w:pos="9062"/>
              <w:tab w:val="left" w:pos="567" w:leader="none"/>
              <w:tab w:val="right" w:pos="9071" w:leader="dot"/>
            </w:tabs>
            <w:rPr/>
          </w:pPr>
          <w:hyperlink w:anchor="__RefHeading___Toc31928_2021121348">
            <w:r>
              <w:rPr>
                <w:rStyle w:val="IndexLink"/>
              </w:rPr>
              <w:t>4.1</w:t>
              <w:tab/>
              <w:t>Grundlagen</w:t>
              <w:tab/>
              <w:t>18</w:t>
            </w:r>
          </w:hyperlink>
        </w:p>
        <w:p>
          <w:pPr>
            <w:pStyle w:val="TOC2"/>
            <w:tabs>
              <w:tab w:val="clear" w:pos="9062"/>
              <w:tab w:val="left" w:pos="567" w:leader="none"/>
              <w:tab w:val="right" w:pos="9071" w:leader="dot"/>
            </w:tabs>
            <w:rPr/>
          </w:pPr>
          <w:hyperlink w:anchor="__RefHeading___Toc31930_2021121348">
            <w:r>
              <w:rPr>
                <w:rStyle w:val="IndexLink"/>
              </w:rPr>
              <w:t>4.2</w:t>
              <w:tab/>
              <w:t>Verantwortlichkeiten</w:t>
              <w:tab/>
              <w:t>18</w:t>
            </w:r>
          </w:hyperlink>
        </w:p>
        <w:p>
          <w:pPr>
            <w:pStyle w:val="TOC3"/>
            <w:tabs>
              <w:tab w:val="clear" w:pos="9062"/>
              <w:tab w:val="left" w:pos="709" w:leader="none"/>
              <w:tab w:val="right" w:pos="9071" w:leader="dot"/>
            </w:tabs>
            <w:rPr/>
          </w:pPr>
          <w:hyperlink w:anchor="__RefHeading___Toc31932_2021121348">
            <w:r>
              <w:rPr>
                <w:rStyle w:val="IndexLink"/>
              </w:rPr>
              <w:t>4.2.1</w:t>
              <w:tab/>
              <w:t>Anforderungen</w:t>
              <w:tab/>
              <w:t>18</w:t>
            </w:r>
          </w:hyperlink>
        </w:p>
        <w:p>
          <w:pPr>
            <w:pStyle w:val="TOC3"/>
            <w:tabs>
              <w:tab w:val="clear" w:pos="9062"/>
              <w:tab w:val="left" w:pos="709" w:leader="none"/>
              <w:tab w:val="right" w:pos="9071" w:leader="dot"/>
            </w:tabs>
            <w:rPr/>
          </w:pPr>
          <w:hyperlink w:anchor="__RefHeading___zuweisung_und_dokumentati">
            <w:r>
              <w:rPr>
                <w:rStyle w:val="IndexLink"/>
              </w:rPr>
              <w:t>4.2.2</w:t>
              <w:tab/>
              <w:t>Zuweisung und Dokumentation</w:t>
              <w:tab/>
              <w:t>18</w:t>
            </w:r>
          </w:hyperlink>
        </w:p>
        <w:p>
          <w:pPr>
            <w:pStyle w:val="TOC3"/>
            <w:tabs>
              <w:tab w:val="clear" w:pos="9062"/>
              <w:tab w:val="left" w:pos="709" w:leader="none"/>
              <w:tab w:val="right" w:pos="9071" w:leader="dot"/>
            </w:tabs>
            <w:rPr/>
          </w:pPr>
          <w:hyperlink w:anchor="__RefHeading___funktionstrennungen_14">
            <w:r>
              <w:rPr>
                <w:rStyle w:val="IndexLink"/>
              </w:rPr>
              <w:t>4.2.3</w:t>
              <w:tab/>
              <w:t>Funktionstrennungen</w:t>
              <w:tab/>
              <w:t>18</w:t>
            </w:r>
          </w:hyperlink>
        </w:p>
        <w:p>
          <w:pPr>
            <w:pStyle w:val="TOC3"/>
            <w:tabs>
              <w:tab w:val="clear" w:pos="9062"/>
              <w:tab w:val="left" w:pos="709" w:leader="none"/>
              <w:tab w:val="right" w:pos="9071" w:leader="dot"/>
            </w:tabs>
            <w:rPr/>
          </w:pPr>
          <w:hyperlink w:anchor="__RefHeading___zeitliche_ressourcen_15">
            <w:r>
              <w:rPr>
                <w:rStyle w:val="IndexLink"/>
              </w:rPr>
              <w:t>4.2.4</w:t>
              <w:tab/>
              <w:t>Zeitliche Ressourcen</w:t>
              <w:tab/>
              <w:t>18</w:t>
            </w:r>
          </w:hyperlink>
        </w:p>
        <w:p>
          <w:pPr>
            <w:pStyle w:val="TOC3"/>
            <w:tabs>
              <w:tab w:val="clear" w:pos="9062"/>
              <w:tab w:val="left" w:pos="709" w:leader="none"/>
              <w:tab w:val="right" w:pos="9071" w:leader="dot"/>
            </w:tabs>
            <w:rPr/>
          </w:pPr>
          <w:hyperlink w:anchor="__RefHeading___delegieren_von_aufgaben_1">
            <w:r>
              <w:rPr>
                <w:rStyle w:val="IndexLink"/>
              </w:rPr>
              <w:t>4.2.5</w:t>
              <w:tab/>
              <w:t>Delegieren von Aufgaben</w:t>
              <w:tab/>
              <w:t>18</w:t>
            </w:r>
          </w:hyperlink>
        </w:p>
        <w:p>
          <w:pPr>
            <w:pStyle w:val="TOC2"/>
            <w:tabs>
              <w:tab w:val="clear" w:pos="9062"/>
              <w:tab w:val="left" w:pos="567" w:leader="none"/>
              <w:tab w:val="right" w:pos="9071" w:leader="dot"/>
            </w:tabs>
            <w:rPr/>
          </w:pPr>
          <w:hyperlink w:anchor="__RefHeading___Toc31934_2021121348">
            <w:r>
              <w:rPr>
                <w:rStyle w:val="IndexLink"/>
              </w:rPr>
              <w:t>4.3</w:t>
              <w:tab/>
              <w:t>Topmanagement</w:t>
              <w:tab/>
              <w:t>19</w:t>
            </w:r>
          </w:hyperlink>
        </w:p>
        <w:p>
          <w:pPr>
            <w:pStyle w:val="TOC2"/>
            <w:tabs>
              <w:tab w:val="clear" w:pos="9062"/>
              <w:tab w:val="left" w:pos="567" w:leader="none"/>
              <w:tab w:val="right" w:pos="9071" w:leader="dot"/>
            </w:tabs>
            <w:rPr/>
          </w:pPr>
          <w:hyperlink w:anchor="__RefHeading___Toc31936_2021121348">
            <w:r>
              <w:rPr>
                <w:rStyle w:val="IndexLink"/>
              </w:rPr>
              <w:t>4.4</w:t>
              <w:tab/>
              <w:t>Informationssicherheitsbeauftragter</w:t>
              <w:tab/>
              <w:t>19</w:t>
            </w:r>
          </w:hyperlink>
        </w:p>
        <w:p>
          <w:pPr>
            <w:pStyle w:val="TOC2"/>
            <w:tabs>
              <w:tab w:val="clear" w:pos="9062"/>
              <w:tab w:val="left" w:pos="567" w:leader="none"/>
              <w:tab w:val="right" w:pos="9071" w:leader="dot"/>
            </w:tabs>
            <w:rPr/>
          </w:pPr>
          <w:hyperlink w:anchor="__RefHeading___Toc31938_2021121348">
            <w:r>
              <w:rPr>
                <w:rStyle w:val="IndexLink"/>
              </w:rPr>
              <w:t>4.5</w:t>
              <w:tab/>
              <w:t>Informationssicherheitsteam</w:t>
              <w:tab/>
              <w:t>19</w:t>
            </w:r>
          </w:hyperlink>
        </w:p>
        <w:p>
          <w:pPr>
            <w:pStyle w:val="TOC2"/>
            <w:tabs>
              <w:tab w:val="clear" w:pos="9062"/>
              <w:tab w:val="left" w:pos="567" w:leader="none"/>
              <w:tab w:val="right" w:pos="9071" w:leader="dot"/>
            </w:tabs>
            <w:rPr/>
          </w:pPr>
          <w:hyperlink w:anchor="__RefHeading___Toc31940_2021121348">
            <w:r>
              <w:rPr>
                <w:rStyle w:val="IndexLink"/>
              </w:rPr>
              <w:t>4.6</w:t>
              <w:tab/>
              <w:t>IT-Verantwortliche</w:t>
              <w:tab/>
              <w:t>20</w:t>
            </w:r>
          </w:hyperlink>
        </w:p>
        <w:p>
          <w:pPr>
            <w:pStyle w:val="TOC2"/>
            <w:tabs>
              <w:tab w:val="clear" w:pos="9062"/>
              <w:tab w:val="left" w:pos="567" w:leader="none"/>
              <w:tab w:val="right" w:pos="9071" w:leader="dot"/>
            </w:tabs>
            <w:rPr/>
          </w:pPr>
          <w:hyperlink w:anchor="__RefHeading___Toc31942_2021121348">
            <w:r>
              <w:rPr>
                <w:rStyle w:val="IndexLink"/>
              </w:rPr>
              <w:t>4.7</w:t>
              <w:tab/>
              <w:t>Administratoren</w:t>
              <w:tab/>
              <w:t>20</w:t>
            </w:r>
          </w:hyperlink>
        </w:p>
        <w:p>
          <w:pPr>
            <w:pStyle w:val="TOC2"/>
            <w:tabs>
              <w:tab w:val="clear" w:pos="9062"/>
              <w:tab w:val="left" w:pos="567" w:leader="none"/>
              <w:tab w:val="right" w:pos="9071" w:leader="dot"/>
            </w:tabs>
            <w:rPr/>
          </w:pPr>
          <w:hyperlink w:anchor="__RefHeading___Toc31944_2021121348">
            <w:r>
              <w:rPr>
                <w:rStyle w:val="IndexLink"/>
              </w:rPr>
              <w:t>4.8</w:t>
              <w:tab/>
              <w:t>Vorgesetzte</w:t>
              <w:tab/>
              <w:t>20</w:t>
            </w:r>
          </w:hyperlink>
        </w:p>
        <w:p>
          <w:pPr>
            <w:pStyle w:val="TOC2"/>
            <w:tabs>
              <w:tab w:val="clear" w:pos="9062"/>
              <w:tab w:val="left" w:pos="567" w:leader="none"/>
              <w:tab w:val="right" w:pos="9071" w:leader="dot"/>
            </w:tabs>
            <w:rPr/>
          </w:pPr>
          <w:hyperlink w:anchor="__RefHeading___Toc31946_2021121348">
            <w:r>
              <w:rPr>
                <w:rStyle w:val="IndexLink"/>
              </w:rPr>
              <w:t>4.9</w:t>
              <w:tab/>
              <w:t>Mitarbeiter</w:t>
              <w:tab/>
              <w:t>20</w:t>
            </w:r>
          </w:hyperlink>
        </w:p>
        <w:p>
          <w:pPr>
            <w:pStyle w:val="TOC2"/>
            <w:tabs>
              <w:tab w:val="clear" w:pos="9062"/>
              <w:tab w:val="left" w:pos="567" w:leader="none"/>
              <w:tab w:val="right" w:pos="9071" w:leader="dot"/>
            </w:tabs>
            <w:rPr/>
          </w:pPr>
          <w:hyperlink w:anchor="__RefHeading___Toc31948_2021121348">
            <w:r>
              <w:rPr>
                <w:rStyle w:val="IndexLink"/>
              </w:rPr>
              <w:t>4.10</w:t>
              <w:tab/>
              <w:t>Projektverantwortliche</w:t>
              <w:tab/>
              <w:t>20</w:t>
            </w:r>
          </w:hyperlink>
        </w:p>
        <w:p>
          <w:pPr>
            <w:pStyle w:val="TOC2"/>
            <w:tabs>
              <w:tab w:val="clear" w:pos="9062"/>
              <w:tab w:val="left" w:pos="567" w:leader="none"/>
              <w:tab w:val="right" w:pos="9071" w:leader="dot"/>
            </w:tabs>
            <w:rPr/>
          </w:pPr>
          <w:hyperlink w:anchor="__RefHeading___Toc31950_2021121348">
            <w:r>
              <w:rPr>
                <w:rStyle w:val="IndexLink"/>
              </w:rPr>
              <w:t>4.11</w:t>
              <w:tab/>
              <w:t>Externe Personen</w:t>
              <w:tab/>
              <w:t>20</w:t>
            </w:r>
          </w:hyperlink>
        </w:p>
        <w:p>
          <w:pPr>
            <w:pStyle w:val="TOC1"/>
            <w:tabs>
              <w:tab w:val="clear" w:pos="9062"/>
              <w:tab w:val="left" w:pos="426" w:leader="none"/>
              <w:tab w:val="right" w:pos="9071" w:leader="dot"/>
            </w:tabs>
            <w:rPr/>
          </w:pPr>
          <w:hyperlink w:anchor="__RefHeading___Toc31952_2021121348">
            <w:r>
              <w:rPr>
                <w:rStyle w:val="IndexLink"/>
              </w:rPr>
              <w:t>5</w:t>
              <w:tab/>
              <w:t>Leitlinie zur Informationssicherheit (IS-Leitlinie)</w:t>
              <w:tab/>
              <w:t>21</w:t>
            </w:r>
          </w:hyperlink>
        </w:p>
        <w:p>
          <w:pPr>
            <w:pStyle w:val="TOC2"/>
            <w:tabs>
              <w:tab w:val="clear" w:pos="9062"/>
              <w:tab w:val="left" w:pos="567" w:leader="none"/>
              <w:tab w:val="right" w:pos="9071" w:leader="dot"/>
            </w:tabs>
            <w:rPr/>
          </w:pPr>
          <w:hyperlink w:anchor="__RefHeading___Toc31954_2021121348">
            <w:r>
              <w:rPr>
                <w:rStyle w:val="IndexLink"/>
              </w:rPr>
              <w:t>5.1</w:t>
              <w:tab/>
              <w:t>Grundlagen</w:t>
              <w:tab/>
              <w:t>21</w:t>
            </w:r>
          </w:hyperlink>
        </w:p>
        <w:p>
          <w:pPr>
            <w:pStyle w:val="TOC2"/>
            <w:tabs>
              <w:tab w:val="clear" w:pos="9062"/>
              <w:tab w:val="left" w:pos="567" w:leader="none"/>
              <w:tab w:val="right" w:pos="9071" w:leader="dot"/>
            </w:tabs>
            <w:rPr/>
          </w:pPr>
          <w:hyperlink w:anchor="__RefHeading___Toc31956_2021121348">
            <w:r>
              <w:rPr>
                <w:rStyle w:val="IndexLink"/>
              </w:rPr>
              <w:t>5.2</w:t>
              <w:tab/>
              <w:t>Allgemeine Anforderungen</w:t>
              <w:tab/>
              <w:t>21</w:t>
            </w:r>
          </w:hyperlink>
        </w:p>
        <w:p>
          <w:pPr>
            <w:pStyle w:val="TOC2"/>
            <w:tabs>
              <w:tab w:val="clear" w:pos="9062"/>
              <w:tab w:val="left" w:pos="567" w:leader="none"/>
              <w:tab w:val="right" w:pos="9071" w:leader="dot"/>
            </w:tabs>
            <w:rPr/>
          </w:pPr>
          <w:hyperlink w:anchor="__RefHeading___Toc31958_2021121348">
            <w:r>
              <w:rPr>
                <w:rStyle w:val="IndexLink"/>
              </w:rPr>
              <w:t>5.3</w:t>
              <w:tab/>
              <w:t>Inhalte</w:t>
              <w:tab/>
              <w:t>21</w:t>
            </w:r>
          </w:hyperlink>
        </w:p>
        <w:p>
          <w:pPr>
            <w:pStyle w:val="TOC1"/>
            <w:tabs>
              <w:tab w:val="clear" w:pos="9062"/>
              <w:tab w:val="left" w:pos="426" w:leader="none"/>
              <w:tab w:val="right" w:pos="9071" w:leader="dot"/>
            </w:tabs>
            <w:rPr/>
          </w:pPr>
          <w:hyperlink w:anchor="__RefHeading___Toc31960_2021121348">
            <w:r>
              <w:rPr>
                <w:rStyle w:val="IndexLink"/>
              </w:rPr>
              <w:t>6</w:t>
              <w:tab/>
              <w:t>Richtlinien zur Informationssicherheit (IS-Richtlinien)</w:t>
              <w:tab/>
              <w:t>21</w:t>
            </w:r>
          </w:hyperlink>
        </w:p>
        <w:p>
          <w:pPr>
            <w:pStyle w:val="TOC2"/>
            <w:tabs>
              <w:tab w:val="clear" w:pos="9062"/>
              <w:tab w:val="left" w:pos="567" w:leader="none"/>
              <w:tab w:val="right" w:pos="9071" w:leader="dot"/>
            </w:tabs>
            <w:rPr/>
          </w:pPr>
          <w:hyperlink w:anchor="__RefHeading___Toc31962_2021121348">
            <w:r>
              <w:rPr>
                <w:rStyle w:val="IndexLink"/>
              </w:rPr>
              <w:t>6.1</w:t>
              <w:tab/>
              <w:t>Grundlagen</w:t>
              <w:tab/>
              <w:t>21</w:t>
            </w:r>
          </w:hyperlink>
        </w:p>
        <w:p>
          <w:pPr>
            <w:pStyle w:val="TOC2"/>
            <w:tabs>
              <w:tab w:val="clear" w:pos="9062"/>
              <w:tab w:val="left" w:pos="567" w:leader="none"/>
              <w:tab w:val="right" w:pos="9071" w:leader="dot"/>
            </w:tabs>
            <w:rPr/>
          </w:pPr>
          <w:hyperlink w:anchor="__RefHeading___Toc31964_2021121348">
            <w:r>
              <w:rPr>
                <w:rStyle w:val="IndexLink"/>
              </w:rPr>
              <w:t>6.2</w:t>
              <w:tab/>
              <w:t>Allgemeine Anforderungen</w:t>
              <w:tab/>
              <w:t>21</w:t>
            </w:r>
          </w:hyperlink>
        </w:p>
        <w:p>
          <w:pPr>
            <w:pStyle w:val="TOC2"/>
            <w:tabs>
              <w:tab w:val="clear" w:pos="9062"/>
              <w:tab w:val="left" w:pos="567" w:leader="none"/>
              <w:tab w:val="right" w:pos="9071" w:leader="dot"/>
            </w:tabs>
            <w:rPr/>
          </w:pPr>
          <w:hyperlink w:anchor="__RefHeading___Toc31966_2021121348">
            <w:r>
              <w:rPr>
                <w:rStyle w:val="IndexLink"/>
              </w:rPr>
              <w:t>6.3</w:t>
              <w:tab/>
              <w:t>Inhalte</w:t>
              <w:tab/>
              <w:t>21</w:t>
            </w:r>
          </w:hyperlink>
        </w:p>
        <w:p>
          <w:pPr>
            <w:pStyle w:val="TOC2"/>
            <w:tabs>
              <w:tab w:val="clear" w:pos="9062"/>
              <w:tab w:val="left" w:pos="567" w:leader="none"/>
              <w:tab w:val="right" w:pos="9071" w:leader="dot"/>
            </w:tabs>
            <w:rPr/>
          </w:pPr>
          <w:hyperlink w:anchor="__RefHeading___Toc31968_2021121348">
            <w:r>
              <w:rPr>
                <w:rStyle w:val="IndexLink"/>
              </w:rPr>
              <w:t>6.4</w:t>
              <w:tab/>
              <w:t>Aufbau und Funktionsweise des ISMS</w:t>
              <w:tab/>
              <w:t>22</w:t>
            </w:r>
          </w:hyperlink>
        </w:p>
        <w:p>
          <w:pPr>
            <w:pStyle w:val="TOC2"/>
            <w:tabs>
              <w:tab w:val="clear" w:pos="9062"/>
              <w:tab w:val="left" w:pos="567" w:leader="none"/>
              <w:tab w:val="right" w:pos="9071" w:leader="dot"/>
            </w:tabs>
            <w:rPr/>
          </w:pPr>
          <w:hyperlink w:anchor="__RefHeading___Toc31970_2021121348">
            <w:r>
              <w:rPr>
                <w:rStyle w:val="IndexLink"/>
              </w:rPr>
              <w:t>6.5</w:t>
              <w:tab/>
              <w:t>Regelungen für Nutzer</w:t>
              <w:tab/>
              <w:t>22</w:t>
            </w:r>
          </w:hyperlink>
        </w:p>
        <w:p>
          <w:pPr>
            <w:pStyle w:val="TOC2"/>
            <w:tabs>
              <w:tab w:val="clear" w:pos="9062"/>
              <w:tab w:val="left" w:pos="567" w:leader="none"/>
              <w:tab w:val="right" w:pos="9071" w:leader="dot"/>
            </w:tabs>
            <w:rPr/>
          </w:pPr>
          <w:hyperlink w:anchor="__RefHeading___Toc31972_2021121348">
            <w:r>
              <w:rPr>
                <w:rStyle w:val="IndexLink"/>
              </w:rPr>
              <w:t>6.6</w:t>
              <w:tab/>
              <w:t>Weitere Richtlinien</w:t>
              <w:tab/>
              <w:t>23</w:t>
            </w:r>
          </w:hyperlink>
        </w:p>
        <w:p>
          <w:pPr>
            <w:pStyle w:val="TOC1"/>
            <w:tabs>
              <w:tab w:val="clear" w:pos="9062"/>
              <w:tab w:val="left" w:pos="426" w:leader="none"/>
              <w:tab w:val="right" w:pos="9071" w:leader="dot"/>
            </w:tabs>
            <w:rPr/>
          </w:pPr>
          <w:hyperlink w:anchor="__RefHeading___Toc31974_2021121348">
            <w:r>
              <w:rPr>
                <w:rStyle w:val="IndexLink"/>
              </w:rPr>
              <w:t>7</w:t>
              <w:tab/>
              <w:t>Mitarbeiter</w:t>
              <w:tab/>
              <w:t>23</w:t>
            </w:r>
          </w:hyperlink>
        </w:p>
        <w:p>
          <w:pPr>
            <w:pStyle w:val="TOC2"/>
            <w:tabs>
              <w:tab w:val="clear" w:pos="9062"/>
              <w:tab w:val="left" w:pos="567" w:leader="none"/>
              <w:tab w:val="right" w:pos="9071" w:leader="dot"/>
            </w:tabs>
            <w:rPr/>
          </w:pPr>
          <w:hyperlink w:anchor="__RefHeading___Toc31976_2021121348">
            <w:r>
              <w:rPr>
                <w:rStyle w:val="IndexLink"/>
              </w:rPr>
              <w:t>7.1</w:t>
              <w:tab/>
              <w:t>Grundlagen</w:t>
              <w:tab/>
              <w:t>23</w:t>
            </w:r>
          </w:hyperlink>
        </w:p>
        <w:p>
          <w:pPr>
            <w:pStyle w:val="TOC2"/>
            <w:tabs>
              <w:tab w:val="clear" w:pos="9062"/>
              <w:tab w:val="left" w:pos="567" w:leader="none"/>
              <w:tab w:val="right" w:pos="9071" w:leader="dot"/>
            </w:tabs>
            <w:rPr/>
          </w:pPr>
          <w:hyperlink w:anchor="__RefHeading___Toc31978_2021121348">
            <w:r>
              <w:rPr>
                <w:rStyle w:val="IndexLink"/>
              </w:rPr>
              <w:t>7.2</w:t>
              <w:tab/>
              <w:t>Vor Aufnahme der Tätigkeit</w:t>
              <w:tab/>
              <w:t>23</w:t>
            </w:r>
          </w:hyperlink>
        </w:p>
        <w:p>
          <w:pPr>
            <w:pStyle w:val="TOC2"/>
            <w:tabs>
              <w:tab w:val="clear" w:pos="9062"/>
              <w:tab w:val="left" w:pos="567" w:leader="none"/>
              <w:tab w:val="right" w:pos="9071" w:leader="dot"/>
            </w:tabs>
            <w:rPr/>
          </w:pPr>
          <w:hyperlink w:anchor="__RefHeading___Toc31980_2021121348">
            <w:r>
              <w:rPr>
                <w:rStyle w:val="IndexLink"/>
              </w:rPr>
              <w:t>7.3</w:t>
              <w:tab/>
              <w:t>Aufnahme der Tätigkeit</w:t>
              <w:tab/>
              <w:t>23</w:t>
            </w:r>
          </w:hyperlink>
        </w:p>
        <w:p>
          <w:pPr>
            <w:pStyle w:val="TOC2"/>
            <w:tabs>
              <w:tab w:val="clear" w:pos="9062"/>
              <w:tab w:val="left" w:pos="567" w:leader="none"/>
              <w:tab w:val="right" w:pos="9071" w:leader="dot"/>
            </w:tabs>
            <w:rPr/>
          </w:pPr>
          <w:hyperlink w:anchor="__RefHeading___Toc31982_2021121348">
            <w:r>
              <w:rPr>
                <w:rStyle w:val="IndexLink"/>
              </w:rPr>
              <w:t>7.4</w:t>
              <w:tab/>
              <w:t>Beendigung oder Wechsel der Tätigkeit</w:t>
              <w:tab/>
              <w:t>24</w:t>
            </w:r>
          </w:hyperlink>
        </w:p>
        <w:p>
          <w:pPr>
            <w:pStyle w:val="TOC1"/>
            <w:tabs>
              <w:tab w:val="clear" w:pos="9062"/>
              <w:tab w:val="left" w:pos="426" w:leader="none"/>
              <w:tab w:val="right" w:pos="9071" w:leader="dot"/>
            </w:tabs>
            <w:rPr/>
          </w:pPr>
          <w:hyperlink w:anchor="__RefHeading___Toc31984_2021121348">
            <w:r>
              <w:rPr>
                <w:rStyle w:val="IndexLink"/>
              </w:rPr>
              <w:t>8</w:t>
              <w:tab/>
              <w:t>Wissen</w:t>
              <w:tab/>
              <w:t>24</w:t>
            </w:r>
          </w:hyperlink>
        </w:p>
        <w:p>
          <w:pPr>
            <w:pStyle w:val="TOC2"/>
            <w:tabs>
              <w:tab w:val="clear" w:pos="9062"/>
              <w:tab w:val="left" w:pos="567" w:leader="none"/>
              <w:tab w:val="right" w:pos="9071" w:leader="dot"/>
            </w:tabs>
            <w:rPr/>
          </w:pPr>
          <w:hyperlink w:anchor="__RefHeading___Toc31986_2021121348">
            <w:r>
              <w:rPr>
                <w:rStyle w:val="IndexLink"/>
              </w:rPr>
              <w:t>8.1</w:t>
              <w:tab/>
              <w:t>Grundlagen</w:t>
              <w:tab/>
              <w:t>24</w:t>
            </w:r>
          </w:hyperlink>
        </w:p>
        <w:p>
          <w:pPr>
            <w:pStyle w:val="TOC2"/>
            <w:tabs>
              <w:tab w:val="clear" w:pos="9062"/>
              <w:tab w:val="left" w:pos="567" w:leader="none"/>
              <w:tab w:val="right" w:pos="9071" w:leader="dot"/>
            </w:tabs>
            <w:rPr/>
          </w:pPr>
          <w:hyperlink w:anchor="__RefHeading___Toc31988_2021121348">
            <w:r>
              <w:rPr>
                <w:rStyle w:val="IndexLink"/>
              </w:rPr>
              <w:t>8.2</w:t>
              <w:tab/>
              <w:t>Aktualität des Wissens</w:t>
              <w:tab/>
              <w:t>24</w:t>
            </w:r>
          </w:hyperlink>
        </w:p>
        <w:p>
          <w:pPr>
            <w:pStyle w:val="TOC2"/>
            <w:tabs>
              <w:tab w:val="clear" w:pos="9062"/>
              <w:tab w:val="left" w:pos="567" w:leader="none"/>
              <w:tab w:val="right" w:pos="9071" w:leader="dot"/>
            </w:tabs>
            <w:rPr/>
          </w:pPr>
          <w:hyperlink w:anchor="__RefHeading___Toc31990_2021121348">
            <w:r>
              <w:rPr>
                <w:rStyle w:val="IndexLink"/>
              </w:rPr>
              <w:t>8.3</w:t>
              <w:tab/>
              <w:t>Schulung und Sensibilisierung</w:t>
              <w:tab/>
              <w:t>24</w:t>
            </w:r>
          </w:hyperlink>
        </w:p>
        <w:p>
          <w:pPr>
            <w:pStyle w:val="TOC2"/>
            <w:tabs>
              <w:tab w:val="clear" w:pos="9062"/>
              <w:tab w:val="left" w:pos="567" w:leader="none"/>
              <w:tab w:val="right" w:pos="9071" w:leader="dot"/>
            </w:tabs>
            <w:rPr/>
          </w:pPr>
          <w:hyperlink w:anchor="__RefHeading___Toc29769_3572532615">
            <w:r>
              <w:rPr>
                <w:rStyle w:val="IndexLink"/>
              </w:rPr>
              <w:t>8.4</w:t>
              <w:tab/>
              <w:t>Schulung des Topmanagements</w:t>
              <w:tab/>
              <w:t>25</w:t>
            </w:r>
          </w:hyperlink>
        </w:p>
        <w:p>
          <w:pPr>
            <w:pStyle w:val="TOC1"/>
            <w:tabs>
              <w:tab w:val="clear" w:pos="9062"/>
              <w:tab w:val="left" w:pos="426" w:leader="none"/>
              <w:tab w:val="right" w:pos="9071" w:leader="dot"/>
            </w:tabs>
            <w:rPr/>
          </w:pPr>
          <w:hyperlink w:anchor="__RefHeading___Toc31994_2021121348">
            <w:r>
              <w:rPr>
                <w:rStyle w:val="IndexLink"/>
              </w:rPr>
              <w:t>9</w:t>
              <w:tab/>
              <w:t>Schutzkategorien</w:t>
              <w:tab/>
              <w:t>25</w:t>
            </w:r>
          </w:hyperlink>
        </w:p>
        <w:p>
          <w:pPr>
            <w:pStyle w:val="TOC2"/>
            <w:tabs>
              <w:tab w:val="clear" w:pos="9062"/>
              <w:tab w:val="left" w:pos="567" w:leader="none"/>
              <w:tab w:val="right" w:pos="9071" w:leader="dot"/>
            </w:tabs>
            <w:rPr/>
          </w:pPr>
          <w:hyperlink w:anchor="__RefHeading___Toc31996_2021121348">
            <w:r>
              <w:rPr>
                <w:rStyle w:val="IndexLink"/>
              </w:rPr>
              <w:t>9.1</w:t>
              <w:tab/>
              <w:t>Grundlagen</w:t>
              <w:tab/>
              <w:t>25</w:t>
            </w:r>
          </w:hyperlink>
        </w:p>
        <w:p>
          <w:pPr>
            <w:pStyle w:val="TOC2"/>
            <w:tabs>
              <w:tab w:val="clear" w:pos="9062"/>
              <w:tab w:val="left" w:pos="567" w:leader="none"/>
              <w:tab w:val="right" w:pos="9071" w:leader="dot"/>
            </w:tabs>
            <w:rPr/>
          </w:pPr>
          <w:hyperlink w:anchor="__RefHeading___Toc31998_2021121348">
            <w:r>
              <w:rPr>
                <w:rStyle w:val="IndexLink"/>
              </w:rPr>
              <w:t>9.2</w:t>
              <w:tab/>
              <w:t>Prozesse</w:t>
              <w:tab/>
              <w:t>26</w:t>
            </w:r>
          </w:hyperlink>
        </w:p>
        <w:p>
          <w:pPr>
            <w:pStyle w:val="TOC2"/>
            <w:tabs>
              <w:tab w:val="clear" w:pos="9062"/>
              <w:tab w:val="left" w:pos="567" w:leader="none"/>
              <w:tab w:val="right" w:pos="9071" w:leader="dot"/>
            </w:tabs>
            <w:rPr/>
          </w:pPr>
          <w:hyperlink w:anchor="__RefHeading___Toc32004_2021121348">
            <w:r>
              <w:rPr>
                <w:rStyle w:val="IndexLink"/>
              </w:rPr>
              <w:t>9.3</w:t>
              <w:tab/>
              <w:t>Wichtige IT-Ressourcen</w:t>
              <w:tab/>
              <w:t>26</w:t>
            </w:r>
          </w:hyperlink>
        </w:p>
        <w:p>
          <w:pPr>
            <w:pStyle w:val="TOC2"/>
            <w:tabs>
              <w:tab w:val="clear" w:pos="9062"/>
              <w:tab w:val="left" w:pos="567" w:leader="none"/>
              <w:tab w:val="right" w:pos="9071" w:leader="dot"/>
            </w:tabs>
            <w:rPr/>
          </w:pPr>
          <w:hyperlink w:anchor="__RefHeading___Toc32006_2021121348">
            <w:r>
              <w:rPr>
                <w:rStyle w:val="IndexLink"/>
              </w:rPr>
              <w:t>9.4</w:t>
              <w:tab/>
              <w:t>Kritische Informationen</w:t>
              <w:tab/>
              <w:t>26</w:t>
            </w:r>
          </w:hyperlink>
        </w:p>
        <w:p>
          <w:pPr>
            <w:pStyle w:val="TOC2"/>
            <w:tabs>
              <w:tab w:val="clear" w:pos="9062"/>
              <w:tab w:val="left" w:pos="567" w:leader="none"/>
              <w:tab w:val="right" w:pos="9071" w:leader="dot"/>
            </w:tabs>
            <w:rPr/>
          </w:pPr>
          <w:hyperlink w:anchor="__RefHeading___Toc32008_2021121348">
            <w:r>
              <w:rPr>
                <w:rStyle w:val="IndexLink"/>
              </w:rPr>
              <w:t>9.5</w:t>
              <w:tab/>
              <w:t>Kritische IT-Ressourcen</w:t>
              <w:tab/>
              <w:t>27</w:t>
            </w:r>
          </w:hyperlink>
        </w:p>
        <w:p>
          <w:pPr>
            <w:pStyle w:val="TOC2"/>
            <w:tabs>
              <w:tab w:val="clear" w:pos="9062"/>
              <w:tab w:val="left" w:pos="567" w:leader="none"/>
              <w:tab w:val="right" w:pos="9071" w:leader="dot"/>
            </w:tabs>
            <w:rPr/>
          </w:pPr>
          <w:hyperlink w:anchor="__RefHeading___Toc32010_2021121348">
            <w:r>
              <w:rPr>
                <w:rStyle w:val="IndexLink"/>
              </w:rPr>
              <w:t>9.6</w:t>
              <w:tab/>
              <w:t>Weitere Kategorien von IT-Ressourcen</w:t>
              <w:tab/>
              <w:t>27</w:t>
            </w:r>
          </w:hyperlink>
        </w:p>
        <w:p>
          <w:pPr>
            <w:pStyle w:val="TOC1"/>
            <w:tabs>
              <w:tab w:val="clear" w:pos="9062"/>
              <w:tab w:val="left" w:pos="426" w:leader="none"/>
              <w:tab w:val="right" w:pos="9071" w:leader="dot"/>
            </w:tabs>
            <w:rPr/>
          </w:pPr>
          <w:hyperlink w:anchor="__RefHeading___Toc32012_2021121348">
            <w:r>
              <w:rPr>
                <w:rStyle w:val="IndexLink"/>
              </w:rPr>
              <w:t>10</w:t>
              <w:tab/>
              <w:t>IT-Systeme</w:t>
              <w:tab/>
              <w:t>27</w:t>
            </w:r>
          </w:hyperlink>
        </w:p>
        <w:p>
          <w:pPr>
            <w:pStyle w:val="TOC2"/>
            <w:tabs>
              <w:tab w:val="clear" w:pos="9062"/>
              <w:tab w:val="left" w:pos="567" w:leader="none"/>
              <w:tab w:val="right" w:pos="9071" w:leader="dot"/>
            </w:tabs>
            <w:rPr/>
          </w:pPr>
          <w:hyperlink w:anchor="__RefHeading___Toc32014_2021121348">
            <w:r>
              <w:rPr>
                <w:rStyle w:val="IndexLink"/>
              </w:rPr>
              <w:t>10.1</w:t>
              <w:tab/>
              <w:t>Grundlagen</w:t>
              <w:tab/>
              <w:t>27</w:t>
            </w:r>
          </w:hyperlink>
        </w:p>
        <w:p>
          <w:pPr>
            <w:pStyle w:val="TOC2"/>
            <w:tabs>
              <w:tab w:val="clear" w:pos="9062"/>
              <w:tab w:val="left" w:pos="567" w:leader="none"/>
              <w:tab w:val="right" w:pos="9071" w:leader="dot"/>
            </w:tabs>
            <w:rPr/>
          </w:pPr>
          <w:hyperlink w:anchor="__RefHeading___Toc18923_512392082">
            <w:r>
              <w:rPr>
                <w:rStyle w:val="IndexLink"/>
              </w:rPr>
              <w:t>10.2</w:t>
              <w:tab/>
              <w:t>Beschaffung</w:t>
              <w:tab/>
              <w:t>27</w:t>
            </w:r>
          </w:hyperlink>
        </w:p>
        <w:p>
          <w:pPr>
            <w:pStyle w:val="TOC2"/>
            <w:tabs>
              <w:tab w:val="clear" w:pos="9062"/>
              <w:tab w:val="left" w:pos="567" w:leader="none"/>
              <w:tab w:val="right" w:pos="9071" w:leader="dot"/>
            </w:tabs>
            <w:rPr/>
          </w:pPr>
          <w:hyperlink w:anchor="__RefHeading___Toc32016_2021121348">
            <w:r>
              <w:rPr>
                <w:rStyle w:val="IndexLink"/>
              </w:rPr>
              <w:t>10.3</w:t>
              <w:tab/>
              <w:t>Inventarisierung</w:t>
              <w:tab/>
              <w:t>27</w:t>
            </w:r>
          </w:hyperlink>
        </w:p>
        <w:p>
          <w:pPr>
            <w:pStyle w:val="TOC2"/>
            <w:tabs>
              <w:tab w:val="clear" w:pos="9062"/>
              <w:tab w:val="left" w:pos="567" w:leader="none"/>
              <w:tab w:val="right" w:pos="9071" w:leader="dot"/>
            </w:tabs>
            <w:rPr/>
          </w:pPr>
          <w:hyperlink w:anchor="__RefHeading___Toc32018_2021121348">
            <w:r>
              <w:rPr>
                <w:rStyle w:val="IndexLink"/>
              </w:rPr>
              <w:t>10.4</w:t>
              <w:tab/>
              <w:t>Lebenszyklus</w:t>
              <w:tab/>
              <w:t>28</w:t>
            </w:r>
          </w:hyperlink>
        </w:p>
        <w:p>
          <w:pPr>
            <w:pStyle w:val="TOC3"/>
            <w:tabs>
              <w:tab w:val="clear" w:pos="9062"/>
              <w:tab w:val="left" w:pos="709" w:leader="none"/>
              <w:tab w:val="right" w:pos="9071" w:leader="dot"/>
            </w:tabs>
            <w:rPr/>
          </w:pPr>
          <w:hyperlink w:anchor="__RefHeading___Toc32020_2021121348">
            <w:r>
              <w:rPr>
                <w:rStyle w:val="IndexLink"/>
              </w:rPr>
              <w:t>10.4.1</w:t>
              <w:tab/>
              <w:t>Beschreibung</w:t>
              <w:tab/>
              <w:t>28</w:t>
            </w:r>
          </w:hyperlink>
        </w:p>
        <w:p>
          <w:pPr>
            <w:pStyle w:val="TOC3"/>
            <w:tabs>
              <w:tab w:val="clear" w:pos="9062"/>
              <w:tab w:val="left" w:pos="709" w:leader="none"/>
              <w:tab w:val="right" w:pos="9071" w:leader="dot"/>
            </w:tabs>
            <w:rPr/>
          </w:pPr>
          <w:hyperlink w:anchor="__RefHeading___inbetriebnahme_und_aender">
            <w:r>
              <w:rPr>
                <w:rStyle w:val="IndexLink"/>
              </w:rPr>
              <w:t>10.4.2</w:t>
              <w:tab/>
              <w:t>Inbetriebnahme und Änderung</w:t>
              <w:tab/>
              <w:t>28</w:t>
            </w:r>
          </w:hyperlink>
        </w:p>
        <w:p>
          <w:pPr>
            <w:pStyle w:val="TOC3"/>
            <w:tabs>
              <w:tab w:val="clear" w:pos="9062"/>
              <w:tab w:val="left" w:pos="709" w:leader="none"/>
              <w:tab w:val="right" w:pos="9071" w:leader="dot"/>
            </w:tabs>
            <w:rPr/>
          </w:pPr>
          <w:hyperlink w:anchor="__RefHeading___ausmusterung_und_del_weit">
            <w:r>
              <w:rPr>
                <w:rStyle w:val="IndexLink"/>
              </w:rPr>
              <w:t>10.4.3</w:t>
              <w:tab/>
              <w:t>Ausmusterung und Wiederverwendung</w:t>
              <w:tab/>
              <w:t>28</w:t>
            </w:r>
          </w:hyperlink>
        </w:p>
        <w:p>
          <w:pPr>
            <w:pStyle w:val="TOC2"/>
            <w:tabs>
              <w:tab w:val="clear" w:pos="9062"/>
              <w:tab w:val="left" w:pos="567" w:leader="none"/>
              <w:tab w:val="right" w:pos="9071" w:leader="dot"/>
            </w:tabs>
            <w:rPr/>
          </w:pPr>
          <w:hyperlink w:anchor="__RefHeading___Toc32022_2021121348">
            <w:r>
              <w:rPr>
                <w:rStyle w:val="IndexLink"/>
              </w:rPr>
              <w:t>10.5</w:t>
              <w:tab/>
              <w:t>Basisschutz</w:t>
              <w:tab/>
              <w:t>28</w:t>
            </w:r>
          </w:hyperlink>
        </w:p>
        <w:p>
          <w:pPr>
            <w:pStyle w:val="TOC3"/>
            <w:tabs>
              <w:tab w:val="clear" w:pos="9062"/>
              <w:tab w:val="left" w:pos="709" w:leader="none"/>
              <w:tab w:val="right" w:pos="9071" w:leader="dot"/>
            </w:tabs>
            <w:rPr/>
          </w:pPr>
          <w:hyperlink w:anchor="__RefHeading___Toc32024_2021121348">
            <w:r>
              <w:rPr>
                <w:rStyle w:val="IndexLink"/>
              </w:rPr>
              <w:t>10.5.1</w:t>
              <w:tab/>
              <w:t>Funktionalitäten und Maßnahmen</w:t>
              <w:tab/>
              <w:t>28</w:t>
            </w:r>
          </w:hyperlink>
        </w:p>
        <w:p>
          <w:pPr>
            <w:pStyle w:val="TOC3"/>
            <w:tabs>
              <w:tab w:val="clear" w:pos="9062"/>
              <w:tab w:val="left" w:pos="709" w:leader="none"/>
              <w:tab w:val="right" w:pos="9071" w:leader="dot"/>
            </w:tabs>
            <w:rPr/>
          </w:pPr>
          <w:hyperlink w:anchor="__RefHeading___del_updatesdel_software_5">
            <w:r>
              <w:rPr>
                <w:rStyle w:val="IndexLink"/>
              </w:rPr>
              <w:t>10.5.2</w:t>
              <w:tab/>
              <w:t>Software</w:t>
              <w:tab/>
              <w:t>28</w:t>
            </w:r>
          </w:hyperlink>
        </w:p>
        <w:p>
          <w:pPr>
            <w:pStyle w:val="TOC3"/>
            <w:tabs>
              <w:tab w:val="clear" w:pos="9062"/>
              <w:tab w:val="left" w:pos="709" w:leader="none"/>
              <w:tab w:val="right" w:pos="9071" w:leader="dot"/>
            </w:tabs>
            <w:rPr/>
          </w:pPr>
          <w:hyperlink w:anchor="__RefHeading___beschraenkung_des_netzwer">
            <w:r>
              <w:rPr>
                <w:rStyle w:val="IndexLink"/>
              </w:rPr>
              <w:t>10.5.3</w:t>
              <w:tab/>
              <w:t>Beschränkung des Netzwerkverkehrs</w:t>
              <w:tab/>
              <w:t>29</w:t>
            </w:r>
          </w:hyperlink>
        </w:p>
        <w:p>
          <w:pPr>
            <w:pStyle w:val="TOC3"/>
            <w:tabs>
              <w:tab w:val="clear" w:pos="9062"/>
              <w:tab w:val="left" w:pos="709" w:leader="none"/>
              <w:tab w:val="right" w:pos="9071" w:leader="dot"/>
            </w:tabs>
            <w:rPr/>
          </w:pPr>
          <w:hyperlink w:anchor="__RefHeading___protokollierung_55">
            <w:r>
              <w:rPr>
                <w:rStyle w:val="IndexLink"/>
              </w:rPr>
              <w:t>10.5.4</w:t>
              <w:tab/>
              <w:t>Protokollierung</w:t>
              <w:tab/>
              <w:t>29</w:t>
            </w:r>
          </w:hyperlink>
        </w:p>
        <w:p>
          <w:pPr>
            <w:pStyle w:val="TOC3"/>
            <w:tabs>
              <w:tab w:val="clear" w:pos="9062"/>
              <w:tab w:val="left" w:pos="709" w:leader="none"/>
              <w:tab w:val="right" w:pos="9071" w:leader="dot"/>
            </w:tabs>
            <w:rPr/>
          </w:pPr>
          <w:hyperlink w:anchor="__RefHeading___Toc32026_2021121348">
            <w:r>
              <w:rPr>
                <w:rStyle w:val="IndexLink"/>
              </w:rPr>
              <w:t>10.5.5</w:t>
              <w:tab/>
              <w:t>Externe Schnittstellen und Laufwerke</w:t>
              <w:tab/>
              <w:t>29</w:t>
            </w:r>
          </w:hyperlink>
        </w:p>
        <w:p>
          <w:pPr>
            <w:pStyle w:val="TOC3"/>
            <w:tabs>
              <w:tab w:val="clear" w:pos="9062"/>
              <w:tab w:val="left" w:pos="709" w:leader="none"/>
              <w:tab w:val="right" w:pos="9071" w:leader="dot"/>
            </w:tabs>
            <w:rPr/>
          </w:pPr>
          <w:hyperlink w:anchor="__RefHeading___schadsoftware_57">
            <w:r>
              <w:rPr>
                <w:rStyle w:val="IndexLink"/>
              </w:rPr>
              <w:t>10.5.6</w:t>
              <w:tab/>
              <w:t>Schadsoftware</w:t>
              <w:tab/>
              <w:t>29</w:t>
            </w:r>
          </w:hyperlink>
        </w:p>
        <w:p>
          <w:pPr>
            <w:pStyle w:val="TOC3"/>
            <w:tabs>
              <w:tab w:val="clear" w:pos="9062"/>
              <w:tab w:val="left" w:pos="709" w:leader="none"/>
              <w:tab w:val="right" w:pos="9071" w:leader="dot"/>
            </w:tabs>
            <w:rPr/>
          </w:pPr>
          <w:hyperlink w:anchor="__RefHeading___Toc32028_2021121348">
            <w:r>
              <w:rPr>
                <w:rStyle w:val="IndexLink"/>
              </w:rPr>
              <w:t>10.5.7</w:t>
              <w:tab/>
              <w:t>Starten von fremden Medien</w:t>
              <w:tab/>
              <w:t>29</w:t>
            </w:r>
          </w:hyperlink>
        </w:p>
        <w:p>
          <w:pPr>
            <w:pStyle w:val="TOC3"/>
            <w:tabs>
              <w:tab w:val="clear" w:pos="9062"/>
              <w:tab w:val="left" w:pos="709" w:leader="none"/>
              <w:tab w:val="right" w:pos="9071" w:leader="dot"/>
            </w:tabs>
            <w:rPr/>
          </w:pPr>
          <w:hyperlink w:anchor="__RefHeading___authentifizierung_59">
            <w:r>
              <w:rPr>
                <w:rStyle w:val="IndexLink"/>
              </w:rPr>
              <w:t>10.5.8</w:t>
              <w:tab/>
              <w:t>Authentifizierung</w:t>
              <w:tab/>
              <w:t>30</w:t>
            </w:r>
          </w:hyperlink>
        </w:p>
        <w:p>
          <w:pPr>
            <w:pStyle w:val="TOC3"/>
            <w:tabs>
              <w:tab w:val="clear" w:pos="9062"/>
              <w:tab w:val="left" w:pos="709" w:leader="none"/>
              <w:tab w:val="right" w:pos="9071" w:leader="dot"/>
            </w:tabs>
            <w:rPr/>
          </w:pPr>
          <w:hyperlink w:anchor="__RefHeading___Toc32030_2021121348">
            <w:r>
              <w:rPr>
                <w:rStyle w:val="IndexLink"/>
              </w:rPr>
              <w:t>10.5.9</w:t>
              <w:tab/>
              <w:t>Zugänge und Zugriffe</w:t>
              <w:tab/>
              <w:t>30</w:t>
            </w:r>
          </w:hyperlink>
        </w:p>
        <w:p>
          <w:pPr>
            <w:pStyle w:val="TOC2"/>
            <w:tabs>
              <w:tab w:val="clear" w:pos="9062"/>
              <w:tab w:val="left" w:pos="567" w:leader="none"/>
              <w:tab w:val="right" w:pos="9071" w:leader="dot"/>
            </w:tabs>
            <w:rPr/>
          </w:pPr>
          <w:hyperlink w:anchor="__RefHeading___Toc32032_2021121348">
            <w:r>
              <w:rPr>
                <w:rStyle w:val="IndexLink"/>
              </w:rPr>
              <w:t>10.6</w:t>
              <w:tab/>
              <w:t>Zusätzliche Maßnahmen für mobile IT-Systeme</w:t>
              <w:tab/>
              <w:t>30</w:t>
            </w:r>
          </w:hyperlink>
        </w:p>
        <w:p>
          <w:pPr>
            <w:pStyle w:val="TOC3"/>
            <w:tabs>
              <w:tab w:val="clear" w:pos="9062"/>
              <w:tab w:val="left" w:pos="709" w:leader="none"/>
              <w:tab w:val="right" w:pos="9071" w:leader="dot"/>
            </w:tabs>
            <w:rPr/>
          </w:pPr>
          <w:hyperlink w:anchor="__RefHeading___Toc32034_2021121348">
            <w:r>
              <w:rPr>
                <w:rStyle w:val="IndexLink"/>
              </w:rPr>
              <w:t>10.6.1</w:t>
              <w:tab/>
              <w:t>Grundlagen</w:t>
              <w:tab/>
              <w:t>30</w:t>
            </w:r>
          </w:hyperlink>
        </w:p>
        <w:p>
          <w:pPr>
            <w:pStyle w:val="TOC3"/>
            <w:tabs>
              <w:tab w:val="clear" w:pos="9062"/>
              <w:tab w:val="left" w:pos="709" w:leader="none"/>
              <w:tab w:val="right" w:pos="9071" w:leader="dot"/>
            </w:tabs>
            <w:rPr/>
          </w:pPr>
          <w:hyperlink w:anchor="__RefHeading___is-richtlinie_62">
            <w:r>
              <w:rPr>
                <w:rStyle w:val="IndexLink"/>
              </w:rPr>
              <w:t>10.6.2</w:t>
              <w:tab/>
              <w:t>IS-Richtlinie</w:t>
              <w:tab/>
              <w:t>30</w:t>
            </w:r>
          </w:hyperlink>
        </w:p>
        <w:p>
          <w:pPr>
            <w:pStyle w:val="TOC3"/>
            <w:tabs>
              <w:tab w:val="clear" w:pos="9062"/>
              <w:tab w:val="left" w:pos="709" w:leader="none"/>
              <w:tab w:val="right" w:pos="9071" w:leader="dot"/>
            </w:tabs>
            <w:rPr/>
          </w:pPr>
          <w:hyperlink w:anchor="__RefHeading___schutz_der_informationen_">
            <w:r>
              <w:rPr>
                <w:rStyle w:val="IndexLink"/>
              </w:rPr>
              <w:t>10.6.3</w:t>
              <w:tab/>
              <w:t>Schutz der Informationen</w:t>
              <w:tab/>
              <w:t>31</w:t>
            </w:r>
          </w:hyperlink>
        </w:p>
        <w:p>
          <w:pPr>
            <w:pStyle w:val="TOC3"/>
            <w:tabs>
              <w:tab w:val="clear" w:pos="9062"/>
              <w:tab w:val="left" w:pos="709" w:leader="none"/>
              <w:tab w:val="right" w:pos="9071" w:leader="dot"/>
            </w:tabs>
            <w:rPr/>
          </w:pPr>
          <w:hyperlink w:anchor="__RefHeading___verlust_64">
            <w:r>
              <w:rPr>
                <w:rStyle w:val="IndexLink"/>
              </w:rPr>
              <w:t>10.6.4</w:t>
              <w:tab/>
              <w:t>Verlust</w:t>
              <w:tab/>
              <w:t>31</w:t>
            </w:r>
          </w:hyperlink>
        </w:p>
        <w:p>
          <w:pPr>
            <w:pStyle w:val="TOC2"/>
            <w:tabs>
              <w:tab w:val="clear" w:pos="9062"/>
              <w:tab w:val="left" w:pos="567" w:leader="none"/>
              <w:tab w:val="right" w:pos="9071" w:leader="dot"/>
            </w:tabs>
            <w:rPr/>
          </w:pPr>
          <w:hyperlink w:anchor="__RefHeading___Toc42885_2021121348">
            <w:r>
              <w:rPr>
                <w:rStyle w:val="IndexLink"/>
              </w:rPr>
              <w:t>10.7</w:t>
              <w:tab/>
              <w:t>Zusätzliche Maßnahmen für wichtige IT-Systeme</w:t>
              <w:tab/>
              <w:t>31</w:t>
            </w:r>
          </w:hyperlink>
        </w:p>
        <w:p>
          <w:pPr>
            <w:pStyle w:val="TOC3"/>
            <w:tabs>
              <w:tab w:val="clear" w:pos="9062"/>
              <w:tab w:val="left" w:pos="709" w:leader="none"/>
              <w:tab w:val="right" w:pos="9071" w:leader="dot"/>
            </w:tabs>
            <w:rPr/>
          </w:pPr>
          <w:hyperlink w:anchor="__RefHeading___dokumentation_71">
            <w:r>
              <w:rPr>
                <w:rStyle w:val="IndexLink"/>
              </w:rPr>
              <w:t>10.7.1</w:t>
              <w:tab/>
              <w:t>Dokumentation</w:t>
              <w:tab/>
              <w:t>31</w:t>
            </w:r>
          </w:hyperlink>
        </w:p>
        <w:p>
          <w:pPr>
            <w:pStyle w:val="TOC3"/>
            <w:tabs>
              <w:tab w:val="clear" w:pos="9062"/>
              <w:tab w:val="left" w:pos="709" w:leader="none"/>
              <w:tab w:val="right" w:pos="9071" w:leader="dot"/>
            </w:tabs>
            <w:rPr/>
          </w:pPr>
          <w:hyperlink w:anchor="__RefHeading___datensicherung_72">
            <w:r>
              <w:rPr>
                <w:rStyle w:val="IndexLink"/>
              </w:rPr>
              <w:t>10.7.2</w:t>
              <w:tab/>
              <w:t>Datensicherung</w:t>
              <w:tab/>
              <w:t>32</w:t>
            </w:r>
          </w:hyperlink>
        </w:p>
        <w:p>
          <w:pPr>
            <w:pStyle w:val="TOC3"/>
            <w:tabs>
              <w:tab w:val="clear" w:pos="9062"/>
              <w:tab w:val="left" w:pos="709" w:leader="none"/>
              <w:tab w:val="right" w:pos="9071" w:leader="dot"/>
            </w:tabs>
            <w:rPr/>
          </w:pPr>
          <w:hyperlink w:anchor="__RefHeading___ueberwachung_73">
            <w:r>
              <w:rPr>
                <w:rStyle w:val="IndexLink"/>
              </w:rPr>
              <w:t>10.7.3</w:t>
              <w:tab/>
              <w:t>Überwachung</w:t>
              <w:tab/>
              <w:t>32</w:t>
            </w:r>
          </w:hyperlink>
        </w:p>
        <w:p>
          <w:pPr>
            <w:pStyle w:val="TOC3"/>
            <w:tabs>
              <w:tab w:val="clear" w:pos="9062"/>
              <w:tab w:val="left" w:pos="709" w:leader="none"/>
              <w:tab w:val="right" w:pos="9071" w:leader="dot"/>
            </w:tabs>
            <w:rPr/>
          </w:pPr>
          <w:hyperlink w:anchor="__RefHeading___beschraenkung_des_netzwe1">
            <w:r>
              <w:rPr>
                <w:rStyle w:val="IndexLink"/>
              </w:rPr>
              <w:t>10.7.4</w:t>
              <w:tab/>
              <w:t>Beschränkung des Netzwerkverkehrs</w:t>
              <w:tab/>
              <w:t>32</w:t>
            </w:r>
          </w:hyperlink>
        </w:p>
        <w:p>
          <w:pPr>
            <w:pStyle w:val="TOC3"/>
            <w:tabs>
              <w:tab w:val="clear" w:pos="9062"/>
              <w:tab w:val="left" w:pos="709" w:leader="none"/>
              <w:tab w:val="right" w:pos="9071" w:leader="dot"/>
            </w:tabs>
            <w:rPr/>
          </w:pPr>
          <w:hyperlink w:anchor="__RefHeading___kritische_individualsoftw">
            <w:r>
              <w:rPr>
                <w:rStyle w:val="IndexLink"/>
              </w:rPr>
              <w:t>10.7.5</w:t>
              <w:tab/>
              <w:t>Wichtige Individualsoftware</w:t>
              <w:tab/>
              <w:t>32</w:t>
            </w:r>
          </w:hyperlink>
        </w:p>
        <w:p>
          <w:pPr>
            <w:pStyle w:val="TOC2"/>
            <w:tabs>
              <w:tab w:val="clear" w:pos="9062"/>
              <w:tab w:val="left" w:pos="567" w:leader="none"/>
              <w:tab w:val="right" w:pos="9071" w:leader="dot"/>
            </w:tabs>
            <w:rPr/>
          </w:pPr>
          <w:hyperlink w:anchor="__RefHeading___Toc32036_2021121348">
            <w:r>
              <w:rPr>
                <w:rStyle w:val="IndexLink"/>
              </w:rPr>
              <w:t>10.8</w:t>
              <w:tab/>
              <w:t>Zusätzliche Maßnahmen für kritische IT-Systeme</w:t>
              <w:tab/>
              <w:t>32</w:t>
            </w:r>
          </w:hyperlink>
        </w:p>
        <w:p>
          <w:pPr>
            <w:pStyle w:val="TOC3"/>
            <w:tabs>
              <w:tab w:val="clear" w:pos="9062"/>
              <w:tab w:val="left" w:pos="709" w:leader="none"/>
              <w:tab w:val="right" w:pos="9071" w:leader="dot"/>
            </w:tabs>
            <w:rPr/>
          </w:pPr>
          <w:hyperlink w:anchor="__RefHeading___Toc32038_2021121348">
            <w:r>
              <w:rPr>
                <w:rStyle w:val="IndexLink"/>
              </w:rPr>
              <w:t>10.8.1</w:t>
              <w:tab/>
              <w:t>Grundlagen</w:t>
              <w:tab/>
              <w:t>32</w:t>
            </w:r>
          </w:hyperlink>
        </w:p>
        <w:p>
          <w:pPr>
            <w:pStyle w:val="TOC3"/>
            <w:tabs>
              <w:tab w:val="clear" w:pos="9062"/>
              <w:tab w:val="left" w:pos="709" w:leader="none"/>
              <w:tab w:val="right" w:pos="9071" w:leader="dot"/>
            </w:tabs>
            <w:rPr/>
          </w:pPr>
          <w:hyperlink w:anchor="__RefHeading___notbetriebsniveau_67">
            <w:r>
              <w:rPr>
                <w:rStyle w:val="IndexLink"/>
              </w:rPr>
              <w:t>10.8.2</w:t>
              <w:tab/>
              <w:t>Notbetriebsniveau</w:t>
              <w:tab/>
              <w:t>32</w:t>
            </w:r>
          </w:hyperlink>
        </w:p>
        <w:p>
          <w:pPr>
            <w:pStyle w:val="TOC3"/>
            <w:tabs>
              <w:tab w:val="clear" w:pos="9062"/>
              <w:tab w:val="left" w:pos="709" w:leader="none"/>
              <w:tab w:val="right" w:pos="9071" w:leader="dot"/>
            </w:tabs>
            <w:rPr/>
          </w:pPr>
          <w:hyperlink w:anchor="__RefHeading___robustheit_68">
            <w:r>
              <w:rPr>
                <w:rStyle w:val="IndexLink"/>
              </w:rPr>
              <w:t>10.8.3</w:t>
              <w:tab/>
              <w:t>Robustheit</w:t>
              <w:tab/>
              <w:t>32</w:t>
            </w:r>
          </w:hyperlink>
        </w:p>
        <w:p>
          <w:pPr>
            <w:pStyle w:val="TOC3"/>
            <w:tabs>
              <w:tab w:val="clear" w:pos="9062"/>
              <w:tab w:val="left" w:pos="709" w:leader="none"/>
              <w:tab w:val="right" w:pos="9071" w:leader="dot"/>
            </w:tabs>
            <w:rPr/>
          </w:pPr>
          <w:hyperlink w:anchor="__RefHeading___Toc42889_2021121348">
            <w:r>
              <w:rPr>
                <w:rStyle w:val="IndexLink"/>
              </w:rPr>
              <w:t>10.8.4</w:t>
              <w:tab/>
              <w:t>Kryptografie</w:t>
              <w:tab/>
              <w:t>32</w:t>
            </w:r>
          </w:hyperlink>
        </w:p>
        <w:p>
          <w:pPr>
            <w:pStyle w:val="TOC3"/>
            <w:tabs>
              <w:tab w:val="clear" w:pos="9062"/>
              <w:tab w:val="left" w:pos="709" w:leader="none"/>
              <w:tab w:val="right" w:pos="9071" w:leader="dot"/>
            </w:tabs>
            <w:rPr/>
          </w:pPr>
          <w:hyperlink w:anchor="__RefHeading___externe_schnittstellen_un">
            <w:r>
              <w:rPr>
                <w:rStyle w:val="IndexLink"/>
              </w:rPr>
              <w:t>10.8.5</w:t>
              <w:tab/>
              <w:t>Externe Schnittstellen und Laufwerke</w:t>
              <w:tab/>
              <w:t>33</w:t>
            </w:r>
          </w:hyperlink>
        </w:p>
        <w:p>
          <w:pPr>
            <w:pStyle w:val="TOC3"/>
            <w:tabs>
              <w:tab w:val="clear" w:pos="9062"/>
              <w:tab w:val="left" w:pos="709" w:leader="none"/>
              <w:tab w:val="right" w:pos="9071" w:leader="dot"/>
            </w:tabs>
            <w:rPr/>
          </w:pPr>
          <w:hyperlink w:anchor="__RefHeading___aenderungsmanagement_70">
            <w:r>
              <w:rPr>
                <w:rStyle w:val="IndexLink"/>
              </w:rPr>
              <w:t>10.8.6</w:t>
              <w:tab/>
              <w:t>Änderungsmanagement</w:t>
              <w:tab/>
              <w:t>33</w:t>
            </w:r>
          </w:hyperlink>
        </w:p>
        <w:p>
          <w:pPr>
            <w:pStyle w:val="TOC3"/>
            <w:tabs>
              <w:tab w:val="clear" w:pos="9062"/>
              <w:tab w:val="left" w:pos="709" w:leader="none"/>
              <w:tab w:val="right" w:pos="9071" w:leader="dot"/>
            </w:tabs>
            <w:rPr/>
          </w:pPr>
          <w:hyperlink w:anchor="__RefHeading___ersatzsysteme_und_-verfah">
            <w:r>
              <w:rPr>
                <w:rStyle w:val="IndexLink"/>
              </w:rPr>
              <w:t>10.8.7</w:t>
              <w:tab/>
              <w:t>Ersatzsysteme und -verfahren</w:t>
              <w:tab/>
              <w:t>33</w:t>
            </w:r>
          </w:hyperlink>
        </w:p>
        <w:p>
          <w:pPr>
            <w:pStyle w:val="TOC3"/>
            <w:tabs>
              <w:tab w:val="clear" w:pos="9062"/>
              <w:tab w:val="left" w:pos="709" w:leader="none"/>
              <w:tab w:val="right" w:pos="9071" w:leader="dot"/>
            </w:tabs>
            <w:rPr/>
          </w:pPr>
          <w:hyperlink w:anchor="__RefHeading___Toc42891_2021121348">
            <w:r>
              <w:rPr>
                <w:rStyle w:val="IndexLink"/>
              </w:rPr>
              <w:t>10.8.8</w:t>
              <w:tab/>
              <w:t>Entwicklung und Wartung kritischer IT-Systeme und kritischer Individualsoftware</w:t>
              <w:tab/>
              <w:t>33</w:t>
            </w:r>
          </w:hyperlink>
        </w:p>
        <w:p>
          <w:pPr>
            <w:pStyle w:val="TOC1"/>
            <w:tabs>
              <w:tab w:val="clear" w:pos="9062"/>
              <w:tab w:val="left" w:pos="426" w:leader="none"/>
              <w:tab w:val="right" w:pos="9071" w:leader="dot"/>
            </w:tabs>
            <w:rPr/>
          </w:pPr>
          <w:hyperlink w:anchor="__RefHeading___Toc32040_2021121348">
            <w:r>
              <w:rPr>
                <w:rStyle w:val="IndexLink"/>
              </w:rPr>
              <w:t>11</w:t>
              <w:tab/>
              <w:t>Netzwerke und Verbindungen</w:t>
              <w:tab/>
              <w:t>33</w:t>
            </w:r>
          </w:hyperlink>
        </w:p>
        <w:p>
          <w:pPr>
            <w:pStyle w:val="TOC2"/>
            <w:tabs>
              <w:tab w:val="clear" w:pos="9062"/>
              <w:tab w:val="left" w:pos="567" w:leader="none"/>
              <w:tab w:val="right" w:pos="9071" w:leader="dot"/>
            </w:tabs>
            <w:rPr/>
          </w:pPr>
          <w:hyperlink w:anchor="__RefHeading___Toc32042_2021121348">
            <w:r>
              <w:rPr>
                <w:rStyle w:val="IndexLink"/>
              </w:rPr>
              <w:t>11.1</w:t>
              <w:tab/>
              <w:t>Grundlagen</w:t>
              <w:tab/>
              <w:t>33</w:t>
            </w:r>
          </w:hyperlink>
        </w:p>
        <w:p>
          <w:pPr>
            <w:pStyle w:val="TOC2"/>
            <w:tabs>
              <w:tab w:val="clear" w:pos="9062"/>
              <w:tab w:val="left" w:pos="567" w:leader="none"/>
              <w:tab w:val="right" w:pos="9071" w:leader="dot"/>
            </w:tabs>
            <w:rPr/>
          </w:pPr>
          <w:hyperlink w:anchor="__RefHeading___Toc32044_2021121348">
            <w:r>
              <w:rPr>
                <w:rStyle w:val="IndexLink"/>
              </w:rPr>
              <w:t>11.2</w:t>
              <w:tab/>
              <w:t>Netzwerkplan</w:t>
              <w:tab/>
              <w:t>33</w:t>
            </w:r>
          </w:hyperlink>
        </w:p>
        <w:p>
          <w:pPr>
            <w:pStyle w:val="TOC2"/>
            <w:tabs>
              <w:tab w:val="clear" w:pos="9062"/>
              <w:tab w:val="left" w:pos="567" w:leader="none"/>
              <w:tab w:val="right" w:pos="9071" w:leader="dot"/>
            </w:tabs>
            <w:rPr/>
          </w:pPr>
          <w:hyperlink w:anchor="__RefHeading___Toc32046_2021121348">
            <w:r>
              <w:rPr>
                <w:rStyle w:val="IndexLink"/>
              </w:rPr>
              <w:t>11.3</w:t>
              <w:tab/>
              <w:t>Aktive Netzwerkkomponenten</w:t>
              <w:tab/>
              <w:t>34</w:t>
            </w:r>
          </w:hyperlink>
        </w:p>
        <w:p>
          <w:pPr>
            <w:pStyle w:val="TOC2"/>
            <w:tabs>
              <w:tab w:val="clear" w:pos="9062"/>
              <w:tab w:val="left" w:pos="567" w:leader="none"/>
              <w:tab w:val="right" w:pos="9071" w:leader="dot"/>
            </w:tabs>
            <w:rPr/>
          </w:pPr>
          <w:hyperlink w:anchor="__RefHeading___Toc32048_2021121348">
            <w:r>
              <w:rPr>
                <w:rStyle w:val="IndexLink"/>
              </w:rPr>
              <w:t>11.4</w:t>
              <w:tab/>
              <w:t>Netzübergänge</w:t>
              <w:tab/>
              <w:t>34</w:t>
            </w:r>
          </w:hyperlink>
        </w:p>
        <w:p>
          <w:pPr>
            <w:pStyle w:val="TOC2"/>
            <w:tabs>
              <w:tab w:val="clear" w:pos="9062"/>
              <w:tab w:val="left" w:pos="567" w:leader="none"/>
              <w:tab w:val="right" w:pos="9071" w:leader="dot"/>
            </w:tabs>
            <w:rPr/>
          </w:pPr>
          <w:hyperlink w:anchor="__RefHeading___Toc32050_2021121348">
            <w:r>
              <w:rPr>
                <w:rStyle w:val="IndexLink"/>
              </w:rPr>
              <w:t>11.5</w:t>
              <w:tab/>
              <w:t>Basisschutz</w:t>
              <w:tab/>
              <w:t>34</w:t>
            </w:r>
          </w:hyperlink>
        </w:p>
        <w:p>
          <w:pPr>
            <w:pStyle w:val="TOC3"/>
            <w:tabs>
              <w:tab w:val="clear" w:pos="9062"/>
              <w:tab w:val="left" w:pos="709" w:leader="none"/>
              <w:tab w:val="right" w:pos="9071" w:leader="dot"/>
            </w:tabs>
            <w:rPr/>
          </w:pPr>
          <w:hyperlink w:anchor="__RefHeading___Toc32052_2021121348">
            <w:r>
              <w:rPr>
                <w:rStyle w:val="IndexLink"/>
              </w:rPr>
              <w:t>11.5.1</w:t>
              <w:tab/>
              <w:t>Grundanforderungen</w:t>
              <w:tab/>
              <w:t>34</w:t>
            </w:r>
          </w:hyperlink>
        </w:p>
        <w:p>
          <w:pPr>
            <w:pStyle w:val="TOC3"/>
            <w:tabs>
              <w:tab w:val="clear" w:pos="9062"/>
              <w:tab w:val="left" w:pos="709" w:leader="none"/>
              <w:tab w:val="right" w:pos="9071" w:leader="dot"/>
            </w:tabs>
            <w:rPr/>
          </w:pPr>
          <w:hyperlink w:anchor="__RefHeading___netzwerkanschluesse_81">
            <w:r>
              <w:rPr>
                <w:rStyle w:val="IndexLink"/>
              </w:rPr>
              <w:t>11.5.2</w:t>
              <w:tab/>
              <w:t>Netzwerkanschlüsse</w:t>
              <w:tab/>
              <w:t>35</w:t>
            </w:r>
          </w:hyperlink>
        </w:p>
        <w:p>
          <w:pPr>
            <w:pStyle w:val="TOC3"/>
            <w:tabs>
              <w:tab w:val="clear" w:pos="9062"/>
              <w:tab w:val="left" w:pos="709" w:leader="none"/>
              <w:tab w:val="right" w:pos="9071" w:leader="dot"/>
            </w:tabs>
            <w:rPr/>
          </w:pPr>
          <w:hyperlink w:anchor="__RefHeading___segmentierung_82">
            <w:r>
              <w:rPr>
                <w:rStyle w:val="IndexLink"/>
              </w:rPr>
              <w:t>11.5.3</w:t>
              <w:tab/>
              <w:t>Segmentierung</w:t>
              <w:tab/>
              <w:t>35</w:t>
            </w:r>
          </w:hyperlink>
        </w:p>
        <w:p>
          <w:pPr>
            <w:pStyle w:val="TOC3"/>
            <w:tabs>
              <w:tab w:val="clear" w:pos="9062"/>
              <w:tab w:val="left" w:pos="709" w:leader="none"/>
              <w:tab w:val="right" w:pos="9071" w:leader="dot"/>
            </w:tabs>
            <w:rPr/>
          </w:pPr>
          <w:hyperlink w:anchor="__RefHeading___fernzugriff_83">
            <w:r>
              <w:rPr>
                <w:rStyle w:val="IndexLink"/>
              </w:rPr>
              <w:t>11.5.4</w:t>
              <w:tab/>
              <w:t>Fernzugang</w:t>
              <w:tab/>
              <w:t>35</w:t>
            </w:r>
          </w:hyperlink>
        </w:p>
        <w:p>
          <w:pPr>
            <w:pStyle w:val="TOC3"/>
            <w:tabs>
              <w:tab w:val="clear" w:pos="9062"/>
              <w:tab w:val="left" w:pos="709" w:leader="none"/>
              <w:tab w:val="right" w:pos="9071" w:leader="dot"/>
            </w:tabs>
            <w:rPr/>
          </w:pPr>
          <w:hyperlink w:anchor="__RefHeading___netzwerkkopplung_84">
            <w:r>
              <w:rPr>
                <w:rStyle w:val="IndexLink"/>
              </w:rPr>
              <w:t>11.5.5</w:t>
              <w:tab/>
              <w:t>Netzwerkkopplung</w:t>
              <w:tab/>
              <w:t>35</w:t>
            </w:r>
          </w:hyperlink>
        </w:p>
        <w:p>
          <w:pPr>
            <w:pStyle w:val="TOC2"/>
            <w:tabs>
              <w:tab w:val="clear" w:pos="9062"/>
              <w:tab w:val="left" w:pos="567" w:leader="none"/>
              <w:tab w:val="right" w:pos="9071" w:leader="dot"/>
            </w:tabs>
            <w:rPr/>
          </w:pPr>
          <w:hyperlink w:anchor="__RefHeading___Toc32054_2021121348">
            <w:r>
              <w:rPr>
                <w:rStyle w:val="IndexLink"/>
              </w:rPr>
              <w:t>11.6</w:t>
              <w:tab/>
              <w:t>Zusätzliche Maßnahmen für wichtige Verbindungen</w:t>
              <w:tab/>
              <w:t>35</w:t>
            </w:r>
          </w:hyperlink>
        </w:p>
        <w:p>
          <w:pPr>
            <w:pStyle w:val="TOC1"/>
            <w:tabs>
              <w:tab w:val="clear" w:pos="9062"/>
              <w:tab w:val="left" w:pos="426" w:leader="none"/>
              <w:tab w:val="right" w:pos="9071" w:leader="dot"/>
            </w:tabs>
            <w:rPr/>
          </w:pPr>
          <w:hyperlink w:anchor="__RefHeading___Toc32056_2021121348">
            <w:r>
              <w:rPr>
                <w:rStyle w:val="IndexLink"/>
              </w:rPr>
              <w:t>12</w:t>
              <w:tab/>
              <w:t>Mobile Datenträger</w:t>
              <w:tab/>
              <w:t>36</w:t>
            </w:r>
          </w:hyperlink>
        </w:p>
        <w:p>
          <w:pPr>
            <w:pStyle w:val="TOC2"/>
            <w:tabs>
              <w:tab w:val="clear" w:pos="9062"/>
              <w:tab w:val="left" w:pos="567" w:leader="none"/>
              <w:tab w:val="right" w:pos="9071" w:leader="dot"/>
            </w:tabs>
            <w:rPr/>
          </w:pPr>
          <w:hyperlink w:anchor="__RefHeading___Toc32058_2021121348">
            <w:r>
              <w:rPr>
                <w:rStyle w:val="IndexLink"/>
              </w:rPr>
              <w:t>12.1</w:t>
              <w:tab/>
              <w:t>Grundlagen</w:t>
              <w:tab/>
              <w:t>36</w:t>
            </w:r>
          </w:hyperlink>
        </w:p>
        <w:p>
          <w:pPr>
            <w:pStyle w:val="TOC2"/>
            <w:tabs>
              <w:tab w:val="clear" w:pos="9062"/>
              <w:tab w:val="left" w:pos="567" w:leader="none"/>
              <w:tab w:val="right" w:pos="9071" w:leader="dot"/>
            </w:tabs>
            <w:rPr/>
          </w:pPr>
          <w:hyperlink w:anchor="__RefHeading___Toc32060_2021121348">
            <w:r>
              <w:rPr>
                <w:rStyle w:val="IndexLink"/>
              </w:rPr>
              <w:t>12.2</w:t>
              <w:tab/>
              <w:t>IS-Richtlinie</w:t>
              <w:tab/>
              <w:t>36</w:t>
            </w:r>
          </w:hyperlink>
        </w:p>
        <w:p>
          <w:pPr>
            <w:pStyle w:val="TOC2"/>
            <w:tabs>
              <w:tab w:val="clear" w:pos="9062"/>
              <w:tab w:val="left" w:pos="567" w:leader="none"/>
              <w:tab w:val="right" w:pos="9071" w:leader="dot"/>
            </w:tabs>
            <w:rPr/>
          </w:pPr>
          <w:hyperlink w:anchor="__RefHeading___Toc32062_2021121348">
            <w:r>
              <w:rPr>
                <w:rStyle w:val="IndexLink"/>
              </w:rPr>
              <w:t>12.3</w:t>
              <w:tab/>
              <w:t>Schutz der Informationen</w:t>
              <w:tab/>
              <w:t>36</w:t>
            </w:r>
          </w:hyperlink>
        </w:p>
        <w:p>
          <w:pPr>
            <w:pStyle w:val="TOC2"/>
            <w:tabs>
              <w:tab w:val="clear" w:pos="9062"/>
              <w:tab w:val="left" w:pos="567" w:leader="none"/>
              <w:tab w:val="right" w:pos="9071" w:leader="dot"/>
            </w:tabs>
            <w:rPr/>
          </w:pPr>
          <w:hyperlink w:anchor="__RefHeading___Toc32064_2021121348">
            <w:r>
              <w:rPr>
                <w:rStyle w:val="IndexLink"/>
              </w:rPr>
              <w:t>12.4</w:t>
              <w:tab/>
              <w:t>Zusätzliche Maßnahmen für wichtige mobile Datenträger</w:t>
              <w:tab/>
              <w:t>36</w:t>
            </w:r>
          </w:hyperlink>
        </w:p>
        <w:p>
          <w:pPr>
            <w:pStyle w:val="TOC1"/>
            <w:tabs>
              <w:tab w:val="clear" w:pos="9062"/>
              <w:tab w:val="left" w:pos="426" w:leader="none"/>
              <w:tab w:val="right" w:pos="9071" w:leader="dot"/>
            </w:tabs>
            <w:rPr/>
          </w:pPr>
          <w:hyperlink w:anchor="__RefHeading___Toc32066_2021121348">
            <w:r>
              <w:rPr>
                <w:rStyle w:val="IndexLink"/>
              </w:rPr>
              <w:t>13</w:t>
              <w:tab/>
              <w:t>Umgebung</w:t>
              <w:tab/>
              <w:t>36</w:t>
            </w:r>
          </w:hyperlink>
        </w:p>
        <w:p>
          <w:pPr>
            <w:pStyle w:val="TOC2"/>
            <w:tabs>
              <w:tab w:val="clear" w:pos="9062"/>
              <w:tab w:val="left" w:pos="567" w:leader="none"/>
              <w:tab w:val="right" w:pos="9071" w:leader="dot"/>
            </w:tabs>
            <w:rPr/>
          </w:pPr>
          <w:hyperlink w:anchor="__RefHeading___Toc32068_2021121348">
            <w:r>
              <w:rPr>
                <w:rStyle w:val="IndexLink"/>
              </w:rPr>
              <w:t>13.1</w:t>
              <w:tab/>
              <w:t>Grundlagen</w:t>
              <w:tab/>
              <w:t>36</w:t>
            </w:r>
          </w:hyperlink>
        </w:p>
        <w:p>
          <w:pPr>
            <w:pStyle w:val="TOC2"/>
            <w:tabs>
              <w:tab w:val="clear" w:pos="9062"/>
              <w:tab w:val="left" w:pos="567" w:leader="none"/>
              <w:tab w:val="right" w:pos="9071" w:leader="dot"/>
            </w:tabs>
            <w:rPr/>
          </w:pPr>
          <w:hyperlink w:anchor="__RefHeading___Toc32070_2021121348">
            <w:r>
              <w:rPr>
                <w:rStyle w:val="IndexLink"/>
              </w:rPr>
              <w:t>13.2</w:t>
              <w:tab/>
              <w:t>Server, aktive Netzwerkkomponenten und Netzwerkverteilstellen</w:t>
              <w:tab/>
              <w:t>36</w:t>
            </w:r>
          </w:hyperlink>
        </w:p>
        <w:p>
          <w:pPr>
            <w:pStyle w:val="TOC2"/>
            <w:tabs>
              <w:tab w:val="clear" w:pos="9062"/>
              <w:tab w:val="left" w:pos="567" w:leader="none"/>
              <w:tab w:val="right" w:pos="9071" w:leader="dot"/>
            </w:tabs>
            <w:rPr/>
          </w:pPr>
          <w:hyperlink w:anchor="__RefHeading___Toc32072_2021121348">
            <w:r>
              <w:rPr>
                <w:rStyle w:val="IndexLink"/>
              </w:rPr>
              <w:t>13.3</w:t>
              <w:tab/>
              <w:t>Datenleitungen</w:t>
              <w:tab/>
              <w:t>37</w:t>
            </w:r>
          </w:hyperlink>
        </w:p>
        <w:p>
          <w:pPr>
            <w:pStyle w:val="TOC2"/>
            <w:tabs>
              <w:tab w:val="clear" w:pos="9062"/>
              <w:tab w:val="left" w:pos="567" w:leader="none"/>
              <w:tab w:val="right" w:pos="9071" w:leader="dot"/>
            </w:tabs>
            <w:rPr/>
          </w:pPr>
          <w:hyperlink w:anchor="__RefHeading___Toc32074_2021121348">
            <w:r>
              <w:rPr>
                <w:rStyle w:val="IndexLink"/>
              </w:rPr>
              <w:t>13.4</w:t>
              <w:tab/>
              <w:t>Zusätzliche Maßnahmen für wichtige IT-Systeme</w:t>
              <w:tab/>
              <w:t>37</w:t>
            </w:r>
          </w:hyperlink>
        </w:p>
        <w:p>
          <w:pPr>
            <w:pStyle w:val="TOC1"/>
            <w:tabs>
              <w:tab w:val="clear" w:pos="9062"/>
              <w:tab w:val="left" w:pos="426" w:leader="none"/>
              <w:tab w:val="right" w:pos="9071" w:leader="dot"/>
            </w:tabs>
            <w:rPr/>
          </w:pPr>
          <w:hyperlink w:anchor="__RefHeading___Toc18489_3449274495">
            <w:r>
              <w:rPr>
                <w:rStyle w:val="IndexLink"/>
              </w:rPr>
              <w:t>14</w:t>
              <w:tab/>
              <w:t>Lieferkette</w:t>
              <w:tab/>
              <w:t>37</w:t>
            </w:r>
          </w:hyperlink>
        </w:p>
        <w:p>
          <w:pPr>
            <w:pStyle w:val="TOC2"/>
            <w:tabs>
              <w:tab w:val="clear" w:pos="9062"/>
              <w:tab w:val="left" w:pos="567" w:leader="none"/>
              <w:tab w:val="right" w:pos="9071" w:leader="dot"/>
            </w:tabs>
            <w:rPr/>
          </w:pPr>
          <w:hyperlink w:anchor="__RefHeading___Toc32078_2021121348_Copy_">
            <w:r>
              <w:rPr>
                <w:rStyle w:val="IndexLink"/>
              </w:rPr>
              <w:t>14.1</w:t>
              <w:tab/>
              <w:t>Grundlagen</w:t>
              <w:tab/>
              <w:t>38</w:t>
            </w:r>
          </w:hyperlink>
        </w:p>
        <w:p>
          <w:pPr>
            <w:pStyle w:val="TOC2"/>
            <w:tabs>
              <w:tab w:val="clear" w:pos="9062"/>
              <w:tab w:val="left" w:pos="567" w:leader="none"/>
              <w:tab w:val="right" w:pos="9071" w:leader="dot"/>
            </w:tabs>
            <w:rPr/>
          </w:pPr>
          <w:hyperlink w:anchor="__RefHeading___Toc32080_2021121348_Copy_">
            <w:r>
              <w:rPr>
                <w:rStyle w:val="IndexLink"/>
              </w:rPr>
              <w:t>14.2</w:t>
              <w:tab/>
              <w:t>IS-Richtlinie</w:t>
              <w:tab/>
              <w:t>38</w:t>
            </w:r>
          </w:hyperlink>
        </w:p>
        <w:p>
          <w:pPr>
            <w:pStyle w:val="TOC2"/>
            <w:tabs>
              <w:tab w:val="clear" w:pos="9062"/>
              <w:tab w:val="left" w:pos="567" w:leader="none"/>
              <w:tab w:val="right" w:pos="9071" w:leader="dot"/>
            </w:tabs>
            <w:rPr/>
          </w:pPr>
          <w:hyperlink w:anchor="__RefHeading___Toc29773_3572532615">
            <w:r>
              <w:rPr>
                <w:rStyle w:val="IndexLink"/>
              </w:rPr>
              <w:t>14.3</w:t>
              <w:tab/>
              <w:t>Vertragsgestaltung</w:t>
              <w:tab/>
              <w:t>38</w:t>
            </w:r>
          </w:hyperlink>
        </w:p>
        <w:p>
          <w:pPr>
            <w:pStyle w:val="TOC2"/>
            <w:tabs>
              <w:tab w:val="clear" w:pos="9062"/>
              <w:tab w:val="left" w:pos="567" w:leader="none"/>
              <w:tab w:val="right" w:pos="9071" w:leader="dot"/>
            </w:tabs>
            <w:rPr/>
          </w:pPr>
          <w:hyperlink w:anchor="__RefHeading___Toc32082_2021121348_Copy_">
            <w:r>
              <w:rPr>
                <w:rStyle w:val="IndexLink"/>
              </w:rPr>
              <w:t>14.4</w:t>
              <w:tab/>
              <w:t>Zusätzliche Maßnahmen für wichtige Güter</w:t>
              <w:tab/>
              <w:t>38</w:t>
            </w:r>
          </w:hyperlink>
        </w:p>
        <w:p>
          <w:pPr>
            <w:pStyle w:val="TOC3"/>
            <w:tabs>
              <w:tab w:val="clear" w:pos="9062"/>
              <w:tab w:val="left" w:pos="709" w:leader="none"/>
              <w:tab w:val="right" w:pos="9071" w:leader="dot"/>
            </w:tabs>
            <w:rPr/>
          </w:pPr>
          <w:hyperlink w:anchor="__RefHeading___Toc18491_3449274495">
            <w:r>
              <w:rPr>
                <w:rStyle w:val="IndexLink"/>
              </w:rPr>
              <w:t>14.4.1</w:t>
              <w:tab/>
              <w:t>Vorbereitung</w:t>
              <w:tab/>
              <w:t>39</w:t>
            </w:r>
          </w:hyperlink>
        </w:p>
        <w:p>
          <w:pPr>
            <w:pStyle w:val="TOC3"/>
            <w:tabs>
              <w:tab w:val="clear" w:pos="9062"/>
              <w:tab w:val="left" w:pos="709" w:leader="none"/>
              <w:tab w:val="right" w:pos="9071" w:leader="dot"/>
            </w:tabs>
            <w:rPr/>
          </w:pPr>
          <w:hyperlink w:anchor="__RefHeading___Toc18493_3449274495">
            <w:r>
              <w:rPr>
                <w:rStyle w:val="IndexLink"/>
              </w:rPr>
              <w:t>14.4.2</w:t>
              <w:tab/>
              <w:t>Vertragsgestaltung</w:t>
              <w:tab/>
              <w:t>39</w:t>
            </w:r>
          </w:hyperlink>
        </w:p>
        <w:p>
          <w:pPr>
            <w:pStyle w:val="TOC1"/>
            <w:tabs>
              <w:tab w:val="clear" w:pos="9062"/>
              <w:tab w:val="left" w:pos="426" w:leader="none"/>
              <w:tab w:val="right" w:pos="9071" w:leader="dot"/>
            </w:tabs>
            <w:rPr/>
          </w:pPr>
          <w:hyperlink w:anchor="__RefHeading___Toc32088_2021121348">
            <w:r>
              <w:rPr>
                <w:rStyle w:val="IndexLink"/>
              </w:rPr>
              <w:t>15</w:t>
              <w:tab/>
              <w:t>Zugänge, Zugriffs- und Zutrittsrechte</w:t>
              <w:tab/>
              <w:t>40</w:t>
            </w:r>
          </w:hyperlink>
        </w:p>
        <w:p>
          <w:pPr>
            <w:pStyle w:val="TOC2"/>
            <w:tabs>
              <w:tab w:val="clear" w:pos="9062"/>
              <w:tab w:val="left" w:pos="567" w:leader="none"/>
              <w:tab w:val="right" w:pos="9071" w:leader="dot"/>
            </w:tabs>
            <w:rPr/>
          </w:pPr>
          <w:hyperlink w:anchor="__RefHeading___Toc32090_2021121348">
            <w:r>
              <w:rPr>
                <w:rStyle w:val="IndexLink"/>
              </w:rPr>
              <w:t>15.1</w:t>
              <w:tab/>
              <w:t>Grundlagen</w:t>
              <w:tab/>
              <w:t>40</w:t>
            </w:r>
          </w:hyperlink>
        </w:p>
        <w:p>
          <w:pPr>
            <w:pStyle w:val="TOC2"/>
            <w:tabs>
              <w:tab w:val="clear" w:pos="9062"/>
              <w:tab w:val="left" w:pos="567" w:leader="none"/>
              <w:tab w:val="right" w:pos="9071" w:leader="dot"/>
            </w:tabs>
            <w:rPr/>
          </w:pPr>
          <w:hyperlink w:anchor="__RefHeading___Toc32092_2021121348">
            <w:r>
              <w:rPr>
                <w:rStyle w:val="IndexLink"/>
              </w:rPr>
              <w:t>15.2</w:t>
              <w:tab/>
              <w:t>Verwaltung</w:t>
              <w:tab/>
              <w:t>40</w:t>
            </w:r>
          </w:hyperlink>
        </w:p>
        <w:p>
          <w:pPr>
            <w:pStyle w:val="TOC2"/>
            <w:tabs>
              <w:tab w:val="clear" w:pos="9062"/>
              <w:tab w:val="left" w:pos="567" w:leader="none"/>
              <w:tab w:val="right" w:pos="9071" w:leader="dot"/>
            </w:tabs>
            <w:rPr/>
          </w:pPr>
          <w:hyperlink w:anchor="__RefHeading___Toc32094_2021121348">
            <w:r>
              <w:rPr>
                <w:rStyle w:val="IndexLink"/>
              </w:rPr>
              <w:t>15.3</w:t>
              <w:tab/>
              <w:t>Zusätzliche Maßnahmen für kritische IT-Systeme und Informationen</w:t>
              <w:tab/>
              <w:t>40</w:t>
            </w:r>
          </w:hyperlink>
        </w:p>
        <w:p>
          <w:pPr>
            <w:pStyle w:val="TOC1"/>
            <w:tabs>
              <w:tab w:val="clear" w:pos="9062"/>
              <w:tab w:val="left" w:pos="426" w:leader="none"/>
              <w:tab w:val="right" w:pos="9071" w:leader="dot"/>
            </w:tabs>
            <w:rPr/>
          </w:pPr>
          <w:hyperlink w:anchor="__RefHeading___Toc32096_2021121348">
            <w:r>
              <w:rPr>
                <w:rStyle w:val="IndexLink"/>
              </w:rPr>
              <w:t>16</w:t>
              <w:tab/>
              <w:t>Datensicherung</w:t>
              <w:tab/>
              <w:t>40</w:t>
            </w:r>
          </w:hyperlink>
        </w:p>
        <w:p>
          <w:pPr>
            <w:pStyle w:val="TOC2"/>
            <w:tabs>
              <w:tab w:val="clear" w:pos="9062"/>
              <w:tab w:val="left" w:pos="567" w:leader="none"/>
              <w:tab w:val="right" w:pos="9071" w:leader="dot"/>
            </w:tabs>
            <w:rPr/>
          </w:pPr>
          <w:hyperlink w:anchor="__RefHeading___Toc32098_2021121348">
            <w:r>
              <w:rPr>
                <w:rStyle w:val="IndexLink"/>
              </w:rPr>
              <w:t>16.1</w:t>
              <w:tab/>
              <w:t>Grundlagen</w:t>
              <w:tab/>
              <w:t>40</w:t>
            </w:r>
          </w:hyperlink>
        </w:p>
        <w:p>
          <w:pPr>
            <w:pStyle w:val="TOC2"/>
            <w:tabs>
              <w:tab w:val="clear" w:pos="9062"/>
              <w:tab w:val="left" w:pos="567" w:leader="none"/>
              <w:tab w:val="right" w:pos="9071" w:leader="dot"/>
            </w:tabs>
            <w:rPr/>
          </w:pPr>
          <w:hyperlink w:anchor="__RefHeading___Toc32100_2021121348">
            <w:r>
              <w:rPr>
                <w:rStyle w:val="IndexLink"/>
              </w:rPr>
              <w:t>16.2</w:t>
              <w:tab/>
              <w:t>IS-Richtlinie</w:t>
              <w:tab/>
              <w:t>40</w:t>
            </w:r>
          </w:hyperlink>
        </w:p>
        <w:p>
          <w:pPr>
            <w:pStyle w:val="TOC2"/>
            <w:tabs>
              <w:tab w:val="clear" w:pos="9062"/>
              <w:tab w:val="left" w:pos="567" w:leader="none"/>
              <w:tab w:val="right" w:pos="9071" w:leader="dot"/>
            </w:tabs>
            <w:rPr/>
          </w:pPr>
          <w:hyperlink w:anchor="__RefHeading___Toc32102_2021121348">
            <w:r>
              <w:rPr>
                <w:rStyle w:val="IndexLink"/>
              </w:rPr>
              <w:t>16.3</w:t>
              <w:tab/>
              <w:t>Verfahren</w:t>
              <w:tab/>
              <w:t>41</w:t>
            </w:r>
          </w:hyperlink>
        </w:p>
        <w:p>
          <w:pPr>
            <w:pStyle w:val="TOC2"/>
            <w:tabs>
              <w:tab w:val="clear" w:pos="9062"/>
              <w:tab w:val="left" w:pos="567" w:leader="none"/>
              <w:tab w:val="right" w:pos="9071" w:leader="dot"/>
            </w:tabs>
            <w:rPr/>
          </w:pPr>
          <w:hyperlink w:anchor="__RefHeading___Toc32104_2021121348">
            <w:r>
              <w:rPr>
                <w:rStyle w:val="IndexLink"/>
              </w:rPr>
              <w:t>16.4</w:t>
              <w:tab/>
              <w:t>Weiterentwicklung</w:t>
              <w:tab/>
              <w:t>41</w:t>
            </w:r>
          </w:hyperlink>
        </w:p>
        <w:p>
          <w:pPr>
            <w:pStyle w:val="TOC2"/>
            <w:tabs>
              <w:tab w:val="clear" w:pos="9062"/>
              <w:tab w:val="left" w:pos="567" w:leader="none"/>
              <w:tab w:val="right" w:pos="9071" w:leader="dot"/>
            </w:tabs>
            <w:rPr/>
          </w:pPr>
          <w:hyperlink w:anchor="__RefHeading___Toc32106_2021121348">
            <w:r>
              <w:rPr>
                <w:rStyle w:val="IndexLink"/>
              </w:rPr>
              <w:t>16.5</w:t>
              <w:tab/>
              <w:t>Basisschutz</w:t>
              <w:tab/>
              <w:t>41</w:t>
            </w:r>
          </w:hyperlink>
        </w:p>
        <w:p>
          <w:pPr>
            <w:pStyle w:val="TOC3"/>
            <w:tabs>
              <w:tab w:val="clear" w:pos="9062"/>
              <w:tab w:val="left" w:pos="709" w:leader="none"/>
              <w:tab w:val="right" w:pos="9071" w:leader="dot"/>
            </w:tabs>
            <w:rPr/>
          </w:pPr>
          <w:hyperlink w:anchor="__RefHeading___Toc32108_2021121348">
            <w:r>
              <w:rPr>
                <w:rStyle w:val="IndexLink"/>
              </w:rPr>
              <w:t>16.5.1</w:t>
              <w:tab/>
              <w:t>Basisschutz-Maßnahmen</w:t>
              <w:tab/>
              <w:t>41</w:t>
            </w:r>
          </w:hyperlink>
        </w:p>
        <w:p>
          <w:pPr>
            <w:pStyle w:val="TOC3"/>
            <w:tabs>
              <w:tab w:val="clear" w:pos="9062"/>
              <w:tab w:val="left" w:pos="709" w:leader="none"/>
              <w:tab w:val="right" w:pos="9071" w:leader="dot"/>
            </w:tabs>
            <w:rPr/>
          </w:pPr>
          <w:hyperlink w:anchor="__RefHeading___Toc32110_2021121348">
            <w:r>
              <w:rPr>
                <w:rStyle w:val="IndexLink"/>
              </w:rPr>
              <w:t>16.5.2</w:t>
              <w:tab/>
              <w:t>IT-Systeme für die Datensicherung und -wiederherstellung</w:t>
              <w:tab/>
              <w:t>42</w:t>
            </w:r>
          </w:hyperlink>
        </w:p>
        <w:p>
          <w:pPr>
            <w:pStyle w:val="TOC3"/>
            <w:tabs>
              <w:tab w:val="clear" w:pos="9062"/>
              <w:tab w:val="left" w:pos="709" w:leader="none"/>
              <w:tab w:val="right" w:pos="9071" w:leader="dot"/>
            </w:tabs>
            <w:rPr/>
          </w:pPr>
          <w:hyperlink w:anchor="__RefHeading___speicherorte_110">
            <w:r>
              <w:rPr>
                <w:rStyle w:val="IndexLink"/>
              </w:rPr>
              <w:t>16.5.3</w:t>
              <w:tab/>
              <w:t>Speicherorte</w:t>
              <w:tab/>
              <w:t>42</w:t>
            </w:r>
          </w:hyperlink>
        </w:p>
        <w:p>
          <w:pPr>
            <w:pStyle w:val="TOC3"/>
            <w:tabs>
              <w:tab w:val="clear" w:pos="9062"/>
              <w:tab w:val="left" w:pos="709" w:leader="none"/>
              <w:tab w:val="right" w:pos="9071" w:leader="dot"/>
            </w:tabs>
            <w:rPr/>
          </w:pPr>
          <w:hyperlink w:anchor="__RefHeading___server_111">
            <w:r>
              <w:rPr>
                <w:rStyle w:val="IndexLink"/>
              </w:rPr>
              <w:t>16.5.4</w:t>
              <w:tab/>
              <w:t>Server</w:t>
              <w:tab/>
              <w:t>42</w:t>
            </w:r>
          </w:hyperlink>
        </w:p>
        <w:p>
          <w:pPr>
            <w:pStyle w:val="TOC3"/>
            <w:tabs>
              <w:tab w:val="clear" w:pos="9062"/>
              <w:tab w:val="left" w:pos="709" w:leader="none"/>
              <w:tab w:val="right" w:pos="9071" w:leader="dot"/>
            </w:tabs>
            <w:rPr/>
          </w:pPr>
          <w:hyperlink w:anchor="__RefHeading___aktive_netzwerkkomponente">
            <w:r>
              <w:rPr>
                <w:rStyle w:val="IndexLink"/>
              </w:rPr>
              <w:t>16.5.5</w:t>
              <w:tab/>
              <w:t>Aktive Netzwerkkomponenten</w:t>
              <w:tab/>
              <w:t>42</w:t>
            </w:r>
          </w:hyperlink>
        </w:p>
        <w:p>
          <w:pPr>
            <w:pStyle w:val="TOC3"/>
            <w:tabs>
              <w:tab w:val="clear" w:pos="9062"/>
              <w:tab w:val="left" w:pos="709" w:leader="none"/>
              <w:tab w:val="right" w:pos="9071" w:leader="dot"/>
            </w:tabs>
            <w:rPr/>
          </w:pPr>
          <w:hyperlink w:anchor="__RefHeading___mobile_it-systeme_113">
            <w:r>
              <w:rPr>
                <w:rStyle w:val="IndexLink"/>
              </w:rPr>
              <w:t>16.5.6</w:t>
              <w:tab/>
              <w:t>Mobile IT-Systeme</w:t>
              <w:tab/>
              <w:t>42</w:t>
            </w:r>
          </w:hyperlink>
        </w:p>
        <w:p>
          <w:pPr>
            <w:pStyle w:val="TOC2"/>
            <w:tabs>
              <w:tab w:val="clear" w:pos="9062"/>
              <w:tab w:val="left" w:pos="567" w:leader="none"/>
              <w:tab w:val="right" w:pos="9071" w:leader="dot"/>
            </w:tabs>
            <w:rPr/>
          </w:pPr>
          <w:hyperlink w:anchor="__RefHeading___Toc32112_2021121348">
            <w:r>
              <w:rPr>
                <w:rStyle w:val="IndexLink"/>
              </w:rPr>
              <w:t>16.6</w:t>
              <w:tab/>
              <w:t>Zusätzliche Maßnahmen für wichtige IT-Systeme</w:t>
              <w:tab/>
              <w:t>42</w:t>
            </w:r>
          </w:hyperlink>
        </w:p>
        <w:p>
          <w:pPr>
            <w:pStyle w:val="TOC3"/>
            <w:tabs>
              <w:tab w:val="clear" w:pos="9062"/>
              <w:tab w:val="left" w:pos="709" w:leader="none"/>
              <w:tab w:val="right" w:pos="9071" w:leader="dot"/>
            </w:tabs>
            <w:rPr/>
          </w:pPr>
          <w:hyperlink w:anchor="__RefHeading___Toc32114_2021121348">
            <w:r>
              <w:rPr>
                <w:rStyle w:val="IndexLink"/>
              </w:rPr>
              <w:t>16.6.1</w:t>
              <w:tab/>
              <w:t>Datensicherung</w:t>
              <w:tab/>
              <w:t>42</w:t>
            </w:r>
          </w:hyperlink>
        </w:p>
        <w:p>
          <w:pPr>
            <w:pStyle w:val="TOC3"/>
            <w:tabs>
              <w:tab w:val="clear" w:pos="9062"/>
              <w:tab w:val="left" w:pos="709" w:leader="none"/>
              <w:tab w:val="right" w:pos="9071" w:leader="dot"/>
            </w:tabs>
            <w:rPr/>
          </w:pPr>
          <w:hyperlink w:anchor="__RefHeading___risikoanalyse_116">
            <w:r>
              <w:rPr>
                <w:rStyle w:val="IndexLink"/>
              </w:rPr>
              <w:t>16.6.2</w:t>
              <w:tab/>
              <w:t>Risikoanalyse</w:t>
              <w:tab/>
              <w:t>42</w:t>
            </w:r>
          </w:hyperlink>
        </w:p>
        <w:p>
          <w:pPr>
            <w:pStyle w:val="TOC3"/>
            <w:tabs>
              <w:tab w:val="clear" w:pos="9062"/>
              <w:tab w:val="left" w:pos="709" w:leader="none"/>
              <w:tab w:val="right" w:pos="9071" w:leader="dot"/>
            </w:tabs>
            <w:rPr/>
          </w:pPr>
          <w:hyperlink w:anchor="__RefHeading___verfahren_117">
            <w:r>
              <w:rPr>
                <w:rStyle w:val="IndexLink"/>
              </w:rPr>
              <w:t>16.6.3</w:t>
              <w:tab/>
              <w:t>Verfahren</w:t>
              <w:tab/>
              <w:t>42</w:t>
            </w:r>
          </w:hyperlink>
        </w:p>
        <w:p>
          <w:pPr>
            <w:pStyle w:val="TOC1"/>
            <w:tabs>
              <w:tab w:val="clear" w:pos="9062"/>
              <w:tab w:val="left" w:pos="426" w:leader="none"/>
              <w:tab w:val="right" w:pos="9071" w:leader="dot"/>
            </w:tabs>
            <w:rPr/>
          </w:pPr>
          <w:hyperlink w:anchor="__RefHeading___Toc32116_2021121348">
            <w:r>
              <w:rPr>
                <w:rStyle w:val="IndexLink"/>
              </w:rPr>
              <w:t>17</w:t>
              <w:tab/>
              <w:t>Sicherheitsvorfälle</w:t>
              <w:tab/>
              <w:t>43</w:t>
            </w:r>
          </w:hyperlink>
        </w:p>
        <w:p>
          <w:pPr>
            <w:pStyle w:val="TOC2"/>
            <w:tabs>
              <w:tab w:val="clear" w:pos="9062"/>
              <w:tab w:val="left" w:pos="567" w:leader="none"/>
              <w:tab w:val="right" w:pos="9071" w:leader="dot"/>
            </w:tabs>
            <w:rPr/>
          </w:pPr>
          <w:hyperlink w:anchor="__RefHeading___Toc32118_2021121348">
            <w:r>
              <w:rPr>
                <w:rStyle w:val="IndexLink"/>
              </w:rPr>
              <w:t>17.1</w:t>
              <w:tab/>
              <w:t>Vorbereitung auf Sicherheitsvorfälle</w:t>
              <w:tab/>
              <w:t>43</w:t>
            </w:r>
          </w:hyperlink>
        </w:p>
        <w:p>
          <w:pPr>
            <w:pStyle w:val="TOC2"/>
            <w:tabs>
              <w:tab w:val="clear" w:pos="9062"/>
              <w:tab w:val="left" w:pos="567" w:leader="none"/>
              <w:tab w:val="right" w:pos="9071" w:leader="dot"/>
            </w:tabs>
            <w:rPr/>
          </w:pPr>
          <w:hyperlink w:anchor="__RefHeading___Toc32120_2021121348">
            <w:r>
              <w:rPr>
                <w:rStyle w:val="IndexLink"/>
              </w:rPr>
              <w:t>17.2</w:t>
              <w:tab/>
              <w:t>IS-Richtlinie</w:t>
              <w:tab/>
              <w:t>43</w:t>
            </w:r>
          </w:hyperlink>
        </w:p>
        <w:p>
          <w:pPr>
            <w:pStyle w:val="TOC2"/>
            <w:tabs>
              <w:tab w:val="clear" w:pos="9062"/>
              <w:tab w:val="left" w:pos="567" w:leader="none"/>
              <w:tab w:val="right" w:pos="9071" w:leader="dot"/>
            </w:tabs>
            <w:rPr/>
          </w:pPr>
          <w:hyperlink w:anchor="__RefHeading___Toc32122_2021121348">
            <w:r>
              <w:rPr>
                <w:rStyle w:val="IndexLink"/>
              </w:rPr>
              <w:t>17.3</w:t>
              <w:tab/>
              <w:t>Erkennen</w:t>
              <w:tab/>
              <w:t>43</w:t>
            </w:r>
          </w:hyperlink>
        </w:p>
        <w:p>
          <w:pPr>
            <w:pStyle w:val="TOC2"/>
            <w:tabs>
              <w:tab w:val="clear" w:pos="9062"/>
              <w:tab w:val="left" w:pos="567" w:leader="none"/>
              <w:tab w:val="right" w:pos="9071" w:leader="dot"/>
            </w:tabs>
            <w:rPr/>
          </w:pPr>
          <w:hyperlink w:anchor="__RefHeading___Toc32124_2021121348">
            <w:r>
              <w:rPr>
                <w:rStyle w:val="IndexLink"/>
              </w:rPr>
              <w:t>17.4</w:t>
              <w:tab/>
              <w:t>Reaktion</w:t>
              <w:tab/>
              <w:t>44</w:t>
            </w:r>
          </w:hyperlink>
        </w:p>
        <w:p>
          <w:pPr>
            <w:pStyle w:val="TOC2"/>
            <w:tabs>
              <w:tab w:val="clear" w:pos="9062"/>
              <w:tab w:val="left" w:pos="567" w:leader="none"/>
              <w:tab w:val="right" w:pos="9071" w:leader="dot"/>
            </w:tabs>
            <w:rPr/>
          </w:pPr>
          <w:hyperlink w:anchor="__RefHeading___Toc42893_2021121348_Copy_">
            <w:r>
              <w:rPr>
                <w:rStyle w:val="IndexLink"/>
              </w:rPr>
              <w:t>17.5</w:t>
              <w:tab/>
              <w:t>Vorbereiten auf spezifische Sicherheitsvorfälle</w:t>
              <w:tab/>
              <w:t>44</w:t>
            </w:r>
          </w:hyperlink>
        </w:p>
        <w:p>
          <w:pPr>
            <w:pStyle w:val="TOC2"/>
            <w:tabs>
              <w:tab w:val="clear" w:pos="9062"/>
              <w:tab w:val="left" w:pos="567" w:leader="none"/>
              <w:tab w:val="right" w:pos="9071" w:leader="dot"/>
            </w:tabs>
            <w:rPr/>
          </w:pPr>
          <w:hyperlink w:anchor="__RefHeading___Toc32126_2021121348">
            <w:r>
              <w:rPr>
                <w:rStyle w:val="IndexLink"/>
              </w:rPr>
              <w:t>17.6</w:t>
              <w:tab/>
              <w:t>Zusätzliche Maßnahmen für wichtige IT-Systeme</w:t>
              <w:tab/>
              <w:t>45</w:t>
            </w:r>
          </w:hyperlink>
        </w:p>
        <w:p>
          <w:pPr>
            <w:pStyle w:val="TOC3"/>
            <w:tabs>
              <w:tab w:val="clear" w:pos="9062"/>
              <w:tab w:val="left" w:pos="709" w:leader="none"/>
              <w:tab w:val="right" w:pos="9071" w:leader="dot"/>
            </w:tabs>
            <w:rPr/>
          </w:pPr>
          <w:hyperlink w:anchor="__RefHeading___Toc32128_2021121348">
            <w:r>
              <w:rPr>
                <w:rStyle w:val="IndexLink"/>
              </w:rPr>
              <w:t>17.6.1</w:t>
              <w:tab/>
              <w:t>Anforderungen</w:t>
              <w:tab/>
              <w:t>45</w:t>
            </w:r>
          </w:hyperlink>
        </w:p>
        <w:p>
          <w:pPr>
            <w:pStyle w:val="TOC3"/>
            <w:tabs>
              <w:tab w:val="clear" w:pos="9062"/>
              <w:tab w:val="left" w:pos="709" w:leader="none"/>
              <w:tab w:val="right" w:pos="9071" w:leader="dot"/>
            </w:tabs>
            <w:rPr/>
          </w:pPr>
          <w:hyperlink w:anchor="__RefHeading___wiederanlaufplaene_123">
            <w:r>
              <w:rPr>
                <w:rStyle w:val="IndexLink"/>
              </w:rPr>
              <w:t>17.6.2</w:t>
              <w:tab/>
              <w:t>Wiederanlaufpläne</w:t>
              <w:tab/>
              <w:t>45</w:t>
            </w:r>
          </w:hyperlink>
        </w:p>
        <w:p>
          <w:pPr>
            <w:pStyle w:val="TOC3"/>
            <w:tabs>
              <w:tab w:val="clear" w:pos="9062"/>
              <w:tab w:val="left" w:pos="709" w:leader="none"/>
              <w:tab w:val="right" w:pos="9071" w:leader="dot"/>
            </w:tabs>
            <w:rPr/>
          </w:pPr>
          <w:hyperlink w:anchor="__RefHeading___abhaengigkeiten_124">
            <w:r>
              <w:rPr>
                <w:rStyle w:val="IndexLink"/>
              </w:rPr>
              <w:t>17.6.3</w:t>
              <w:tab/>
              <w:t>Abhängigkeiten</w:t>
              <w:tab/>
              <w:t>45</w:t>
            </w:r>
          </w:hyperlink>
        </w:p>
        <w:p>
          <w:pPr>
            <w:pStyle w:val="TOC2"/>
            <w:tabs>
              <w:tab w:val="clear" w:pos="9062"/>
              <w:tab w:val="left" w:pos="567" w:leader="none"/>
              <w:tab w:val="right" w:pos="9071" w:leader="dot"/>
            </w:tabs>
            <w:rPr/>
          </w:pPr>
          <w:hyperlink w:anchor="__RefHeading___Toc32116_2021121348_Copy_">
            <w:r>
              <w:rPr>
                <w:rStyle w:val="IndexLink"/>
              </w:rPr>
              <w:t>17.7</w:t>
              <w:tab/>
              <w:t>Krisenmanagement</w:t>
              <w:tab/>
              <w:t>45</w:t>
            </w:r>
          </w:hyperlink>
        </w:p>
        <w:p>
          <w:pPr>
            <w:pStyle w:val="TOC3"/>
            <w:tabs>
              <w:tab w:val="clear" w:pos="9062"/>
              <w:tab w:val="left" w:pos="709" w:leader="none"/>
              <w:tab w:val="right" w:pos="9071" w:leader="dot"/>
            </w:tabs>
            <w:rPr/>
          </w:pPr>
          <w:hyperlink w:anchor="__RefHeading___Toc7665_3136084842">
            <w:r>
              <w:rPr>
                <w:rStyle w:val="IndexLink"/>
              </w:rPr>
              <w:t>17.7.1</w:t>
              <w:tab/>
              <w:t>Analyse</w:t>
              <w:tab/>
              <w:t>46</w:t>
            </w:r>
          </w:hyperlink>
        </w:p>
        <w:p>
          <w:pPr>
            <w:pStyle w:val="TOC3"/>
            <w:tabs>
              <w:tab w:val="clear" w:pos="9062"/>
              <w:tab w:val="left" w:pos="709" w:leader="none"/>
              <w:tab w:val="right" w:pos="9071" w:leader="dot"/>
            </w:tabs>
            <w:rPr/>
          </w:pPr>
          <w:hyperlink w:anchor="__RefHeading___Toc7667_3136084842">
            <w:r>
              <w:rPr>
                <w:rStyle w:val="IndexLink"/>
              </w:rPr>
              <w:t>17.7.2</w:t>
              <w:tab/>
              <w:t>Krisenstab</w:t>
              <w:tab/>
              <w:t>46</w:t>
            </w:r>
          </w:hyperlink>
        </w:p>
        <w:p>
          <w:pPr>
            <w:pStyle w:val="TOC3"/>
            <w:tabs>
              <w:tab w:val="clear" w:pos="9062"/>
              <w:tab w:val="left" w:pos="709" w:leader="none"/>
              <w:tab w:val="right" w:pos="9071" w:leader="dot"/>
            </w:tabs>
            <w:rPr/>
          </w:pPr>
          <w:hyperlink w:anchor="__RefHeading___Toc29771_3572532615">
            <w:r>
              <w:rPr>
                <w:rStyle w:val="IndexLink"/>
              </w:rPr>
              <w:t>17.7.3</w:t>
              <w:tab/>
              <w:t>Krisenkommunikation</w:t>
              <w:tab/>
              <w:t>46</w:t>
            </w:r>
          </w:hyperlink>
        </w:p>
        <w:p>
          <w:pPr>
            <w:pStyle w:val="TOC1"/>
            <w:tabs>
              <w:tab w:val="clear" w:pos="9062"/>
              <w:tab w:val="left" w:pos="426" w:leader="none"/>
              <w:tab w:val="right" w:pos="9071" w:leader="dot"/>
            </w:tabs>
            <w:rPr/>
          </w:pPr>
          <w:hyperlink w:anchor="__RefHeading___Toc23186_2990485309">
            <w:r>
              <w:rPr>
                <w:rStyle w:val="IndexLink"/>
              </w:rPr>
              <w:t>18</w:t>
              <w:tab/>
              <w:t>Überwachung und Steuerung</w:t>
              <w:tab/>
              <w:t>47</w:t>
            </w:r>
          </w:hyperlink>
        </w:p>
        <w:p>
          <w:pPr>
            <w:pStyle w:val="TOC1"/>
            <w:tabs>
              <w:tab w:val="clear" w:pos="9062"/>
              <w:tab w:val="left" w:pos="426" w:leader="none"/>
              <w:tab w:val="right" w:pos="9071" w:leader="dot"/>
            </w:tabs>
            <w:rPr/>
          </w:pPr>
          <w:hyperlink w:anchor="__RefHeading___Toc23186_2990485309_Copy_">
            <w:r>
              <w:rPr>
                <w:rStyle w:val="IndexLink"/>
              </w:rPr>
              <w:t>19</w:t>
              <w:tab/>
              <w:t>Kryptografie</w:t>
              <w:tab/>
              <w:t>47</w:t>
            </w:r>
          </w:hyperlink>
        </w:p>
        <w:p>
          <w:pPr>
            <w:pStyle w:val="TOC2"/>
            <w:tabs>
              <w:tab w:val="clear" w:pos="9062"/>
              <w:tab w:val="left" w:pos="567" w:leader="none"/>
              <w:tab w:val="right" w:pos="9071" w:leader="dot"/>
            </w:tabs>
            <w:rPr/>
          </w:pPr>
          <w:hyperlink w:anchor="__RefHeading___Toc26260_3248772027">
            <w:r>
              <w:rPr>
                <w:rStyle w:val="IndexLink"/>
              </w:rPr>
              <w:t>19.1</w:t>
              <w:tab/>
              <w:t>Richtlinie</w:t>
              <w:tab/>
              <w:t>49</w:t>
            </w:r>
          </w:hyperlink>
        </w:p>
        <w:p>
          <w:pPr>
            <w:pStyle w:val="TOC2"/>
            <w:tabs>
              <w:tab w:val="clear" w:pos="9062"/>
              <w:tab w:val="left" w:pos="567" w:leader="none"/>
              <w:tab w:val="right" w:pos="9071" w:leader="dot"/>
            </w:tabs>
            <w:rPr/>
          </w:pPr>
          <w:hyperlink w:anchor="__RefHeading___Toc23120_3248772027">
            <w:r>
              <w:rPr>
                <w:rStyle w:val="IndexLink"/>
              </w:rPr>
              <w:t>19.2</w:t>
              <w:tab/>
              <w:t>Inventarisierung</w:t>
              <w:tab/>
              <w:t>49</w:t>
            </w:r>
          </w:hyperlink>
        </w:p>
        <w:p>
          <w:pPr>
            <w:pStyle w:val="TOC2"/>
            <w:tabs>
              <w:tab w:val="clear" w:pos="9062"/>
              <w:tab w:val="left" w:pos="567" w:leader="none"/>
              <w:tab w:val="right" w:pos="9071" w:leader="dot"/>
            </w:tabs>
            <w:rPr/>
          </w:pPr>
          <w:hyperlink w:anchor="__RefHeading___Toc23122_3248772027">
            <w:r>
              <w:rPr>
                <w:rStyle w:val="IndexLink"/>
              </w:rPr>
              <w:t>19.3</w:t>
              <w:tab/>
              <w:t>Anforderungen</w:t>
              <w:tab/>
              <w:t>49</w:t>
            </w:r>
          </w:hyperlink>
        </w:p>
        <w:p>
          <w:pPr>
            <w:pStyle w:val="TOC2"/>
            <w:tabs>
              <w:tab w:val="clear" w:pos="9062"/>
              <w:tab w:val="left" w:pos="567" w:leader="none"/>
              <w:tab w:val="right" w:pos="9071" w:leader="dot"/>
            </w:tabs>
            <w:rPr/>
          </w:pPr>
          <w:hyperlink w:anchor="__RefHeading___Toc12408_336411494">
            <w:r>
              <w:rPr>
                <w:rStyle w:val="IndexLink"/>
              </w:rPr>
              <w:t>19.4</w:t>
              <w:tab/>
              <w:t>Verfahren</w:t>
              <w:tab/>
              <w:t>49</w:t>
            </w:r>
          </w:hyperlink>
        </w:p>
        <w:p>
          <w:pPr>
            <w:pStyle w:val="TOC1"/>
            <w:tabs>
              <w:tab w:val="clear" w:pos="9062"/>
              <w:tab w:val="left" w:pos="426" w:leader="none"/>
              <w:tab w:val="right" w:pos="9071" w:leader="dot"/>
            </w:tabs>
            <w:rPr/>
          </w:pPr>
          <w:hyperlink w:anchor="__RefHeading___Toc18925_512392082">
            <w:r>
              <w:rPr>
                <w:rStyle w:val="IndexLink"/>
              </w:rPr>
              <w:t>20</w:t>
              <w:tab/>
              <w:t>Entwicklung</w:t>
              <w:tab/>
              <w:t>50</w:t>
            </w:r>
          </w:hyperlink>
        </w:p>
        <w:p>
          <w:pPr>
            <w:pStyle w:val="TOC2"/>
            <w:tabs>
              <w:tab w:val="clear" w:pos="9062"/>
              <w:tab w:val="left" w:pos="567" w:leader="none"/>
              <w:tab w:val="right" w:pos="9071" w:leader="dot"/>
            </w:tabs>
            <w:rPr/>
          </w:pPr>
          <w:hyperlink w:anchor="__RefHeading___Toc29773_3572532615_Copy_">
            <w:r>
              <w:rPr>
                <w:rStyle w:val="IndexLink"/>
              </w:rPr>
              <w:t>20.1</w:t>
              <w:tab/>
              <w:t>Anforderungen</w:t>
              <w:tab/>
              <w:t>50</w:t>
            </w:r>
          </w:hyperlink>
        </w:p>
        <w:p>
          <w:pPr>
            <w:pStyle w:val="TOC6"/>
            <w:tabs>
              <w:tab w:val="clear" w:pos="9062"/>
              <w:tab w:val="left" w:pos="1134" w:leader="none"/>
              <w:tab w:val="right" w:pos="9071" w:leader="dot"/>
            </w:tabs>
            <w:rPr/>
          </w:pPr>
          <w:hyperlink w:anchor="__RefHeading___Toc33735_4113391834">
            <w:r>
              <w:rPr>
                <w:rStyle w:val="IndexLink"/>
              </w:rPr>
              <w:t>Anhang A</w:t>
              <w:tab/>
              <w:t>Verfahren und Risikomanagement</w:t>
              <w:tab/>
              <w:t>51</w:t>
            </w:r>
          </w:hyperlink>
        </w:p>
        <w:p>
          <w:pPr>
            <w:pStyle w:val="TOC7"/>
            <w:tabs>
              <w:tab w:val="clear" w:pos="9062"/>
              <w:tab w:val="left" w:pos="567" w:leader="none"/>
              <w:tab w:val="right" w:pos="9071" w:leader="dot"/>
            </w:tabs>
            <w:rPr/>
          </w:pPr>
          <w:hyperlink w:anchor="__RefHeading___Toc32130_2021121348">
            <w:r>
              <w:rPr>
                <w:rStyle w:val="IndexLink"/>
              </w:rPr>
              <w:t>A.1</w:t>
              <w:tab/>
              <w:t>Verfahren</w:t>
              <w:tab/>
              <w:t>51</w:t>
            </w:r>
          </w:hyperlink>
        </w:p>
        <w:p>
          <w:pPr>
            <w:pStyle w:val="TOC7"/>
            <w:tabs>
              <w:tab w:val="clear" w:pos="9062"/>
              <w:tab w:val="left" w:pos="567" w:leader="none"/>
              <w:tab w:val="right" w:pos="9071" w:leader="dot"/>
            </w:tabs>
            <w:rPr/>
          </w:pPr>
          <w:hyperlink w:anchor="__RefHeading___Toc32132_2021121348">
            <w:r>
              <w:rPr>
                <w:rStyle w:val="IndexLink"/>
              </w:rPr>
              <w:t>A.2</w:t>
              <w:tab/>
              <w:t>Risikomanagement</w:t>
              <w:tab/>
              <w:t>51</w:t>
            </w:r>
          </w:hyperlink>
        </w:p>
        <w:p>
          <w:pPr>
            <w:pStyle w:val="TOC8"/>
            <w:tabs>
              <w:tab w:val="clear" w:pos="9062"/>
              <w:tab w:val="left" w:pos="709" w:leader="none"/>
              <w:tab w:val="right" w:pos="9071" w:leader="dot"/>
            </w:tabs>
            <w:rPr/>
          </w:pPr>
          <w:hyperlink w:anchor="__RefHeading___Toc32134_2021121348">
            <w:r>
              <w:rPr>
                <w:rStyle w:val="IndexLink"/>
              </w:rPr>
              <w:t>A.2.1</w:t>
              <w:tab/>
              <w:t>Definitionen und Analysen</w:t>
              <w:tab/>
              <w:t>51</w:t>
            </w:r>
          </w:hyperlink>
        </w:p>
        <w:p>
          <w:pPr>
            <w:pStyle w:val="TOC8"/>
            <w:tabs>
              <w:tab w:val="clear" w:pos="9062"/>
              <w:tab w:val="left" w:pos="709" w:leader="none"/>
              <w:tab w:val="right" w:pos="9071" w:leader="dot"/>
            </w:tabs>
            <w:rPr/>
          </w:pPr>
          <w:hyperlink w:anchor="__RefHeading___Toc32136_2021121348">
            <w:r>
              <w:rPr>
                <w:rStyle w:val="IndexLink"/>
              </w:rPr>
              <w:t>A.2.2</w:t>
              <w:tab/>
              <w:t>Methodik</w:t>
              <w:tab/>
              <w:t>51</w:t>
            </w:r>
          </w:hyperlink>
        </w:p>
        <w:p>
          <w:pPr>
            <w:pStyle w:val="TOC8"/>
            <w:tabs>
              <w:tab w:val="clear" w:pos="9062"/>
              <w:tab w:val="left" w:pos="709" w:leader="none"/>
              <w:tab w:val="right" w:pos="9071" w:leader="dot"/>
            </w:tabs>
            <w:rPr/>
          </w:pPr>
          <w:hyperlink w:anchor="__RefHeading___Toc32138_2021121348">
            <w:r>
              <w:rPr>
                <w:rStyle w:val="IndexLink"/>
              </w:rPr>
              <w:t>A.2.3</w:t>
              <w:tab/>
              <w:t>Risikoidentifikation</w:t>
              <w:tab/>
              <w:t>51</w:t>
            </w:r>
          </w:hyperlink>
        </w:p>
        <w:p>
          <w:pPr>
            <w:pStyle w:val="TOC8"/>
            <w:tabs>
              <w:tab w:val="clear" w:pos="9062"/>
              <w:tab w:val="left" w:pos="709" w:leader="none"/>
              <w:tab w:val="right" w:pos="9071" w:leader="dot"/>
            </w:tabs>
            <w:rPr/>
          </w:pPr>
          <w:hyperlink w:anchor="__RefHeading___a_2.2_risikobehandlung_13">
            <w:r>
              <w:rPr>
                <w:rStyle w:val="IndexLink"/>
              </w:rPr>
              <w:t>A.2.4</w:t>
              <w:tab/>
              <w:t>Risikoanalyse</w:t>
              <w:tab/>
              <w:t>52</w:t>
            </w:r>
          </w:hyperlink>
        </w:p>
        <w:p>
          <w:pPr>
            <w:pStyle w:val="TOC8"/>
            <w:tabs>
              <w:tab w:val="clear" w:pos="9062"/>
              <w:tab w:val="left" w:pos="709" w:leader="none"/>
              <w:tab w:val="right" w:pos="9071" w:leader="dot"/>
            </w:tabs>
            <w:rPr/>
          </w:pPr>
          <w:hyperlink w:anchor="__RefHeading___a_2.2_risikobehandlung_11">
            <w:r>
              <w:rPr>
                <w:rStyle w:val="IndexLink"/>
              </w:rPr>
              <w:t>A.2.5</w:t>
              <w:tab/>
              <w:t>Risikobehandlung</w:t>
              <w:tab/>
              <w:t>52</w:t>
            </w:r>
          </w:hyperlink>
        </w:p>
        <w:p>
          <w:pPr>
            <w:pStyle w:val="TOC8"/>
            <w:tabs>
              <w:tab w:val="clear" w:pos="9062"/>
              <w:tab w:val="left" w:pos="709" w:leader="none"/>
              <w:tab w:val="right" w:pos="9071" w:leader="dot"/>
            </w:tabs>
            <w:rPr/>
          </w:pPr>
          <w:hyperlink w:anchor="__RefHeading___Toc32140_2021121348">
            <w:r>
              <w:rPr>
                <w:rStyle w:val="IndexLink"/>
              </w:rPr>
              <w:t>A.2.6</w:t>
              <w:tab/>
              <w:t>Wiederholung und Anpassung</w:t>
              <w:tab/>
              <w:t>52</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4" w:name="__RefHeading___Toc31906_2021121348"/>
      <w:bookmarkStart w:id="5" w:name="_Toc409684807"/>
      <w:bookmarkStart w:id="6" w:name="_Toc531165009"/>
      <w:bookmarkStart w:id="7" w:name="_Ref184204200"/>
      <w:bookmarkStart w:id="8" w:name="_Toc12164565"/>
      <w:bookmarkStart w:id="9" w:name="_Toc414345060"/>
      <w:bookmarkStart w:id="10" w:name="_Toc178588044"/>
      <w:bookmarkStart w:id="11" w:name="_Toc413814208"/>
      <w:bookmarkStart w:id="12" w:name="_Toc413809510"/>
      <w:bookmarkStart w:id="13" w:name="_Toc413143655"/>
      <w:bookmarkStart w:id="14" w:name="_Toc413808700"/>
      <w:bookmarkStart w:id="15" w:name="_Toc414354570"/>
      <w:bookmarkStart w:id="16" w:name="_Toc187327020"/>
      <w:bookmarkStart w:id="17" w:name="_Toc413073863"/>
      <w:bookmarkStart w:id="18" w:name="_Toc178761299"/>
      <w:bookmarkEnd w:id="4"/>
      <w:bookmarkEnd w:id="5"/>
      <w:bookmarkEnd w:id="8"/>
      <w:bookmarkEnd w:id="9"/>
      <w:bookmarkEnd w:id="11"/>
      <w:bookmarkEnd w:id="12"/>
      <w:bookmarkEnd w:id="13"/>
      <w:bookmarkEnd w:id="14"/>
      <w:bookmarkEnd w:id="15"/>
      <w:bookmarkEnd w:id="17"/>
      <w:r>
        <w:rPr>
          <w:lang w:val="de-DE"/>
        </w:rPr>
        <w:t>Allgemeines</w:t>
      </w:r>
      <w:bookmarkEnd w:id="6"/>
      <w:bookmarkEnd w:id="7"/>
      <w:bookmarkEnd w:id="10"/>
      <w:bookmarkEnd w:id="16"/>
      <w:bookmarkEnd w:id="18"/>
    </w:p>
    <w:p>
      <w:pPr>
        <w:pStyle w:val="Heading2"/>
        <w:ind w:hanging="0" w:left="0"/>
        <w:rPr>
          <w:lang w:val="de-DE"/>
        </w:rPr>
      </w:pPr>
      <w:bookmarkStart w:id="19" w:name="__RefHeading___Toc31908_2021121348"/>
      <w:bookmarkStart w:id="20" w:name="_Toc187327021"/>
      <w:bookmarkStart w:id="21" w:name="_Toc413143656"/>
      <w:bookmarkStart w:id="22" w:name="_Toc178761300"/>
      <w:bookmarkStart w:id="23" w:name="_Ref184204232"/>
      <w:bookmarkEnd w:id="19"/>
      <w:bookmarkEnd w:id="21"/>
      <w:r>
        <w:rPr>
          <w:lang w:val="de-DE"/>
        </w:rPr>
        <w:t>Einleitung</w:t>
      </w:r>
      <w:bookmarkEnd w:id="20"/>
      <w:bookmarkEnd w:id="22"/>
      <w:bookmarkEnd w:id="23"/>
    </w:p>
    <w:p>
      <w:pPr>
        <w:pStyle w:val="Normal"/>
        <w:rPr>
          <w:lang w:val="de-DE"/>
        </w:rPr>
      </w:pPr>
      <w:r>
        <w:rPr>
          <w:lang w:val="de-DE"/>
        </w:rPr>
        <w:t>Am XX.YY.2025 hat die Bundesregierung das NIS-2-Umsetzungs- und Cybersicherheitsstärkungsgesetz (kurz: NIS2UmsuCG) verabschiedet. Das Gesetz bringt eine erweiterte Reichweite von Betroffenen und deutlich anspruchsvollere Verpflichtungen im Gegensatz zu den früheren Anforderungen mit sich. Infolgedessen sehen sich viele Unternehmen neuen und anspruchsvolleren Herausforderungen gegenüber.</w:t>
      </w:r>
    </w:p>
    <w:p>
      <w:pPr>
        <w:pStyle w:val="Normal"/>
        <w:rPr>
          <w:lang w:val="de-DE"/>
        </w:rPr>
      </w:pPr>
      <w:r>
        <w:rPr>
          <w:lang w:val="de-DE"/>
        </w:rPr>
        <w:t xml:space="preserve">Die vorliegenden Richtlinien legen Mindestanforderungen fest und beschreiben Maßnahmen für die Umsetzung einer strukturierten Informationssicherheit gemäß der </w:t>
      </w:r>
      <w:commentRangeStart w:id="0"/>
      <w:r>
        <w:rPr>
          <w:lang w:val="de-DE"/>
        </w:rPr>
        <w:t>EU-Richtlinie NIS-2</w:t>
      </w:r>
      <w:r>
        <w:rPr/>
      </w:r>
      <w:commentRangeEnd w:id="0"/>
      <w:r>
        <w:commentReference w:id="0"/>
      </w:r>
      <w:r>
        <w:rPr>
          <w:lang w:val="de-DE"/>
        </w:rPr>
        <w:t>.</w:t>
      </w:r>
    </w:p>
    <w:p>
      <w:pPr>
        <w:pStyle w:val="Heading2"/>
        <w:ind w:hanging="0" w:left="0"/>
        <w:rPr>
          <w:lang w:val="de-DE"/>
        </w:rPr>
      </w:pPr>
      <w:bookmarkStart w:id="24" w:name="__RefHeading___Toc31910_2021121348"/>
      <w:bookmarkStart w:id="25" w:name="_Toc178761301"/>
      <w:bookmarkStart w:id="26" w:name="del_3del_2_anwendungshinweise"/>
      <w:bookmarkStart w:id="27" w:name="_Toc178588045"/>
      <w:bookmarkStart w:id="28" w:name="rl%2525252525252525252525252525252525252"/>
      <w:bookmarkStart w:id="29" w:name="_Toc187327022"/>
      <w:bookmarkStart w:id="30" w:name="_Ref184204245"/>
      <w:bookmarkStart w:id="31" w:name="rl%2525252525252525252525252525252525251"/>
      <w:bookmarkStart w:id="32" w:name="_Toc531165010"/>
      <w:bookmarkStart w:id="33" w:name="_Toc530662875"/>
      <w:bookmarkEnd w:id="24"/>
      <w:bookmarkEnd w:id="28"/>
      <w:bookmarkEnd w:id="31"/>
      <w:r>
        <w:rPr>
          <w:lang w:val="de-DE"/>
        </w:rPr>
        <w:t>Anwendungshinweise</w:t>
      </w:r>
      <w:bookmarkEnd w:id="25"/>
      <w:bookmarkEnd w:id="26"/>
      <w:bookmarkEnd w:id="27"/>
      <w:bookmarkEnd w:id="29"/>
      <w:bookmarkEnd w:id="30"/>
      <w:bookmarkEnd w:id="32"/>
      <w:bookmarkEnd w:id="33"/>
    </w:p>
    <w:p>
      <w:pPr>
        <w:pStyle w:val="Normal"/>
        <w:rPr>
          <w:shd w:fill="EEEEEE" w:val="clear"/>
        </w:rPr>
      </w:pPr>
      <w:r>
        <w:rPr>
          <w:shd w:fill="EEEEEE" w:val="clear"/>
          <w:lang w:val="de-DE"/>
        </w:rPr>
        <w:t>Die vorliegenden Richtlinien sind Grundlage für eine Zertifizierung durch VdS Schadenverhütung.</w:t>
      </w:r>
    </w:p>
    <w:p>
      <w:pPr>
        <w:pStyle w:val="Normal"/>
        <w:rPr>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4" w:name="__RefHeading___Toc31912_2021121348"/>
      <w:bookmarkStart w:id="35" w:name="_Toc178588046"/>
      <w:bookmarkStart w:id="36" w:name="_Toc187327023"/>
      <w:bookmarkStart w:id="37" w:name="_Toc531165011"/>
      <w:bookmarkStart w:id="38" w:name="_Toc178761302"/>
      <w:bookmarkStart w:id="39" w:name="_Toc530662876"/>
      <w:bookmarkEnd w:id="34"/>
      <w:r>
        <w:rPr>
          <w:lang w:val="de-DE"/>
        </w:rPr>
        <w:t>Anwendungs- und Geltungsbereich</w:t>
      </w:r>
      <w:bookmarkEnd w:id="35"/>
      <w:bookmarkEnd w:id="36"/>
      <w:bookmarkEnd w:id="37"/>
      <w:bookmarkEnd w:id="38"/>
      <w:bookmarkEnd w:id="39"/>
    </w:p>
    <w:p>
      <w:pPr>
        <w:pStyle w:val="Normal"/>
        <w:rPr>
          <w:lang w:val="de-DE"/>
        </w:rPr>
      </w:pPr>
      <w:commentRangeStart w:id="1"/>
      <w:commentRangeStart w:id="2"/>
      <w:r>
        <w:rPr>
          <w:lang w:val="de-DE"/>
        </w:rPr>
        <w:t>Diese Richtlinien sind für Organisationen anwendbar, die als „wichtige“ oder „besonders wichtige“ Einrichtungen im Sinne des BSIG gelten oder gelten könnten.</w:t>
      </w:r>
    </w:p>
    <w:p>
      <w:pPr>
        <w:pStyle w:val="Normal"/>
        <w:rPr>
          <w:lang w:val="de-DE"/>
        </w:rPr>
      </w:pPr>
      <w:r>
        <w:rPr>
          <w:lang w:val="de-DE"/>
        </w:rPr>
        <w:t>Sie ist nicht für die Umsetzung der Anforderungen an Betreiber Kritischer Infrastrukturen im Sinne des IT-Sicherheitsgesetzes gemäß BSI-Gesetz (BSIG) und BSI-Kritisverordnung geeignet.</w:t>
      </w:r>
      <w:commentRangeEnd w:id="2"/>
      <w:r>
        <w:commentReference w:id="2"/>
      </w:r>
      <w:r>
        <w:rPr/>
      </w:r>
    </w:p>
    <w:p>
      <w:pPr>
        <w:pStyle w:val="Normal"/>
        <w:rPr>
          <w:lang w:val="de-DE"/>
        </w:rPr>
      </w:pPr>
      <w:r>
        <w:rPr>
          <w:lang w:val="de-DE"/>
        </w:rPr>
        <w:t>Diese Richtlinien MÜSSEN auf die gesamte Organisation angewendet werden.</w:t>
      </w:r>
      <w:commentRangeEnd w:id="1"/>
      <w:r>
        <w:commentReference w:id="1"/>
      </w:r>
      <w:r>
        <w:rPr/>
      </w:r>
    </w:p>
    <w:p>
      <w:pPr>
        <w:pStyle w:val="Heading3"/>
        <w:ind w:hanging="0" w:left="0"/>
        <w:rPr>
          <w:lang w:val="de-DE"/>
        </w:rPr>
      </w:pPr>
      <w:bookmarkStart w:id="40" w:name="__RefHeading___Toc31914_2021121348"/>
      <w:bookmarkEnd w:id="40"/>
      <w:commentRangeStart w:id="3"/>
      <w:r>
        <w:rPr>
          <w:lang w:val="de-DE"/>
        </w:rPr>
        <w:t>Analyse und Registrierung</w:t>
      </w:r>
      <w:commentRangeEnd w:id="3"/>
      <w:r>
        <w:commentReference w:id="3"/>
      </w:r>
      <w:r>
        <w:rPr/>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257"/>
        </w:numPr>
        <w:rPr>
          <w:lang w:val="de-DE"/>
        </w:rPr>
      </w:pPr>
      <w:r>
        <w:rPr>
          <w:lang w:val="de-DE"/>
        </w:rPr>
        <w:t>Es wird geprüft, ob die Organisation als „wichtige“ oder „sehr wichtige“ Einrichtung im Sinne von § 28 BSIG gilt.</w:t>
      </w:r>
    </w:p>
    <w:p>
      <w:pPr>
        <w:pStyle w:val="Empfehlung"/>
        <w:ind w:hanging="0" w:left="360"/>
        <w:rPr>
          <w:lang w:val="de-DE"/>
        </w:rPr>
      </w:pPr>
      <w:r>
        <w:rPr>
          <w:lang w:val="de-DE"/>
        </w:rPr>
        <w:t>Hierzu SOLLTE die entsprechende vom BSI zur Verfügung gestellte Vorgehensweise genutzt werden.</w:t>
      </w:r>
    </w:p>
    <w:p>
      <w:pPr>
        <w:pStyle w:val="Normal"/>
        <w:numPr>
          <w:ilvl w:val="0"/>
          <w:numId w:val="258"/>
        </w:numPr>
        <w:rPr>
          <w:lang w:val="de-DE"/>
        </w:rPr>
      </w:pPr>
      <w:r>
        <w:rPr>
          <w:lang w:val="de-DE"/>
        </w:rPr>
        <w:t>Das Ergebnis der Prüfung wird zusammen mit seiner Begründung dokumentiert.</w:t>
      </w:r>
    </w:p>
    <w:p>
      <w:pPr>
        <w:pStyle w:val="Normal"/>
        <w:numPr>
          <w:ilvl w:val="0"/>
          <w:numId w:val="259"/>
        </w:numPr>
        <w:rPr>
          <w:lang w:val="de-DE"/>
        </w:rPr>
      </w:pPr>
      <w:r>
        <w:rPr>
          <w:lang w:val="de-DE"/>
        </w:rPr>
        <w:t>Es wird jährlich auf seine Aktualität geprüft und bei Bedarf die Prüfung wiederholt.</w:t>
      </w:r>
    </w:p>
    <w:p>
      <w:pPr>
        <w:pStyle w:val="Normal"/>
        <w:rPr>
          <w:lang w:val="de-DE"/>
        </w:rPr>
      </w:pPr>
      <w:r>
        <w:rPr>
          <w:lang w:val="de-DE"/>
        </w:rPr>
        <w:t>Das Verfahren MUSS sicherstellen, dass bei positiver Prüfung folgende Anforderungen erfüllt werden:</w:t>
      </w:r>
    </w:p>
    <w:p>
      <w:pPr>
        <w:pStyle w:val="Normal"/>
        <w:numPr>
          <w:ilvl w:val="0"/>
          <w:numId w:val="260"/>
        </w:numPr>
        <w:rPr>
          <w:lang w:val="de-DE"/>
        </w:rPr>
      </w:pPr>
      <w:commentRangeStart w:id="4"/>
      <w:r>
        <w:rPr>
          <w:lang w:val="de-DE"/>
        </w:rPr>
        <w:t>Das Registrierungsverfahren gem. § 33 BSIG wird bei Bedarf durchlaufen.</w:t>
      </w:r>
    </w:p>
    <w:p>
      <w:pPr>
        <w:pStyle w:val="Normal"/>
        <w:numPr>
          <w:ilvl w:val="0"/>
          <w:numId w:val="261"/>
        </w:numPr>
        <w:rPr>
          <w:lang w:val="de-DE"/>
        </w:rPr>
      </w:pPr>
      <w:r>
        <w:rPr>
          <w:lang w:val="de-DE"/>
        </w:rPr>
        <w:t>Dabei werden die in § 33 BSIG gesetzten Fristen eingehalten.</w:t>
      </w:r>
    </w:p>
    <w:p>
      <w:pPr>
        <w:pStyle w:val="Normal"/>
        <w:numPr>
          <w:ilvl w:val="0"/>
          <w:numId w:val="262"/>
        </w:numPr>
        <w:rPr>
          <w:lang w:val="de-DE"/>
        </w:rPr>
      </w:pPr>
      <w:r>
        <w:rPr>
          <w:lang w:val="de-DE"/>
        </w:rPr>
        <w:t>Die auf der Webseite des BSI veröffentlichten Einzelheiten zur Ausgestaltung des Registrierungs</w:t>
        <w:softHyphen/>
        <w:t>verfahrens werden beachtet.</w:t>
      </w:r>
      <w:commentRangeEnd w:id="4"/>
      <w:r>
        <w:commentReference w:id="4"/>
      </w:r>
      <w:r>
        <w:rPr/>
      </w:r>
    </w:p>
    <w:p>
      <w:pPr>
        <w:pStyle w:val="Normal"/>
        <w:numPr>
          <w:ilvl w:val="0"/>
          <w:numId w:val="263"/>
        </w:numPr>
        <w:rPr>
          <w:lang w:val="de-DE"/>
        </w:rPr>
      </w:pPr>
      <w:commentRangeStart w:id="5"/>
      <w:r>
        <w:rPr>
          <w:lang w:val="de-DE"/>
        </w:rPr>
        <w:t>Es wird geprüft, ob die Organisation eine Einrichtung im Sinne von § 60 Absatz 1 Satz 1 BSIG ist.</w:t>
      </w:r>
    </w:p>
    <w:p>
      <w:pPr>
        <w:pStyle w:val="Normal"/>
        <w:numPr>
          <w:ilvl w:val="0"/>
          <w:numId w:val="264"/>
        </w:numPr>
        <w:rPr>
          <w:lang w:val="de-DE"/>
        </w:rPr>
      </w:pPr>
      <w:r>
        <w:rPr>
          <w:lang w:val="de-DE"/>
        </w:rPr>
        <w:t>Bei positiver Prüfung werden die in § 34 BSIG geforderten Informationen über den dafür vorgesehenen Meldeweg an das BSI übermittelt und dabei werden die in § 33 BSIG gesetzten Fristen eingehalten.</w:t>
      </w:r>
      <w:commentRangeEnd w:id="5"/>
      <w:r>
        <w:commentReference w:id="5"/>
      </w:r>
      <w:r>
        <w:rPr/>
      </w:r>
    </w:p>
    <w:p>
      <w:pPr>
        <w:pStyle w:val="Heading2"/>
        <w:ind w:hanging="0" w:left="0"/>
        <w:rPr>
          <w:lang w:val="de-DE"/>
        </w:rPr>
      </w:pPr>
      <w:bookmarkStart w:id="41" w:name="__RefHeading___Toc31916_2021121348"/>
      <w:bookmarkStart w:id="42" w:name="_Toc531165012"/>
      <w:bookmarkStart w:id="43" w:name="rl%2525252525252525252525252525252525253"/>
      <w:bookmarkStart w:id="44" w:name="_Toc187327024"/>
      <w:bookmarkStart w:id="45" w:name="_Toc178588047"/>
      <w:bookmarkStart w:id="46" w:name="_Toc530662877"/>
      <w:bookmarkStart w:id="47" w:name="_Toc178761303"/>
      <w:bookmarkStart w:id="48" w:name="del_4del_3_gueltigkeit"/>
      <w:bookmarkEnd w:id="41"/>
      <w:bookmarkEnd w:id="43"/>
      <w:r>
        <w:rPr>
          <w:lang w:val="de-DE"/>
        </w:rPr>
        <w:t>Gültigkeit</w:t>
      </w:r>
      <w:bookmarkEnd w:id="42"/>
      <w:bookmarkEnd w:id="44"/>
      <w:bookmarkEnd w:id="45"/>
      <w:bookmarkEnd w:id="46"/>
      <w:bookmarkEnd w:id="47"/>
      <w:bookmarkEnd w:id="48"/>
    </w:p>
    <w:p>
      <w:pPr>
        <w:pStyle w:val="Normal"/>
        <w:rPr>
          <w:lang w:val="de-DE"/>
        </w:rPr>
      </w:pPr>
      <w:r>
        <w:rPr>
          <w:lang w:val="de-DE"/>
        </w:rPr>
        <w:t>Diese Richtlinien gelten ab dem &lt;FIXME&gt;.&lt;FIXME&gt;.2025.</w:t>
      </w:r>
    </w:p>
    <w:p>
      <w:pPr>
        <w:pStyle w:val="Heading1"/>
        <w:ind w:hanging="0" w:left="0"/>
        <w:rPr>
          <w:lang w:val="de-DE"/>
        </w:rPr>
      </w:pPr>
      <w:bookmarkStart w:id="49" w:name="__RefHeading___Toc31918_2021121348"/>
      <w:bookmarkStart w:id="50" w:name="_Toc530662878"/>
      <w:bookmarkStart w:id="51" w:name="_Toc187327025"/>
      <w:bookmarkStart w:id="52" w:name="_Toc531165013"/>
      <w:bookmarkStart w:id="53" w:name="_Ref184204270"/>
      <w:bookmarkStart w:id="54" w:name="_Toc178588048"/>
      <w:bookmarkStart w:id="55" w:name="normative_verweise"/>
      <w:bookmarkStart w:id="56" w:name="_Toc178761304"/>
      <w:bookmarkEnd w:id="49"/>
      <w:r>
        <w:rPr>
          <w:lang w:val="de-DE"/>
        </w:rPr>
        <w:t>Verweisunge</w:t>
      </w:r>
      <w:bookmarkEnd w:id="50"/>
      <w:bookmarkEnd w:id="52"/>
      <w:bookmarkEnd w:id="53"/>
      <w:bookmarkEnd w:id="54"/>
      <w:bookmarkEnd w:id="55"/>
      <w:bookmarkEnd w:id="56"/>
      <w:r>
        <w:rPr>
          <w:lang w:val="de-DE"/>
        </w:rPr>
        <w:t>n</w:t>
      </w:r>
      <w:bookmarkEnd w:id="51"/>
    </w:p>
    <w:p>
      <w:pPr>
        <w:pStyle w:val="Heading2"/>
        <w:ind w:hanging="0" w:left="0"/>
        <w:rPr>
          <w:lang w:val="de-DE"/>
        </w:rPr>
      </w:pPr>
      <w:bookmarkStart w:id="57" w:name="__RefHeading___Toc31918_2021121348_Copy_"/>
      <w:bookmarkStart w:id="58" w:name="_Ref184204270_Copy_1"/>
      <w:bookmarkStart w:id="59" w:name="_Toc531165013_Copy_1"/>
      <w:bookmarkStart w:id="60" w:name="_Toc530662878_Copy_1"/>
      <w:bookmarkStart w:id="61" w:name="rl%2525252525252525252525252525252525254"/>
      <w:bookmarkStart w:id="62" w:name="_Toc178761304_Copy_1"/>
      <w:bookmarkStart w:id="63" w:name="_Toc187327025_Copy_1"/>
      <w:bookmarkStart w:id="64" w:name="_Toc178588048_Copy_1"/>
      <w:bookmarkStart w:id="65" w:name="normative_verweise_Copy_1"/>
      <w:bookmarkEnd w:id="57"/>
      <w:bookmarkEnd w:id="61"/>
      <w:r>
        <w:rPr>
          <w:lang w:val="de-DE"/>
        </w:rPr>
        <w:t>Normative Verweisunge</w:t>
      </w:r>
      <w:bookmarkEnd w:id="58"/>
      <w:bookmarkEnd w:id="59"/>
      <w:bookmarkEnd w:id="60"/>
      <w:bookmarkEnd w:id="62"/>
      <w:bookmarkEnd w:id="64"/>
      <w:bookmarkEnd w:id="65"/>
      <w:r>
        <w:rPr>
          <w:lang w:val="de-DE"/>
        </w:rPr>
        <w:t>n</w:t>
      </w:r>
      <w:bookmarkEnd w:id="63"/>
    </w:p>
    <w:p>
      <w:pPr>
        <w:pStyle w:val="Normal"/>
        <w:ind w:hanging="0" w:left="0"/>
        <w:rPr>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bookmarkStart w:id="66" w:name="rl%25252525252525252525252525252525253Ak"/>
      <w:bookmarkEnd w:id="66"/>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10003</w:t>
        <w:tab/>
      </w:r>
      <w:r>
        <w:rPr>
          <w:rStyle w:val="Hyperlink"/>
          <w:bCs/>
          <w:color w:val="000000"/>
          <w:u w:val="none"/>
          <w:shd w:fill="EEEEEE" w:val="clear"/>
          <w:lang w:val="de-DE"/>
        </w:rPr>
        <w:t>Richtlinien für die Anerkennung von Beratern für Cyber-Security</w:t>
      </w:r>
    </w:p>
    <w:p>
      <w:pPr>
        <w:pStyle w:val="Normal"/>
        <w:widowControl/>
        <w:suppressAutoHyphens w:val="false"/>
        <w:overflowPunct w:val="true"/>
        <w:bidi w:val="0"/>
        <w:spacing w:lineRule="auto" w:line="247" w:before="0" w:after="120"/>
        <w:ind w:hanging="3118" w:left="3118" w:right="0"/>
        <w:jc w:val="both"/>
        <w:rPr/>
      </w:pPr>
      <w:r>
        <w:rPr>
          <w:rStyle w:val="Hyperlink"/>
          <w:b/>
          <w:bCs/>
          <w:color w:val="000000"/>
          <w:u w:val="none"/>
          <w:shd w:fill="auto" w:val="clear"/>
          <w:lang w:val="de-DE"/>
        </w:rPr>
        <w:t>VdS 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7" w:name="__RefHeading___Toc23182_2990485309"/>
      <w:bookmarkEnd w:id="67"/>
      <w:r>
        <w:rPr>
          <w:lang w:val="de-DE"/>
        </w:rPr>
        <w:t xml:space="preserve">Verweisungen auf </w:t>
      </w:r>
      <w:r>
        <w:rPr>
          <w:rFonts w:eastAsia="Times New Roman" w:cs="Times New Roman"/>
          <w:b/>
          <w:color w:val="000000"/>
          <w:kern w:val="0"/>
          <w:sz w:val="24"/>
          <w:szCs w:val="20"/>
          <w:lang w:val="de-DE" w:eastAsia="de-DE" w:bidi="ar-SA"/>
        </w:rPr>
        <w:t>Gesetzestexte</w:t>
      </w:r>
    </w:p>
    <w:p>
      <w:pPr>
        <w:pStyle w:val="Normal"/>
        <w:rPr>
          <w:lang w:val="de-DE"/>
        </w:rPr>
      </w:pPr>
      <w:r>
        <w:rPr>
          <w:lang w:val="de-DE"/>
        </w:rPr>
        <w:t>Diese Richtlinien enthalten Verweise auf Gesetzestexte:</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BSIG</w:t>
      </w:r>
      <w:r>
        <w:rPr>
          <w:lang w:val="de-DE"/>
        </w:rPr>
        <w:tab/>
        <w:t>Gesetz über das Bundesamt für Sicherheit in der Informationstechnik und über die Sicherheit in der Informationstechnik von Einrichtungen</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NIS2UmsuCG</w:t>
      </w:r>
      <w:r>
        <w:rPr>
          <w:lang w:val="de-DE"/>
        </w:rPr>
        <w:tab/>
        <w:t>Gesetzes zur Umsetzung der NIS-2-Richtlinie und zur Regelung wesentlicher Grundzüge des Informationssicherheitsmanagements in der Bundesverwaltung (NIS-2-Umsetzungs- und Cybersicherheitsstärkungsgesetz)</w:t>
      </w:r>
    </w:p>
    <w:p>
      <w:pPr>
        <w:pStyle w:val="Heading1"/>
        <w:ind w:hanging="0" w:left="0"/>
        <w:rPr>
          <w:shd w:fill="EEEEEE" w:val="clear"/>
        </w:rPr>
      </w:pPr>
      <w:bookmarkStart w:id="68" w:name="__RefHeading___Toc31920_2021121348"/>
      <w:bookmarkStart w:id="69" w:name="_Toc530662879"/>
      <w:bookmarkStart w:id="70" w:name="_Toc178588049"/>
      <w:bookmarkStart w:id="71" w:name="_Toc531165014"/>
      <w:bookmarkStart w:id="72" w:name="_Ref184204279"/>
      <w:bookmarkStart w:id="73" w:name="_Toc187327026"/>
      <w:bookmarkStart w:id="74" w:name="_Toc178761305"/>
      <w:bookmarkEnd w:id="68"/>
      <w:r>
        <w:rPr>
          <w:shd w:fill="EEEEEE" w:val="clear"/>
          <w:lang w:val="de-DE"/>
        </w:rPr>
        <w:t>Begriffe</w:t>
      </w:r>
      <w:bookmarkEnd w:id="69"/>
      <w:bookmarkEnd w:id="70"/>
      <w:bookmarkEnd w:id="71"/>
      <w:r>
        <w:rPr>
          <w:shd w:fill="EEEEEE" w:val="clear"/>
          <w:lang w:val="de-DE"/>
        </w:rPr>
        <w:t xml:space="preserve"> und Abkürzungen</w:t>
      </w:r>
      <w:bookmarkEnd w:id="72"/>
      <w:bookmarkEnd w:id="73"/>
      <w:bookmarkEnd w:id="74"/>
    </w:p>
    <w:p>
      <w:pPr>
        <w:pStyle w:val="Heading2"/>
        <w:ind w:hanging="0" w:left="0"/>
        <w:rPr>
          <w:shd w:fill="EEEEEE" w:val="clear"/>
        </w:rPr>
      </w:pPr>
      <w:bookmarkStart w:id="75" w:name="__RefHeading___Toc31922_2021121348"/>
      <w:bookmarkStart w:id="76" w:name="_Toc178761306"/>
      <w:bookmarkStart w:id="77" w:name="_Toc187327027"/>
      <w:bookmarkEnd w:id="75"/>
      <w:r>
        <w:rPr>
          <w:shd w:fill="EEEEEE" w:val="clear"/>
          <w:lang w:val="de-DE"/>
        </w:rPr>
        <w:t>Begriffe</w:t>
      </w:r>
      <w:bookmarkEnd w:id="76"/>
      <w:bookmarkEnd w:id="77"/>
    </w:p>
    <w:p>
      <w:pPr>
        <w:pStyle w:val="Normal"/>
        <w:rPr/>
      </w:pPr>
      <w:r>
        <w:rPr>
          <w:rStyle w:val="StrongEmphasis"/>
          <w:shd w:fill="EEEEEE" w:val="clear"/>
          <w:lang w:val="de-DE"/>
        </w:rPr>
        <w:t>administrativer Zugang:</w:t>
      </w:r>
      <w:r>
        <w:rPr>
          <w:shd w:fill="EEEEEE" w:val="clear"/>
          <w:lang w:val="de-DE"/>
        </w:rPr>
        <w:t xml:space="preserve"> Zugang, der einen Nutzer dazu befähigt, ein IT-System zu verwalten, d. h. der einem Nutzer umfangreiche Rechte in einem IT-System einräumt</w:t>
      </w:r>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oder Netzwerks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Repeater, Bridge, Medienkonverter, Gateway, Firewall usw. verfügende Netzwerkkomponente</w:t>
      </w:r>
    </w:p>
    <w:p>
      <w:pPr>
        <w:pStyle w:val="Normal"/>
        <w:rPr>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beim Eintreten von Notfällen, Krisen oder Katastrophen 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Einrichtung:</w:t>
      </w:r>
      <w:r>
        <w:rPr>
          <w:rStyle w:val="StrongEmphasis"/>
          <w:rFonts w:eastAsia="Bitstream Vera Sans" w:cs="Bitstream Vera Sans"/>
          <w:b w:val="false"/>
          <w:bCs w:val="false"/>
          <w:color w:val="000000"/>
          <w:sz w:val="20"/>
          <w:szCs w:val="24"/>
          <w:shd w:fill="auto" w:val="clear"/>
          <w:lang w:val="de-DE" w:eastAsia="en-US" w:bidi="en-US"/>
        </w:rPr>
        <w:t xml:space="preserve"> Organisation im Sinne von NIS-2, siehe Organisation</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Sicherheitsvorfall, der schwerwiegende Betriebsstörungen der Dienste oder finanzielle Verluste für die betreffende Einrichtung verursachen oder Dritte durch erhebliche materielle oder immaterielle Schäden beeinträchtigen kann.</w:t>
      </w:r>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pPr>
      <w:r>
        <w:rPr>
          <w:rStyle w:val="StrongEmphasis"/>
          <w:b w:val="false"/>
          <w:bCs w:val="false"/>
          <w:iCs/>
          <w:shd w:fill="EEEEEE" w:val="clear"/>
          <w:lang w:val="de-DE"/>
        </w:rPr>
        <w:t>Hinweis: Im normalen Geschäftsbetrieb fallen z. B. Geschäftspartner oder Gäste unter diese Definition.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 xml:space="preserve">anforderungen </w:t>
      </w:r>
    </w:p>
    <w:p>
      <w:pPr>
        <w:pStyle w:val="Anmerkung"/>
        <w:rPr>
          <w:shd w:fill="EEEEEE" w:val="clear"/>
        </w:rPr>
      </w:pPr>
      <w:r>
        <w:rPr>
          <w:shd w:fill="EEEEEE" w:val="clear"/>
          <w:lang w:val="de-DE"/>
        </w:rPr>
        <w:t>Hinweis: Anforderungen beziehen sich i. d. R. auf da Maß an Vertraulichkeit, Verfügbarkeit oder Integrität.</w:t>
      </w:r>
    </w:p>
    <w:p>
      <w:pPr>
        <w:pStyle w:val="Normal"/>
        <w:rPr/>
      </w:pPr>
      <w:r>
        <w:rPr>
          <w:rStyle w:val="StrongEmphasis"/>
          <w:shd w:fill="EEEEEE" w:val="clear"/>
          <w:lang w:val="de-DE"/>
        </w:rPr>
        <w:t>Informationssicherheitsbeauftragter (ISB):</w:t>
      </w:r>
      <w:r>
        <w:rPr>
          <w:shd w:fill="EEEEEE" w:val="clear"/>
          <w:lang w:val="de-DE"/>
        </w:rPr>
        <w:t xml:space="preserve"> Person, </w:t>
      </w:r>
      <w:bookmarkStart w:id="78" w:name="_Hlk178666096_Copy_1"/>
      <w:r>
        <w:rPr>
          <w:shd w:fill="EEEEEE" w:val="clear"/>
          <w:lang w:val="de-DE"/>
        </w:rPr>
        <w:t>die nach Bestellung und im Auftrag des Topmanagements eines Unternehmens für die Umsetzung der Leitlinie zur Informationssicherheit des Unternehmens zuständig is</w:t>
      </w:r>
      <w:bookmarkEnd w:id="78"/>
      <w:r>
        <w:rPr>
          <w:shd w:fill="EEEEEE" w:val="clear"/>
          <w:lang w:val="de-DE"/>
        </w:rPr>
        <w:t>t</w:t>
      </w:r>
    </w:p>
    <w:p>
      <w:pPr>
        <w:pStyle w:val="Normal"/>
        <w:rPr/>
      </w:pPr>
      <w:r>
        <w:rPr>
          <w:rStyle w:val="StrongEmphasis"/>
          <w:shd w:fill="EEEEEE" w:val="clear"/>
          <w:lang w:val="de-DE"/>
        </w:rPr>
        <w:t>Informationssicherheitsteam (IST):</w:t>
      </w:r>
      <w:r>
        <w:rPr>
          <w:shd w:fill="EEEEEE" w:val="clear"/>
          <w:lang w:val="de-DE"/>
        </w:rPr>
        <w:t xml:space="preserve"> Gremium, das nach Bestellung und im Auftrag des Topmanagements eines Unternehmens zusammengestellt und für definierte Aufgaben zur Aufrechterhaltung der Informationssicherheit zuständig ist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pPr>
      <w:r>
        <w:rPr>
          <w:rStyle w:val="StrongEmphasis"/>
          <w:shd w:fill="EEEEEE" w:val="clear"/>
          <w:lang w:val="de-DE"/>
        </w:rPr>
        <w:t xml:space="preserve">IS-Leitlinie: </w:t>
      </w:r>
      <w:r>
        <w:rPr>
          <w:shd w:fill="EEEEEE" w:val="clear"/>
          <w:lang w:val="de-DE"/>
        </w:rPr>
        <w:t>Leitlinie zur vollumfänglichen Beschreibung und Definition der Informations</w:t>
        <w:softHyphen/>
        <w:t>sicherheit einer Organisationseinheit</w:t>
      </w:r>
    </w:p>
    <w:p>
      <w:pPr>
        <w:pStyle w:val="Normal"/>
        <w:rPr/>
      </w:pPr>
      <w:r>
        <w:rPr>
          <w:rStyle w:val="StrongEmphasis"/>
          <w:shd w:fill="EEEEEE" w:val="clear"/>
          <w:lang w:val="de-DE"/>
        </w:rPr>
        <w:t>IS-Richtlinie:</w:t>
      </w:r>
      <w:r>
        <w:rPr>
          <w:shd w:fill="EEEEEE" w:val="clear"/>
          <w:lang w:val="de-DE"/>
        </w:rPr>
        <w:t xml:space="preserve"> unterstützendes, zur Umsetzung der IS-Leitlinie erforderliches Dokument, welches alle erforderliche Zusatzinformationen subsummiert</w:t>
      </w:r>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10000-DefaultParagraph"/>
        <w:rPr/>
      </w:pPr>
      <w:r>
        <w:rPr>
          <w:rStyle w:val="StrongEmphasis"/>
          <w:shd w:fill="EEEEEE" w:val="clear"/>
          <w:lang w:val="de-DE"/>
        </w:rPr>
        <w:t>IT-Ressource:</w:t>
      </w:r>
      <w:r>
        <w:rPr>
          <w:shd w:fill="EEEEEE" w:val="clear"/>
          <w:lang w:val="de-DE"/>
        </w:rPr>
        <w:t xml:space="preserve"> Betriebsmittel für die elektronische Informationsverarbeitung. </w:t>
      </w:r>
    </w:p>
    <w:p>
      <w:pPr>
        <w:pStyle w:val="10000-Empfehlung"/>
        <w:rPr/>
      </w:pPr>
      <w:r>
        <w:rPr>
          <w:shd w:fill="EEEEEE" w:val="clear"/>
          <w:lang w:val="de-DE"/>
        </w:rPr>
        <w:t>Hinweis: Hierzu zählen u. a. IT-Systeme, Datenträger, Verbindungen, Daten, Informationen</w:t>
      </w:r>
      <w:commentRangeStart w:id="6"/>
      <w:r>
        <w:rPr>
          <w:shd w:fill="EEEEEE" w:val="clear"/>
          <w:lang w:val="de-DE"/>
        </w:rPr>
        <w:t>,</w:t>
      </w:r>
      <w:r>
        <w:rPr>
          <w:shd w:fill="auto" w:val="clear"/>
          <w:lang w:val="de-DE"/>
        </w:rPr>
        <w:t xml:space="preserve"> Anwendungen sowie Mitarbeitende und Lieferanten, die Waren oder Dienstleistungen für die Informationsverarbeitung bereitstellen.</w:t>
      </w:r>
      <w:commentRangeEnd w:id="6"/>
      <w:r>
        <w:commentReference w:id="6"/>
      </w:r>
      <w:r>
        <w:rPr/>
      </w:r>
    </w:p>
    <w:p>
      <w:pPr>
        <w:pStyle w:val="Normal"/>
        <w:rPr>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Beispiele: Typische IT-Systeme sind z. B. Server (physisch und virtuell), Clients, Drucker, Mobiltelefone, Smartphones, Telefonanlagen, Laptops, Tablets und aktive Netzwerkkomponenten</w:t>
      </w:r>
      <w:r>
        <w:rPr>
          <w:shd w:fill="auto" w:val="clear"/>
          <w:lang w:val="de-DE"/>
        </w:rPr>
        <w:t xml:space="preserve"> </w:t>
      </w:r>
      <w:commentRangeStart w:id="7"/>
      <w:r>
        <w:rPr>
          <w:shd w:fill="auto" w:val="clear"/>
          <w:lang w:val="de-DE"/>
        </w:rPr>
        <w:t>aber auch Steuerungsanlagen von Maschinen und Prozessen</w:t>
      </w:r>
      <w:r>
        <w:rPr>
          <w:shd w:fill="EEEEEE" w:val="clear"/>
          <w:lang w:val="de-DE"/>
        </w:rPr>
        <w:t>.</w:t>
      </w:r>
      <w:commentRangeEnd w:id="7"/>
      <w:r>
        <w:commentReference w:id="7"/>
      </w:r>
      <w:r>
        <w:rPr/>
      </w:r>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IT-Outsourcing:</w:t>
      </w:r>
      <w:r>
        <w:rPr>
          <w:shd w:fill="EEEEEE" w:val="clear"/>
          <w:lang w:val="de-DE"/>
        </w:rPr>
        <w:t xml:space="preserve"> Auslagerung von IT-Aufgaben an einen von der Organisation rechtlich unabhängigen Anbieter</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shd w:fill="EEEEEE" w:val="clear"/>
        </w:rPr>
      </w:pPr>
      <w:r>
        <w:rPr>
          <w:i/>
          <w:iCs/>
          <w:shd w:fill="EEEEEE" w:val="clear"/>
          <w:lang w:val="de-DE"/>
        </w:rPr>
        <w:t>Hinweis: Die IT-Sicherheit ist ein Teilbereich der Informationssicherheit.</w:t>
      </w:r>
    </w:p>
    <w:p>
      <w:pPr>
        <w:pStyle w:val="Normal"/>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Anmerkung"/>
        <w:rPr>
          <w:shd w:fill="EEEEEE" w:val="clear"/>
        </w:rPr>
      </w:pPr>
      <w:r>
        <w:rPr>
          <w:shd w:fill="EEEEEE" w:val="clear"/>
          <w:lang w:val="de-DE"/>
        </w:rPr>
        <w:t>Beispiele: Typische IT-Systeme sind z. B. Server (physisch und virtuell), Clients, Drucker, Mobiltelefone, Smartphones, Telefonanlagen, Laptops, Tablets und aktive Netzwerk</w:t>
        <w:softHyphen/>
        <w:t>komponenten.</w:t>
      </w:r>
    </w:p>
    <w:p>
      <w:pPr>
        <w:pStyle w:val="Normal"/>
        <w:rPr/>
      </w:pPr>
      <w:r>
        <w:rPr>
          <w:rStyle w:val="StrongEmphasis"/>
          <w:shd w:fill="EEEEEE" w:val="clear"/>
          <w:lang w:val="de-DE"/>
        </w:rPr>
        <w:t>katastrophaler Schaden:</w:t>
      </w:r>
      <w:r>
        <w:rPr>
          <w:shd w:fill="EEEEEE" w:val="clear"/>
          <w:lang w:val="de-DE"/>
        </w:rPr>
        <w:t xml:space="preserve"> Schaden, mit relevanter oder ruinöser Wirkung auf Leib und Leben von Personen, auf zentrale Prozesse, auf zentrale Werte oder auf die Rechts</w:t>
        <w:softHyphen/>
        <w:t>konformität einer Organisation</w:t>
      </w:r>
    </w:p>
    <w:p>
      <w:pPr>
        <w:pStyle w:val="Anmerkung"/>
        <w:rPr>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Anmerkung"/>
        <w:rPr>
          <w:i w:val="false"/>
          <w:i w:val="false"/>
          <w:iCs w:val="false"/>
          <w:spacing w:val="-2"/>
          <w:shd w:fill="EEEEEE" w:val="clear"/>
          <w:lang w:val="de-DE"/>
        </w:rPr>
      </w:pPr>
      <w:commentRangeStart w:id="8"/>
      <w:r>
        <w:rPr>
          <w:b/>
          <w:bCs/>
          <w:i w:val="false"/>
          <w:iCs w:val="false"/>
          <w:spacing w:val="-2"/>
          <w:shd w:fill="EEEEEE" w:val="clear"/>
          <w:lang w:val="de-DE"/>
        </w:rPr>
        <w:t>Krise:</w:t>
      </w:r>
      <w:r>
        <w:rPr>
          <w:i w:val="false"/>
          <w:iCs w:val="false"/>
          <w:spacing w:val="-2"/>
          <w:shd w:fill="EEEEEE" w:val="clear"/>
          <w:lang w:val="de-DE"/>
        </w:rPr>
        <w:t xml:space="preserve"> Vom Normalzustand abweichende Situation mit dem Potenzial für oder mit bereits eingetretenen Schäden, die mit der normalen Aufbau- und Ablauforganisation nicht mehr bewältigt werden kann.</w:t>
      </w:r>
      <w:commentRangeEnd w:id="8"/>
      <w:r>
        <w:commentReference w:id="8"/>
      </w:r>
      <w:r>
        <w:rPr/>
      </w:r>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mit denen bei bestimmten Aktionen katastrophale Schäden erwirkt werden können</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kritischer mobiler Datenträger:</w:t>
      </w:r>
      <w:r>
        <w:rPr>
          <w:shd w:fill="EEEEEE" w:val="clear"/>
          <w:lang w:val="de-DE"/>
        </w:rPr>
        <w:t xml:space="preserve"> mobiler Datenträger, der die Eigenschaften eines kritischen IT-Systems erfüllt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 xml:space="preserve">schiedlichen Örtlichkeiten einsetzbares IT-System </w:t>
      </w:r>
    </w:p>
    <w:p>
      <w:pPr>
        <w:pStyle w:val="Anmerkung"/>
        <w:rPr>
          <w:shd w:fill="EEEEEE" w:val="clear"/>
        </w:rPr>
      </w:pPr>
      <w:r>
        <w:rPr>
          <w:shd w:fill="EEEEEE" w:val="clear"/>
          <w:lang w:val="de-DE"/>
        </w:rPr>
        <w:t>Hinweis: Typische mobile IT-Systeme sind z. B. Notebooks, Smartphones, Tablets oder Digitalkameras.</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die Waren oder Dienstleistungen für die Informationsverarbeitung liefert bzw. bereitstellt. EIn Lieferant ist eine IT-Ressource.</w:t>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w:t>
        <w:softHyphen/>
        <w:t>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der Organisation besitzen</w:t>
      </w:r>
    </w:p>
    <w:p>
      <w:pPr>
        <w:pStyle w:val="Normal"/>
        <w:rPr>
          <w:lang w:val="de-DE"/>
        </w:rPr>
      </w:pPr>
      <w:r>
        <w:rPr>
          <w:b/>
          <w:bCs/>
          <w:lang w:val="de-DE"/>
        </w:rPr>
        <w:t xml:space="preserve">Organisation: </w:t>
      </w:r>
      <w:r>
        <w:rPr>
          <w:lang w:val="de-DE"/>
        </w:rPr>
        <w:t>Eine rechtlich verfasste Einheit wie ein Unternehmen, eine Behörde oder eine Institution, die strukturiert ist, um bestimmte Ziele zu verfolgen. Entspricht dem Begriff „Einrichtung“ im NIS2UmsuCG“.</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 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b/>
          <w:bCs/>
        </w:rPr>
      </w:pPr>
      <w:commentRangeStart w:id="9"/>
      <w:r>
        <w:rPr>
          <w:b/>
          <w:bCs/>
          <w:shd w:fill="auto" w:val="clear"/>
          <w:lang w:val="de-DE"/>
        </w:rPr>
        <w:t>Projekt:</w:t>
      </w:r>
      <w:r>
        <w:rPr>
          <w:b w:val="false"/>
          <w:bCs w:val="false"/>
          <w:shd w:fill="auto" w:val="clear"/>
          <w:lang w:val="de-DE"/>
        </w:rPr>
        <w:t xml:space="preserve"> zielgerichtetes, z</w:t>
      </w:r>
      <w:r>
        <w:rPr/>
        <w:t>eitlich befristetes Vorhaben, das z. B. aufgrund seiner Komplexität oder Bedeutung ein Projektmanagement erfordert</w:t>
      </w:r>
    </w:p>
    <w:p>
      <w:pPr>
        <w:pStyle w:val="Normal"/>
        <w:rPr>
          <w:b w:val="false"/>
          <w:bCs w:val="false"/>
          <w:i/>
          <w:i/>
          <w:iCs/>
          <w:shd w:fill="auto" w:val="clear"/>
          <w:lang w:val="de-DE"/>
        </w:rPr>
      </w:pPr>
      <w:r>
        <w:rPr>
          <w:b w:val="false"/>
          <w:bCs w:val="false"/>
          <w:i/>
          <w:iCs/>
          <w:shd w:fill="auto" w:val="clear"/>
          <w:lang w:val="de-DE"/>
        </w:rPr>
        <w:t>Hinweis: typische Projekte sind Produktentwicklungs-, (Re-)Organisations-, IT-, Sanierungs- oder Bauprojekte sowie die langfristige Erbringung von IT-Dienstleistungen</w:t>
      </w:r>
    </w:p>
    <w:p>
      <w:pPr>
        <w:pStyle w:val="Normal"/>
        <w:rPr/>
      </w:pPr>
      <w:r>
        <w:rPr>
          <w:rStyle w:val="StrongEmphasis"/>
          <w:shd w:fill="EEEEEE" w:val="clear"/>
          <w:lang w:val="de-DE"/>
        </w:rPr>
        <w:t>Projektverantwortlicher:</w:t>
      </w:r>
      <w:r>
        <w:rPr>
          <w:shd w:fill="EEEEEE" w:val="clear"/>
          <w:lang w:val="de-DE"/>
        </w:rPr>
        <w:t xml:space="preserve"> für das Projektmanagement (die Planung, Steuerung und Überwachung) eines Projekts verantwortliche Person</w:t>
      </w:r>
      <w:commentRangeEnd w:id="9"/>
      <w:r>
        <w:commentReference w:id="9"/>
      </w:r>
      <w:r>
        <w:rPr/>
      </w:r>
    </w:p>
    <w:p>
      <w:pPr>
        <w:pStyle w:val="Normal"/>
        <w:rPr/>
      </w:pPr>
      <w:r>
        <w:rPr>
          <w:rStyle w:val="StrongEmphasis"/>
          <w:shd w:fill="EEEEEE" w:val="clear"/>
          <w:lang w:val="de-DE"/>
        </w:rPr>
        <w:t>Prozess:</w:t>
      </w:r>
      <w:r>
        <w:rPr>
          <w:shd w:fill="EEEEEE" w:val="clear"/>
          <w:lang w:val="de-DE"/>
        </w:rPr>
        <w:t xml:space="preserve"> System von Tätigkeiten, das Eingaben mit Hilfe von Ressourcen in Ergebnisse umwandelt</w:t>
      </w:r>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pPr>
      <w:r>
        <w:rPr>
          <w:rStyle w:val="StrongEmphasis"/>
          <w:shd w:fill="EEEEEE" w:val="clear"/>
          <w:lang w:val="de-DE"/>
        </w:rPr>
        <w:t>Server:</w:t>
      </w:r>
      <w:r>
        <w:rPr>
          <w:shd w:fill="EEEEEE" w:val="clear"/>
          <w:lang w:val="de-DE"/>
        </w:rPr>
        <w:t xml:space="preserve"> Dienste über Verbindungen zur Verfügung stellendes zentrales IT-System</w:t>
      </w:r>
    </w:p>
    <w:p>
      <w:pPr>
        <w:pStyle w:val="Normal"/>
        <w:rPr/>
      </w:pPr>
      <w:r>
        <w:rPr>
          <w:rStyle w:val="Strong"/>
          <w:shd w:fill="EEEEEE" w:val="clear"/>
          <w:lang w:val="de-DE"/>
        </w:rPr>
        <w:t>Sicherheit:</w:t>
      </w:r>
      <w:r>
        <w:rPr>
          <w:shd w:fill="EEEEEE" w:val="clear"/>
          <w:lang w:val="de-DE"/>
        </w:rPr>
        <w:t xml:space="preserve"> Abwesenheit nicht beherrschbarer Gefahren </w:t>
      </w:r>
    </w:p>
    <w:p>
      <w:pPr>
        <w:pStyle w:val="Normal"/>
        <w:rPr>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 </w:t>
      </w:r>
    </w:p>
    <w:p>
      <w:pPr>
        <w:pStyle w:val="Normal"/>
        <w:rPr>
          <w:shd w:fill="EEEEEE" w:val="clear"/>
        </w:rPr>
      </w:pPr>
      <w:r>
        <w:rPr>
          <w:i/>
          <w:iCs/>
          <w:shd w:fill="EEEEEE" w:val="clear"/>
          <w:lang w:val="de-DE"/>
        </w:rPr>
        <w:t>Hinweis: Bei einem Speicherort kann es sich um einen lokalen Speicherort (wie z. B. Verzeichnisse auf Servern oder Workstations),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 </w:t>
      </w:r>
      <w:commentRangeStart w:id="10"/>
      <w:r>
        <w:rPr>
          <w:shd w:fill="EEEEEE" w:val="clear"/>
          <w:lang w:val="de-DE"/>
        </w:rPr>
        <w:t>oder verbindlich vorgegebene Qualitätsparameter</w:t>
      </w:r>
      <w:r>
        <w:rPr/>
      </w:r>
      <w:commentRangeEnd w:id="10"/>
      <w:r>
        <w:commentReference w:id="10"/>
      </w:r>
      <w:r>
        <w:rPr>
          <w:shd w:fill="EEEEEE" w:val="clear"/>
          <w:lang w:val="de-DE"/>
        </w:rPr>
        <w:t>,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w:t>
        <w:softHyphen/>
        <w:t>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shd w:fill="EEEEEE" w:val="clear"/>
        </w:rPr>
      </w:pPr>
      <w:r>
        <w:rPr>
          <w:shd w:fill="EEEEEE" w:val="clear"/>
          <w:lang w:val="de-DE"/>
        </w:rPr>
        <w:t>Hinweis: Dies kann z. B. ein Prozess für die Wertschöpfung oder für den Erhalt bzw. die Verbesserung der Wettbewerbsfähigkeit sein.</w:t>
      </w:r>
    </w:p>
    <w:p>
      <w:pPr>
        <w:pStyle w:val="Normal"/>
        <w:rPr>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Schadenspotenzial, unverzichtbar ist</w:t>
      </w:r>
    </w:p>
    <w:p>
      <w:pPr>
        <w:pStyle w:val="Normal"/>
        <w:rPr>
          <w:shd w:fill="EEEEEE" w:val="clear"/>
        </w:rPr>
      </w:pPr>
      <w:r>
        <w:rPr>
          <w:i/>
          <w:iCs/>
          <w:shd w:fill="EEEEEE" w:val="clear"/>
          <w:lang w:val="de-DE"/>
        </w:rPr>
        <w:t>Hinweis: Hierzu sind beispielsweise Produktionsanlagen, Wissen, Mitarbeiter sowie das Vertrauen von Kunden und Geschäftspartnern zu zählen.</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shd w:fill="EEEEEE" w:val="clear"/>
        </w:rPr>
      </w:pPr>
      <w:bookmarkStart w:id="79" w:name="__RefHeading___Toc31924_2021121348"/>
      <w:bookmarkStart w:id="80" w:name="_Toc187327028"/>
      <w:bookmarkStart w:id="81" w:name="_Toc178761307"/>
      <w:bookmarkEnd w:id="79"/>
      <w:r>
        <w:rPr>
          <w:shd w:fill="EEEEEE" w:val="clear"/>
          <w:lang w:val="de-DE"/>
        </w:rPr>
        <w:t>Abkürzungen</w:t>
      </w:r>
      <w:bookmarkEnd w:id="80"/>
      <w:bookmarkEnd w:id="81"/>
    </w:p>
    <w:p>
      <w:pPr>
        <w:pStyle w:val="Normal"/>
        <w:spacing w:before="240" w:after="160"/>
        <w:rPr/>
      </w:pPr>
      <w:r>
        <w:rPr>
          <w:rStyle w:val="Strong"/>
          <w:shd w:fill="EEEEEE" w:val="clear"/>
          <w:lang w:val="de-DE"/>
        </w:rPr>
        <w:t>BCM</w:t>
        <w:tab/>
      </w:r>
      <w:r>
        <w:rPr>
          <w:rStyle w:val="Strong"/>
          <w:b w:val="false"/>
          <w:bCs w:val="false"/>
          <w:shd w:fill="EEEEEE" w:val="clear"/>
          <w:lang w:val="de-DE"/>
        </w:rPr>
        <w:t>Business Continuity Management</w:t>
      </w:r>
    </w:p>
    <w:p>
      <w:pPr>
        <w:pStyle w:val="Normal"/>
        <w:spacing w:before="240" w:after="160"/>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spacing w:before="160" w:after="160"/>
        <w:rPr/>
      </w:pPr>
      <w:r>
        <w:rPr>
          <w:rStyle w:val="Strong"/>
          <w:shd w:fill="EEEEEE" w:val="clear"/>
          <w:lang w:val="de-DE"/>
        </w:rPr>
        <w:t>ISB</w:t>
      </w:r>
      <w:r>
        <w:rPr>
          <w:shd w:fill="EEEEEE" w:val="clear"/>
          <w:lang w:val="de-DE"/>
        </w:rPr>
        <w:tab/>
        <w:t>Informationssicherheitsbeauftragter</w:t>
      </w:r>
    </w:p>
    <w:p>
      <w:pPr>
        <w:pStyle w:val="Normal"/>
        <w:spacing w:before="160" w:after="160"/>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spacing w:before="160" w:after="160"/>
        <w:rPr/>
      </w:pPr>
      <w:r>
        <w:rPr>
          <w:rStyle w:val="Strong"/>
          <w:shd w:fill="EEEEEE" w:val="clear"/>
          <w:lang w:val="de-DE"/>
        </w:rPr>
        <w:t>IST</w:t>
        <w:tab/>
      </w:r>
      <w:r>
        <w:rPr>
          <w:rStyle w:val="Strong"/>
          <w:b w:val="false"/>
          <w:bCs w:val="false"/>
          <w:shd w:fill="EEEEEE" w:val="clear"/>
          <w:lang w:val="de-DE"/>
        </w:rPr>
        <w:t>Informationssicherheitsteam</w:t>
      </w:r>
    </w:p>
    <w:p>
      <w:pPr>
        <w:pStyle w:val="Normal"/>
        <w:spacing w:before="160" w:after="160"/>
        <w:rPr/>
      </w:pPr>
      <w:r>
        <w:rPr>
          <w:rStyle w:val="Strong"/>
          <w:shd w:fill="EEEEEE" w:val="clear"/>
          <w:lang w:val="de-DE"/>
        </w:rPr>
        <w:t>KMU</w:t>
      </w:r>
      <w:r>
        <w:rPr>
          <w:shd w:fill="EEEEEE" w:val="clear"/>
          <w:lang w:val="de-DE"/>
        </w:rPr>
        <w:tab/>
        <w:t>kleine und mittlere Unternehmen</w:t>
      </w:r>
    </w:p>
    <w:p>
      <w:pPr>
        <w:pStyle w:val="Normal"/>
        <w:spacing w:before="160" w:after="160"/>
        <w:rPr/>
      </w:pPr>
      <w:r>
        <w:rPr>
          <w:rStyle w:val="Strong"/>
          <w:shd w:fill="EEEEEE" w:val="clear"/>
          <w:lang w:val="de-DE"/>
        </w:rPr>
        <w:t>MTA</w:t>
        <w:tab/>
      </w:r>
      <w:r>
        <w:rPr>
          <w:rStyle w:val="Strong"/>
          <w:b w:val="false"/>
          <w:bCs w:val="false"/>
          <w:shd w:fill="EEEEEE" w:val="clear"/>
          <w:lang w:val="de-DE"/>
        </w:rPr>
        <w:t>maximal tolerierbare Ausfallzeit</w:t>
      </w:r>
    </w:p>
    <w:p>
      <w:pPr>
        <w:pStyle w:val="Normal"/>
        <w:spacing w:before="160" w:after="240"/>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shd w:fill="EEEEEE" w:val="clear"/>
        </w:rPr>
      </w:pPr>
      <w:bookmarkStart w:id="82" w:name="__RefHeading___Toc31926_2021121348"/>
      <w:bookmarkStart w:id="83" w:name="_Toc178588050"/>
      <w:bookmarkStart w:id="84" w:name="_Toc531165015"/>
      <w:bookmarkStart w:id="85" w:name="_Toc187327029"/>
      <w:bookmarkStart w:id="86" w:name="rl%2525252525252525252525252525252525255"/>
      <w:bookmarkStart w:id="87" w:name="_Ref184204313"/>
      <w:bookmarkStart w:id="88" w:name="_Toc178761308"/>
      <w:bookmarkStart w:id="89" w:name="organisation_der_informationssicherheit"/>
      <w:bookmarkStart w:id="90" w:name="_Toc530662880"/>
      <w:bookmarkEnd w:id="82"/>
      <w:bookmarkEnd w:id="86"/>
      <w:r>
        <w:rPr>
          <w:shd w:fill="EEEEEE" w:val="clear"/>
          <w:lang w:val="de-DE"/>
        </w:rPr>
        <w:t>Organisation der Informationssicherheit</w:t>
      </w:r>
      <w:bookmarkEnd w:id="83"/>
      <w:bookmarkEnd w:id="84"/>
      <w:bookmarkEnd w:id="85"/>
      <w:bookmarkEnd w:id="87"/>
      <w:bookmarkEnd w:id="88"/>
      <w:bookmarkEnd w:id="89"/>
      <w:bookmarkEnd w:id="90"/>
    </w:p>
    <w:p>
      <w:pPr>
        <w:pStyle w:val="Heading2"/>
        <w:ind w:hanging="0" w:left="0"/>
        <w:rPr>
          <w:shd w:fill="EEEEEE" w:val="clear"/>
        </w:rPr>
      </w:pPr>
      <w:bookmarkStart w:id="91" w:name="__RefHeading___Toc31928_2021121348"/>
      <w:bookmarkStart w:id="92" w:name="_Toc187327030"/>
      <w:bookmarkStart w:id="93" w:name="_Toc178761309"/>
      <w:bookmarkEnd w:id="91"/>
      <w:r>
        <w:rPr>
          <w:shd w:fill="EEEEEE" w:val="clear"/>
          <w:lang w:val="de-DE"/>
        </w:rPr>
        <w:t>Grundlagen</w:t>
      </w:r>
      <w:bookmarkEnd w:id="92"/>
      <w:bookmarkEnd w:id="93"/>
    </w:p>
    <w:p>
      <w:pPr>
        <w:pStyle w:val="Normal"/>
        <w:ind w:hanging="0" w:left="0"/>
        <w:rPr>
          <w:shd w:fill="EEEEEE" w:val="clear"/>
        </w:rPr>
      </w:pPr>
      <w:r>
        <w:rPr>
          <w:shd w:fill="EEEEEE" w:val="clear"/>
          <w:lang w:val="de-DE"/>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shd w:fill="EEEEEE" w:val="clear"/>
        </w:rPr>
      </w:pPr>
      <w:bookmarkStart w:id="94" w:name="__RefHeading___Toc31930_2021121348"/>
      <w:bookmarkStart w:id="95" w:name="rl%2525252525252525252525252525252525256"/>
      <w:bookmarkStart w:id="96" w:name="_Toc178588051"/>
      <w:bookmarkStart w:id="97" w:name="_Toc530662881"/>
      <w:bookmarkStart w:id="98" w:name="_Toc187327031"/>
      <w:bookmarkStart w:id="99" w:name="_Toc531165016"/>
      <w:bookmarkStart w:id="100" w:name="_Toc178761310"/>
      <w:bookmarkStart w:id="101" w:name="verantwortlichkeiten"/>
      <w:bookmarkEnd w:id="94"/>
      <w:bookmarkEnd w:id="95"/>
      <w:r>
        <w:rPr>
          <w:shd w:fill="EEEEEE" w:val="clear"/>
          <w:lang w:val="de-DE"/>
        </w:rPr>
        <w:t>Verantwortlichkeiten</w:t>
      </w:r>
      <w:bookmarkEnd w:id="96"/>
      <w:bookmarkEnd w:id="97"/>
      <w:bookmarkEnd w:id="98"/>
      <w:bookmarkEnd w:id="99"/>
      <w:bookmarkEnd w:id="100"/>
      <w:bookmarkEnd w:id="101"/>
    </w:p>
    <w:p>
      <w:pPr>
        <w:pStyle w:val="Heading3"/>
        <w:ind w:hanging="0" w:left="0"/>
        <w:rPr>
          <w:shd w:fill="EEEEEE" w:val="clear"/>
        </w:rPr>
      </w:pPr>
      <w:bookmarkStart w:id="102" w:name="__RefHeading___Toc31932_2021121348"/>
      <w:bookmarkStart w:id="103" w:name="_Toc187327032"/>
      <w:bookmarkStart w:id="104" w:name="_Toc178761311"/>
      <w:bookmarkEnd w:id="102"/>
      <w:r>
        <w:rPr>
          <w:shd w:fill="EEEEEE" w:val="clear"/>
          <w:lang w:val="de-DE"/>
        </w:rPr>
        <w:t>Anforderungen</w:t>
      </w:r>
      <w:bookmarkEnd w:id="103"/>
      <w:bookmarkEnd w:id="104"/>
    </w:p>
    <w:p>
      <w:pPr>
        <w:pStyle w:val="10000-DefaultParagraph"/>
        <w:rPr>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MÜSSEN eindeutig und widerspruchsfrei zugewiesen werden.</w:t>
      </w:r>
    </w:p>
    <w:p>
      <w:pPr>
        <w:pStyle w:val="Heading3"/>
        <w:ind w:hanging="0" w:left="0"/>
        <w:rPr>
          <w:shd w:fill="EEEEEE" w:val="clear"/>
        </w:rPr>
      </w:pPr>
      <w:bookmarkStart w:id="105" w:name="__RefHeading___zuweisung_und_dokumentati"/>
      <w:bookmarkStart w:id="106" w:name="zuweisung_und_dokumentation"/>
      <w:bookmarkStart w:id="107" w:name="_Toc531165017"/>
      <w:bookmarkStart w:id="108" w:name="_Toc178761312"/>
      <w:bookmarkStart w:id="109" w:name="_Toc530662882"/>
      <w:bookmarkStart w:id="110" w:name="_Toc187327033"/>
      <w:bookmarkStart w:id="111" w:name="rl%2525252525252525252525252525252525257"/>
      <w:bookmarkEnd w:id="105"/>
      <w:bookmarkEnd w:id="111"/>
      <w:r>
        <w:rPr>
          <w:shd w:fill="EEEEEE" w:val="clear"/>
          <w:lang w:val="de-DE"/>
        </w:rPr>
        <w:t>Zuweisung und Dokumentation</w:t>
      </w:r>
      <w:bookmarkEnd w:id="106"/>
      <w:bookmarkEnd w:id="107"/>
      <w:bookmarkEnd w:id="108"/>
      <w:bookmarkEnd w:id="109"/>
      <w:bookmarkEnd w:id="110"/>
    </w:p>
    <w:p>
      <w:pPr>
        <w:pStyle w:val="10000-DefaultParagraph"/>
        <w:rPr>
          <w:shd w:fill="EEEEEE" w:val="clear"/>
        </w:rPr>
      </w:pPr>
      <w:r>
        <w:rPr>
          <w:shd w:fill="EEEEEE" w:val="clear"/>
          <w:lang w:val="de-DE"/>
        </w:rPr>
        <w:t>Es MUSS für jede Verantwortlichkeit dokumentiert werden</w:t>
      </w:r>
    </w:p>
    <w:p>
      <w:pPr>
        <w:pStyle w:val="10000-DefaultParagraph"/>
        <w:numPr>
          <w:ilvl w:val="0"/>
          <w:numId w:val="265"/>
        </w:numPr>
        <w:rPr>
          <w:shd w:fill="EEEEEE" w:val="clear"/>
        </w:rPr>
      </w:pPr>
      <w:r>
        <w:rPr>
          <w:shd w:fill="EEEEEE" w:val="clear"/>
          <w:lang w:val="de-DE"/>
        </w:rPr>
        <w:t>welche Ziele erreicht werden sollen</w:t>
      </w:r>
    </w:p>
    <w:p>
      <w:pPr>
        <w:pStyle w:val="10000-DefaultParagraph"/>
        <w:numPr>
          <w:ilvl w:val="0"/>
          <w:numId w:val="266"/>
        </w:numPr>
        <w:rPr>
          <w:shd w:fill="EEEEEE" w:val="clear"/>
        </w:rPr>
      </w:pPr>
      <w:r>
        <w:rPr>
          <w:shd w:fill="EEEEEE" w:val="clear"/>
          <w:lang w:val="de-DE"/>
        </w:rPr>
        <w:t>für welche Ressourcen die Verantwortlichkeit besteht</w:t>
      </w:r>
    </w:p>
    <w:p>
      <w:pPr>
        <w:pStyle w:val="10000-DefaultParagraph"/>
        <w:numPr>
          <w:ilvl w:val="0"/>
          <w:numId w:val="267"/>
        </w:numPr>
        <w:rPr>
          <w:shd w:fill="EEEEEE" w:val="clear"/>
        </w:rPr>
      </w:pPr>
      <w:r>
        <w:rPr>
          <w:shd w:fill="EEEEEE" w:val="clear"/>
          <w:lang w:val="de-DE"/>
        </w:rPr>
        <w:t>welche Aufgaben erfüllt werden müssen, damit die Ziele erreicht werden</w:t>
      </w:r>
    </w:p>
    <w:p>
      <w:pPr>
        <w:pStyle w:val="10000-DefaultParagraph"/>
        <w:numPr>
          <w:ilvl w:val="0"/>
          <w:numId w:val="268"/>
        </w:numPr>
        <w:rPr>
          <w:shd w:fill="EEEEEE" w:val="clear"/>
        </w:rPr>
      </w:pPr>
      <w:r>
        <w:rPr>
          <w:shd w:fill="EEEEEE" w:val="clear"/>
          <w:lang w:val="de-DE"/>
        </w:rPr>
        <w:t>welche Berechtigungen an die Verantwortlichkeit gebunden sind, um diese wahrnehmen zu können</w:t>
      </w:r>
    </w:p>
    <w:p>
      <w:pPr>
        <w:pStyle w:val="10000-DefaultParagraph"/>
        <w:numPr>
          <w:ilvl w:val="0"/>
          <w:numId w:val="269"/>
        </w:numPr>
        <w:rPr>
          <w:shd w:fill="EEEEEE" w:val="clear"/>
        </w:rPr>
      </w:pPr>
      <w:r>
        <w:rPr>
          <w:shd w:fill="EEEEEE" w:val="clear"/>
          <w:lang w:val="de-DE"/>
        </w:rPr>
        <w:t>welche Ressourcen für die Wahrnehmung der Verantwortlichkeit zur Verfügung stehen</w:t>
      </w:r>
    </w:p>
    <w:p>
      <w:pPr>
        <w:pStyle w:val="10000-DefaultParagraph"/>
        <w:numPr>
          <w:ilvl w:val="0"/>
          <w:numId w:val="270"/>
        </w:numPr>
        <w:rPr>
          <w:shd w:fill="EEEEEE" w:val="clear"/>
        </w:rPr>
      </w:pPr>
      <w:r>
        <w:rPr>
          <w:shd w:fill="EEEEEE" w:val="clear"/>
          <w:lang w:val="de-DE"/>
        </w:rPr>
        <w:t>wie und durch welche Position(en) die Erfüllung der Verantwortlichkeit überprüft wird</w:t>
      </w:r>
    </w:p>
    <w:p>
      <w:pPr>
        <w:pStyle w:val="10000-DefaultParagraph"/>
        <w:numPr>
          <w:ilvl w:val="0"/>
          <w:numId w:val="271"/>
        </w:numPr>
        <w:rPr>
          <w:shd w:fill="EEEEEE" w:val="clear"/>
        </w:rPr>
      </w:pPr>
      <w:r>
        <w:rPr>
          <w:shd w:fill="EEEEEE" w:val="clear"/>
          <w:lang w:val="de-DE"/>
        </w:rPr>
        <w:t>welche Positionen die Verantwortlichen wahrnehmen.</w:t>
      </w:r>
    </w:p>
    <w:p>
      <w:pPr>
        <w:pStyle w:val="Heading3"/>
        <w:ind w:hanging="0" w:left="0"/>
        <w:rPr>
          <w:shd w:fill="EEEEEE" w:val="clear"/>
        </w:rPr>
      </w:pPr>
      <w:bookmarkStart w:id="112" w:name="__RefHeading___funktionstrennungen_14"/>
      <w:bookmarkStart w:id="113" w:name="_Toc187327034"/>
      <w:bookmarkStart w:id="114" w:name="_Toc178761313"/>
      <w:bookmarkStart w:id="115" w:name="_Toc530662883"/>
      <w:bookmarkStart w:id="116" w:name="funktionstrennungen"/>
      <w:bookmarkStart w:id="117" w:name="_Toc531165018"/>
      <w:bookmarkStart w:id="118" w:name="rl%2525252525252525252525252525252525258"/>
      <w:bookmarkEnd w:id="112"/>
      <w:bookmarkEnd w:id="118"/>
      <w:r>
        <w:rPr>
          <w:shd w:fill="EEEEEE" w:val="clear"/>
          <w:lang w:val="de-DE"/>
        </w:rPr>
        <w:t>Funktionstrennungen</w:t>
      </w:r>
      <w:bookmarkEnd w:id="113"/>
      <w:bookmarkEnd w:id="114"/>
      <w:bookmarkEnd w:id="115"/>
      <w:bookmarkEnd w:id="116"/>
      <w:bookmarkEnd w:id="117"/>
    </w:p>
    <w:p>
      <w:pPr>
        <w:pStyle w:val="10000-DefaultParagraph"/>
        <w:rPr>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shd w:fill="EEEEEE" w:val="clear"/>
        </w:rPr>
      </w:pPr>
      <w:r>
        <w:rPr>
          <w:shd w:fill="EEEEEE" w:val="clear"/>
          <w:lang w:val="de-DE"/>
        </w:rPr>
        <w:t>In diesem Fall MÜSSEN folgende Anforderungen erfüllt werden:</w:t>
      </w:r>
    </w:p>
    <w:p>
      <w:pPr>
        <w:pStyle w:val="10000-DefaultParagraph"/>
        <w:numPr>
          <w:ilvl w:val="0"/>
          <w:numId w:val="272"/>
        </w:numPr>
        <w:rPr>
          <w:shd w:fill="EEEEEE" w:val="clear"/>
        </w:rPr>
      </w:pPr>
      <w:r>
        <w:rPr>
          <w:shd w:fill="EEEEEE" w:val="clear"/>
          <w:lang w:val="de-DE"/>
        </w:rPr>
        <w:t>Die rechtliche Zulässigkeit wurde geprüft.</w:t>
      </w:r>
    </w:p>
    <w:p>
      <w:pPr>
        <w:pStyle w:val="10000-DefaultParagraph"/>
        <w:numPr>
          <w:ilvl w:val="0"/>
          <w:numId w:val="273"/>
        </w:numPr>
        <w:rPr>
          <w:shd w:fill="EEEEEE" w:val="clear"/>
        </w:rPr>
      </w:pPr>
      <w:r>
        <w:rPr>
          <w:shd w:fill="EEEEEE" w:val="clear"/>
          <w:lang w:val="de-DE"/>
        </w:rPr>
        <w:t>Es werden andere Maßnahmen wie Überwachung von Tätigkeiten, Kontrollen oder Leitungsaufsicht umgesetzt.</w:t>
      </w:r>
    </w:p>
    <w:p>
      <w:pPr>
        <w:pStyle w:val="10000-DefaultParagraph"/>
        <w:numPr>
          <w:ilvl w:val="0"/>
          <w:numId w:val="274"/>
        </w:numPr>
        <w:rPr>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shd w:fill="EEEEEE" w:val="clear"/>
        </w:rPr>
      </w:pPr>
      <w:bookmarkStart w:id="119" w:name="__RefHeading___zeitliche_ressourcen_15"/>
      <w:bookmarkStart w:id="120" w:name="_Toc187327035"/>
      <w:bookmarkStart w:id="121" w:name="_Toc530662884"/>
      <w:bookmarkStart w:id="122" w:name="rl%2525252525252525252525252525252525259"/>
      <w:bookmarkStart w:id="123" w:name="_Toc531165019"/>
      <w:bookmarkStart w:id="124" w:name="zeitliche_ressourcen"/>
      <w:bookmarkStart w:id="125" w:name="_Toc178761314"/>
      <w:bookmarkEnd w:id="119"/>
      <w:bookmarkEnd w:id="122"/>
      <w:r>
        <w:rPr>
          <w:shd w:fill="EEEEEE" w:val="clear"/>
          <w:lang w:val="de-DE"/>
        </w:rPr>
        <w:t>Zeitliche Ressourcen</w:t>
      </w:r>
      <w:bookmarkEnd w:id="120"/>
      <w:bookmarkEnd w:id="121"/>
      <w:bookmarkEnd w:id="123"/>
      <w:bookmarkEnd w:id="124"/>
      <w:bookmarkEnd w:id="125"/>
    </w:p>
    <w:p>
      <w:pPr>
        <w:pStyle w:val="10000-DefaultParagraph"/>
        <w:rPr>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shd w:fill="EEEEEE" w:val="clear"/>
        </w:rPr>
      </w:pPr>
      <w:bookmarkStart w:id="126" w:name="__RefHeading___delegieren_von_aufgaben_1"/>
      <w:bookmarkStart w:id="127" w:name="_Toc178761315"/>
      <w:bookmarkStart w:id="128" w:name="delegieren_von_aufgaben"/>
      <w:bookmarkStart w:id="129" w:name="rl%252525252525252525252525252525252525a"/>
      <w:bookmarkStart w:id="130" w:name="_Toc187327036"/>
      <w:bookmarkStart w:id="131" w:name="_Toc531165020"/>
      <w:bookmarkStart w:id="132" w:name="_Toc530662885"/>
      <w:bookmarkEnd w:id="126"/>
      <w:bookmarkEnd w:id="129"/>
      <w:r>
        <w:rPr>
          <w:shd w:fill="EEEEEE" w:val="clear"/>
          <w:lang w:val="de-DE"/>
        </w:rPr>
        <w:t>Delegieren von Aufgaben</w:t>
      </w:r>
      <w:bookmarkEnd w:id="127"/>
      <w:bookmarkEnd w:id="128"/>
      <w:bookmarkEnd w:id="130"/>
      <w:bookmarkEnd w:id="131"/>
      <w:bookmarkEnd w:id="132"/>
    </w:p>
    <w:p>
      <w:pPr>
        <w:pStyle w:val="10000-Empfehlung"/>
        <w:rPr/>
      </w:pPr>
      <w:r>
        <w:rPr>
          <w:rStyle w:val="Emphasis"/>
          <w:i/>
          <w:shd w:fill="EEEEEE" w:val="clear"/>
          <w:lang w:val="de-DE"/>
        </w:rPr>
        <w:t>Verantwortliche für Informationssicherheit KÖNNEN Aufgaben an andere Personen delegieren.</w:t>
      </w:r>
    </w:p>
    <w:p>
      <w:pPr>
        <w:pStyle w:val="10000-DefaultParagraph"/>
        <w:rPr>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shd w:fill="EEEEEE" w:val="clear"/>
        </w:rPr>
      </w:pPr>
      <w:bookmarkStart w:id="133" w:name="__RefHeading___Toc31934_2021121348"/>
      <w:bookmarkStart w:id="134" w:name="_Toc178588052"/>
      <w:bookmarkStart w:id="135" w:name="_Toc187327037"/>
      <w:bookmarkStart w:id="136" w:name="rl%252525252525252525252525252525252525b"/>
      <w:bookmarkStart w:id="137" w:name="_Toc531165021"/>
      <w:bookmarkStart w:id="138" w:name="_Toc530662886"/>
      <w:bookmarkStart w:id="139" w:name="_Ref178760601"/>
      <w:bookmarkStart w:id="140" w:name="_Toc178761316"/>
      <w:bookmarkStart w:id="141" w:name="topmanagement"/>
      <w:bookmarkEnd w:id="133"/>
      <w:bookmarkEnd w:id="136"/>
      <w:r>
        <w:rPr>
          <w:shd w:fill="EEEEEE" w:val="clear"/>
          <w:lang w:val="de-DE"/>
        </w:rPr>
        <w:t>Topmanagement</w:t>
      </w:r>
      <w:bookmarkEnd w:id="134"/>
      <w:bookmarkEnd w:id="135"/>
      <w:bookmarkEnd w:id="137"/>
      <w:bookmarkEnd w:id="138"/>
      <w:bookmarkEnd w:id="139"/>
      <w:bookmarkEnd w:id="140"/>
      <w:bookmarkEnd w:id="141"/>
    </w:p>
    <w:p>
      <w:pPr>
        <w:pStyle w:val="10000-DefaultParagraph"/>
        <w:rPr>
          <w:shd w:fill="EEEEEE" w:val="clear"/>
        </w:rPr>
      </w:pPr>
      <w:r>
        <w:rPr>
          <w:shd w:fill="EEEEEE" w:val="clear"/>
          <w:lang w:val="de-DE"/>
        </w:rPr>
        <w:t>Das Topmanagement MUSS sich zur Wahrnehmung folgender Verantwortlichkeiten verpflichten:</w:t>
      </w:r>
    </w:p>
    <w:p>
      <w:pPr>
        <w:pStyle w:val="10000-DefaultParagraph"/>
        <w:numPr>
          <w:ilvl w:val="0"/>
          <w:numId w:val="275"/>
        </w:numPr>
        <w:rPr>
          <w:lang w:val="de-DE"/>
        </w:rPr>
      </w:pPr>
      <w:r>
        <w:rPr>
          <w:shd w:fill="EEEEEE" w:val="clear"/>
          <w:lang w:val="de-DE"/>
        </w:rPr>
        <w:t>Übernahme der Gesamtverantwortung für die Informationssicherheit</w:t>
      </w:r>
      <w:commentRangeStart w:id="11"/>
      <w:r>
        <w:rPr>
          <w:shd w:fill="auto" w:val="clear"/>
          <w:lang w:val="de-DE"/>
        </w:rPr>
        <w:t>, insbesondere für die Umsetzung und Überwachung der in diesen Richtlinien geforderten Maßnahmen</w:t>
      </w:r>
      <w:commentRangeEnd w:id="11"/>
      <w:r>
        <w:commentReference w:id="11"/>
      </w:r>
      <w:r>
        <w:rPr/>
      </w:r>
    </w:p>
    <w:p>
      <w:pPr>
        <w:pStyle w:val="10000-DefaultParagraph"/>
        <w:numPr>
          <w:ilvl w:val="0"/>
          <w:numId w:val="276"/>
        </w:numPr>
        <w:rPr>
          <w:shd w:fill="EEEEEE" w:val="clear"/>
        </w:rPr>
      </w:pPr>
      <w:r>
        <w:rPr>
          <w:shd w:fill="EEEEEE" w:val="clear"/>
          <w:lang w:val="de-DE"/>
        </w:rPr>
        <w:t>In Kraft Setzung von Richtlinien für die Informationssicherheit (IS-Richtlinien)</w:t>
      </w:r>
    </w:p>
    <w:p>
      <w:pPr>
        <w:pStyle w:val="10000-DefaultParagraph"/>
        <w:numPr>
          <w:ilvl w:val="0"/>
          <w:numId w:val="277"/>
        </w:numPr>
        <w:rPr>
          <w:shd w:fill="EEEEEE" w:val="clear"/>
        </w:rPr>
      </w:pPr>
      <w:r>
        <w:rPr>
          <w:shd w:fill="EEEEEE" w:val="clear"/>
          <w:lang w:val="de-DE"/>
        </w:rPr>
        <w:t>Bereitstellung der notwendigen technischen, finanziellen und personellen Ressourcen für die Informationssicherheit</w:t>
      </w:r>
    </w:p>
    <w:p>
      <w:pPr>
        <w:pStyle w:val="10000-DefaultParagraph"/>
        <w:numPr>
          <w:ilvl w:val="0"/>
          <w:numId w:val="278"/>
        </w:numPr>
        <w:rPr>
          <w:shd w:fill="EEEEEE" w:val="clear"/>
        </w:rPr>
      </w:pPr>
      <w:r>
        <w:rPr>
          <w:shd w:fill="EEEEEE" w:val="clear"/>
          <w:lang w:val="de-DE"/>
        </w:rPr>
        <w:t>Einbettung der Informationssicherheit in die Strukturen, Hierarchien und Arbeitsabläufe der Organisation</w:t>
      </w:r>
    </w:p>
    <w:p>
      <w:pPr>
        <w:pStyle w:val="Heading2"/>
        <w:ind w:hanging="0" w:left="0"/>
        <w:rPr>
          <w:shd w:fill="EEEEEE" w:val="clear"/>
        </w:rPr>
      </w:pPr>
      <w:bookmarkStart w:id="142" w:name="__RefHeading___Toc31936_2021121348"/>
      <w:bookmarkStart w:id="143" w:name="_Toc531165022"/>
      <w:bookmarkStart w:id="144" w:name="rl%252525252525252525252525252525252525c"/>
      <w:bookmarkStart w:id="145" w:name="_Toc530662887"/>
      <w:bookmarkStart w:id="146" w:name="_Toc187327038"/>
      <w:bookmarkStart w:id="147" w:name="_Toc178761317"/>
      <w:bookmarkStart w:id="148" w:name="_Toc178588053"/>
      <w:bookmarkStart w:id="149" w:name="informationssicherheitsbeauftragter_isb"/>
      <w:bookmarkEnd w:id="142"/>
      <w:bookmarkEnd w:id="144"/>
      <w:r>
        <w:rPr>
          <w:shd w:fill="EEEEEE" w:val="clear"/>
          <w:lang w:val="de-DE"/>
        </w:rPr>
        <w:t>Informationssicherheitsbeauftragter</w:t>
      </w:r>
      <w:bookmarkEnd w:id="143"/>
      <w:bookmarkEnd w:id="145"/>
      <w:bookmarkEnd w:id="146"/>
      <w:bookmarkEnd w:id="147"/>
      <w:bookmarkEnd w:id="148"/>
      <w:bookmarkEnd w:id="149"/>
    </w:p>
    <w:p>
      <w:pPr>
        <w:pStyle w:val="Normal"/>
        <w:rPr>
          <w:shd w:fill="EEEEEE" w:val="clear"/>
        </w:rPr>
      </w:pPr>
      <w:r>
        <w:rPr>
          <w:shd w:fill="EEEEEE" w:val="clear"/>
          <w:lang w:val="de-DE"/>
        </w:rPr>
        <w:t>Das Topmanagement MUSS einen Informationssicherheitsbeauftragten (ISB) bestellen.</w:t>
      </w:r>
    </w:p>
    <w:p>
      <w:pPr>
        <w:pStyle w:val="Normal"/>
        <w:rPr>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shd w:fill="EEEEEE" w:val="clear"/>
        </w:rPr>
      </w:pPr>
      <w:r>
        <w:rPr>
          <w:shd w:fill="EEEEEE" w:val="clear"/>
          <w:lang w:val="de-DE"/>
        </w:rPr>
        <w:t>Hierfür MUSS er insbesondere die folgenden Verantwortlichkeiten wahrnehmen:</w:t>
      </w:r>
    </w:p>
    <w:p>
      <w:pPr>
        <w:pStyle w:val="Liste1"/>
        <w:numPr>
          <w:ilvl w:val="0"/>
          <w:numId w:val="31"/>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31"/>
        </w:numPr>
        <w:spacing w:lineRule="auto" w:line="250"/>
        <w:rPr/>
      </w:pPr>
      <w:r>
        <w:rPr>
          <w:rStyle w:val="Strong"/>
          <w:b w:val="false"/>
          <w:bCs w:val="false"/>
          <w:shd w:fill="EEEEEE" w:val="clear"/>
          <w:lang w:val="de-DE"/>
        </w:rPr>
        <w:t>Kontinuierliche Verbesserung der Informationssicherheit</w:t>
      </w:r>
    </w:p>
    <w:p>
      <w:pPr>
        <w:pStyle w:val="Liste1"/>
        <w:numPr>
          <w:ilvl w:val="0"/>
          <w:numId w:val="31"/>
        </w:numPr>
        <w:spacing w:lineRule="auto" w:line="250"/>
        <w:rPr/>
      </w:pPr>
      <w:r>
        <w:rPr>
          <w:rStyle w:val="Strong"/>
          <w:b w:val="false"/>
          <w:bCs w:val="false"/>
          <w:shd w:fill="EEEEEE" w:val="clear"/>
          <w:lang w:val="de-DE"/>
        </w:rPr>
        <w:t>Anpassung der Informationssicherheit an neue Bedrohungen, neue Schwachstellen und an neue gesetzliche, betriebliche und vertragliche Anforderungen</w:t>
      </w:r>
    </w:p>
    <w:p>
      <w:pPr>
        <w:pStyle w:val="Liste1"/>
        <w:numPr>
          <w:ilvl w:val="0"/>
          <w:numId w:val="31"/>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shd w:fill="EEEEEE" w:val="clear"/>
        </w:rPr>
      </w:pPr>
      <w:r>
        <w:rPr>
          <w:i/>
          <w:shd w:fill="EEEEEE" w:val="clear"/>
          <w:lang w:val="de-DE"/>
        </w:rPr>
        <w:t>Es SOLLTE sichergestellt werden, dass die Verantwortlichkeiten des ISB auch in seiner Abwesenheit wahrgenommen werden.</w:t>
      </w:r>
    </w:p>
    <w:p>
      <w:pPr>
        <w:pStyle w:val="Normal"/>
        <w:rPr>
          <w:shd w:fill="EEEEEE" w:val="clear"/>
        </w:rPr>
      </w:pPr>
      <w:r>
        <w:rPr>
          <w:i/>
          <w:shd w:fill="EEEEEE" w:val="clear"/>
          <w:lang w:val="de-DE"/>
        </w:rPr>
        <w:t>Dies KANN z. B. durch eine Stellvertreterregelung umgesetzt werden.</w:t>
      </w:r>
    </w:p>
    <w:p>
      <w:pPr>
        <w:pStyle w:val="Heading2"/>
        <w:ind w:hanging="0" w:left="0"/>
        <w:rPr>
          <w:shd w:fill="EEEEEE" w:val="clear"/>
        </w:rPr>
      </w:pPr>
      <w:bookmarkStart w:id="150" w:name="__RefHeading___Toc31938_2021121348"/>
      <w:bookmarkStart w:id="151" w:name="_Toc178761318"/>
      <w:bookmarkStart w:id="152" w:name="rl%252525252525252525252525252525252525d"/>
      <w:bookmarkStart w:id="153" w:name="_Toc187327039"/>
      <w:bookmarkStart w:id="154" w:name="_Ref184204363"/>
      <w:bookmarkStart w:id="155" w:name="_Ref184200602"/>
      <w:bookmarkStart w:id="156" w:name="_Toc178588054"/>
      <w:bookmarkStart w:id="157" w:name="_Toc531165023"/>
      <w:bookmarkStart w:id="158" w:name="_Toc530662888"/>
      <w:bookmarkStart w:id="159" w:name="informationssicherheitsteam_ist"/>
      <w:bookmarkEnd w:id="150"/>
      <w:bookmarkEnd w:id="152"/>
      <w:r>
        <w:rPr>
          <w:shd w:fill="EEEEEE" w:val="clear"/>
          <w:lang w:val="de-DE"/>
        </w:rPr>
        <w:t>Informationssicherheitsteam</w:t>
      </w:r>
      <w:bookmarkEnd w:id="151"/>
      <w:bookmarkEnd w:id="153"/>
      <w:bookmarkEnd w:id="154"/>
      <w:bookmarkEnd w:id="155"/>
      <w:bookmarkEnd w:id="156"/>
      <w:bookmarkEnd w:id="157"/>
      <w:bookmarkEnd w:id="158"/>
      <w:bookmarkEnd w:id="159"/>
    </w:p>
    <w:p>
      <w:pPr>
        <w:pStyle w:val="Normal"/>
        <w:rPr>
          <w:shd w:fill="EEEEEE" w:val="clear"/>
        </w:rPr>
      </w:pPr>
      <w:r>
        <w:rPr>
          <w:shd w:fill="EEEEEE" w:val="clear"/>
          <w:lang w:val="de-DE"/>
        </w:rPr>
        <w:t>Das Topmanagement MUSS ein Informationssicherheitsteam (IST) 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279"/>
        </w:numPr>
        <w:spacing w:lineRule="auto" w:line="250"/>
        <w:rPr>
          <w:shd w:fill="EEEEEE" w:val="clear"/>
        </w:rPr>
      </w:pPr>
      <w:r>
        <w:rPr>
          <w:shd w:fill="EEEEEE" w:val="clear"/>
          <w:lang w:val="de-DE"/>
        </w:rPr>
        <w:t>Topmanagement</w:t>
      </w:r>
    </w:p>
    <w:p>
      <w:pPr>
        <w:pStyle w:val="Liste1"/>
        <w:numPr>
          <w:ilvl w:val="0"/>
          <w:numId w:val="280"/>
        </w:numPr>
        <w:spacing w:lineRule="auto" w:line="250"/>
        <w:rPr>
          <w:shd w:fill="EEEEEE" w:val="clear"/>
        </w:rPr>
      </w:pPr>
      <w:r>
        <w:rPr>
          <w:shd w:fill="EEEEEE" w:val="clear"/>
          <w:lang w:val="de-DE"/>
        </w:rPr>
        <w:t>ISB</w:t>
      </w:r>
    </w:p>
    <w:p>
      <w:pPr>
        <w:pStyle w:val="Liste1"/>
        <w:numPr>
          <w:ilvl w:val="0"/>
          <w:numId w:val="281"/>
        </w:numPr>
        <w:spacing w:lineRule="auto" w:line="250"/>
        <w:rPr>
          <w:shd w:fill="EEEEEE" w:val="clear"/>
        </w:rPr>
      </w:pPr>
      <w:r>
        <w:rPr>
          <w:shd w:fill="EEEEEE" w:val="clear"/>
          <w:lang w:val="de-DE"/>
        </w:rPr>
        <w:t>IT-Verantwortliche</w:t>
      </w:r>
    </w:p>
    <w:p>
      <w:pPr>
        <w:pStyle w:val="Liste1"/>
        <w:numPr>
          <w:ilvl w:val="0"/>
          <w:numId w:val="282"/>
        </w:numPr>
        <w:spacing w:lineRule="auto" w:line="250"/>
        <w:rPr>
          <w:shd w:fill="EEEEEE" w:val="clear"/>
        </w:rPr>
      </w:pPr>
      <w:r>
        <w:rPr>
          <w:shd w:fill="EEEEEE" w:val="clear"/>
          <w:lang w:val="de-DE"/>
        </w:rPr>
        <w:t>Mitarbeiter (z. B. über Betriebsrat)</w:t>
      </w:r>
    </w:p>
    <w:p>
      <w:pPr>
        <w:pStyle w:val="Liste1"/>
        <w:numPr>
          <w:ilvl w:val="0"/>
          <w:numId w:val="283"/>
        </w:numPr>
        <w:spacing w:lineRule="auto" w:line="250"/>
        <w:rPr>
          <w:shd w:fill="EEEEEE" w:val="clear"/>
        </w:rPr>
      </w:pPr>
      <w:r>
        <w:rPr>
          <w:shd w:fill="EEEEEE" w:val="clear"/>
          <w:lang w:val="de-DE"/>
        </w:rPr>
        <w:t>Verantwortliche für den Datenschutz (z. B. Datenschutzmanager und/oder Daten</w:t>
        <w:softHyphen/>
        <w:t>schutzbeauftragter)</w:t>
      </w:r>
      <w:r>
        <w:br w:type="page"/>
      </w:r>
    </w:p>
    <w:p>
      <w:pPr>
        <w:pStyle w:val="Normal"/>
        <w:spacing w:before="0" w:after="240"/>
        <w:rPr>
          <w:shd w:fill="EEEEEE" w:val="clear"/>
        </w:rPr>
      </w:pPr>
      <w:r>
        <w:rPr>
          <w:shd w:fill="EEEEEE" w:val="clear"/>
          <w:lang w:val="de-DE"/>
        </w:rPr>
        <w:t>Das Team MUSS den ISB unterstützen, insbesondere bei den folgenden Tätigkeiten:</w:t>
      </w:r>
    </w:p>
    <w:p>
      <w:pPr>
        <w:pStyle w:val="Liste1"/>
        <w:numPr>
          <w:ilvl w:val="0"/>
          <w:numId w:val="284"/>
        </w:numPr>
        <w:spacing w:lineRule="auto" w:line="250"/>
        <w:rPr>
          <w:shd w:fill="EEEEEE" w:val="clear"/>
        </w:rPr>
      </w:pPr>
      <w:r>
        <w:rPr>
          <w:shd w:fill="EEEEEE" w:val="clear"/>
          <w:lang w:val="de-DE"/>
        </w:rPr>
        <w:t>Erkennen und Bewerten neuer Bedrohungen und Schwachstellen</w:t>
      </w:r>
    </w:p>
    <w:p>
      <w:pPr>
        <w:pStyle w:val="Liste1"/>
        <w:numPr>
          <w:ilvl w:val="0"/>
          <w:numId w:val="285"/>
        </w:numPr>
        <w:spacing w:lineRule="auto" w:line="250"/>
        <w:rPr>
          <w:shd w:fill="EEEEEE" w:val="clear"/>
        </w:rPr>
      </w:pPr>
      <w:r>
        <w:rPr>
          <w:shd w:fill="EEEEEE" w:val="clear"/>
          <w:lang w:val="de-DE"/>
        </w:rPr>
        <w:t>Entwickeln und Bewerten von Maßnahmen zur Informationssicherheit</w:t>
      </w:r>
    </w:p>
    <w:p>
      <w:pPr>
        <w:pStyle w:val="Liste1"/>
        <w:numPr>
          <w:ilvl w:val="0"/>
          <w:numId w:val="286"/>
        </w:numPr>
        <w:spacing w:lineRule="auto" w:line="250"/>
        <w:rPr>
          <w:shd w:fill="EEEEEE" w:val="clear"/>
        </w:rPr>
      </w:pPr>
      <w:r>
        <w:rPr>
          <w:shd w:fill="EEEEEE" w:val="clear"/>
          <w:lang w:val="de-DE"/>
        </w:rPr>
        <w:t>Organisationsweites Steuern und Koordinieren der Maßnahmen zur Informations</w:t>
        <w:softHyphen/>
        <w:t>sicherheit</w:t>
      </w:r>
    </w:p>
    <w:p>
      <w:pPr>
        <w:pStyle w:val="Heading2"/>
        <w:ind w:hanging="0" w:left="0"/>
        <w:rPr>
          <w:shd w:fill="EEEEEE" w:val="clear"/>
        </w:rPr>
      </w:pPr>
      <w:bookmarkStart w:id="160" w:name="__RefHeading___Toc31940_2021121348"/>
      <w:bookmarkStart w:id="161" w:name="_Toc178761319"/>
      <w:bookmarkStart w:id="162" w:name="_Toc530662889"/>
      <w:bookmarkStart w:id="163" w:name="it-verantwortliche_del_rdel"/>
      <w:bookmarkStart w:id="164" w:name="_Toc531165024"/>
      <w:bookmarkStart w:id="165" w:name="_Toc187327040"/>
      <w:bookmarkStart w:id="166" w:name="_Toc178588055"/>
      <w:bookmarkStart w:id="167" w:name="rl%252525252525252525252525252525252525e"/>
      <w:bookmarkEnd w:id="160"/>
      <w:bookmarkEnd w:id="167"/>
      <w:r>
        <w:rPr>
          <w:shd w:fill="EEEEEE" w:val="clear"/>
          <w:lang w:val="de-DE"/>
        </w:rPr>
        <w:t>IT-Verantwortliche</w:t>
      </w:r>
      <w:bookmarkEnd w:id="161"/>
      <w:bookmarkEnd w:id="162"/>
      <w:bookmarkEnd w:id="163"/>
      <w:bookmarkEnd w:id="164"/>
      <w:bookmarkEnd w:id="165"/>
      <w:bookmarkEnd w:id="166"/>
    </w:p>
    <w:p>
      <w:pPr>
        <w:pStyle w:val="Normal"/>
        <w:rPr>
          <w:shd w:fill="EEEEEE" w:val="clear"/>
        </w:rPr>
      </w:pPr>
      <w:r>
        <w:rPr>
          <w:shd w:fill="EEEEEE" w:val="clear"/>
          <w:lang w:val="de-DE"/>
        </w:rPr>
        <w:t>Die Aufgaben eines IT-Verantwortlichen MÜSSEN vom Topmanagement mindestens einem Mitarbeiter zugewiesen werden.</w:t>
      </w:r>
    </w:p>
    <w:p>
      <w:pPr>
        <w:pStyle w:val="Normal"/>
        <w:rPr>
          <w:shd w:fill="EEEEEE" w:val="clear"/>
        </w:rPr>
      </w:pPr>
      <w:r>
        <w:rPr>
          <w:shd w:fill="EEEEEE" w:val="clear"/>
          <w:lang w:val="de-DE"/>
        </w:rPr>
        <w:t>IT-Verantwortliche MÜSSEN folgende Aufgaben wahrnehmen:</w:t>
      </w:r>
    </w:p>
    <w:p>
      <w:pPr>
        <w:pStyle w:val="Liste1"/>
        <w:numPr>
          <w:ilvl w:val="0"/>
          <w:numId w:val="287"/>
        </w:numPr>
        <w:spacing w:lineRule="auto" w:line="250"/>
        <w:rPr>
          <w:shd w:fill="EEEEEE" w:val="clear"/>
        </w:rPr>
      </w:pPr>
      <w:r>
        <w:rPr>
          <w:shd w:fill="EEEEEE" w:val="clear"/>
          <w:lang w:val="de-DE"/>
        </w:rPr>
        <w:t>Umsetzen der IS-Richtlinien in ihrem Verantwortungsbereich durch entsprechende technische und organisatorische Maßnahmen</w:t>
      </w:r>
    </w:p>
    <w:p>
      <w:pPr>
        <w:pStyle w:val="Liste1"/>
        <w:numPr>
          <w:ilvl w:val="0"/>
          <w:numId w:val="288"/>
        </w:numPr>
        <w:spacing w:lineRule="auto" w:line="250"/>
        <w:rPr>
          <w:shd w:fill="EEEEEE" w:val="clear"/>
        </w:rPr>
      </w:pPr>
      <w:r>
        <w:rPr>
          <w:shd w:fill="EEEEEE" w:val="clear"/>
          <w:lang w:val="de-DE"/>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shd w:fill="EEEEEE" w:val="clear"/>
        </w:rPr>
      </w:pPr>
      <w:bookmarkStart w:id="168" w:name="__RefHeading___Toc31942_2021121348"/>
      <w:bookmarkStart w:id="169" w:name="administratoren"/>
      <w:bookmarkStart w:id="170" w:name="_Toc530662890"/>
      <w:bookmarkStart w:id="171" w:name="_Toc178588056"/>
      <w:bookmarkStart w:id="172" w:name="_Toc178761320"/>
      <w:bookmarkStart w:id="173" w:name="_Toc531165025"/>
      <w:bookmarkStart w:id="174" w:name="_Toc187327041"/>
      <w:bookmarkStart w:id="175" w:name="rl%252525252525252525252525252525252525f"/>
      <w:bookmarkEnd w:id="168"/>
      <w:bookmarkEnd w:id="175"/>
      <w:r>
        <w:rPr>
          <w:shd w:fill="EEEEEE" w:val="clear"/>
          <w:lang w:val="de-DE"/>
        </w:rPr>
        <w:t>Administratoren</w:t>
      </w:r>
      <w:bookmarkEnd w:id="169"/>
      <w:bookmarkEnd w:id="170"/>
      <w:bookmarkEnd w:id="171"/>
      <w:bookmarkEnd w:id="172"/>
      <w:bookmarkEnd w:id="173"/>
      <w:bookmarkEnd w:id="174"/>
    </w:p>
    <w:p>
      <w:pPr>
        <w:pStyle w:val="Normal"/>
        <w:rPr>
          <w:shd w:fill="EEEEEE" w:val="clear"/>
        </w:rPr>
      </w:pPr>
      <w:r>
        <w:rPr>
          <w:shd w:fill="EEEEEE" w:val="clear"/>
          <w:lang w:val="de-DE"/>
        </w:rPr>
        <w:t>Die Verantwortlichkeiten eines Administrators MÜSSEN mindestens einem Mitarbeiter zugewiesen werden.</w:t>
      </w:r>
    </w:p>
    <w:p>
      <w:pPr>
        <w:pStyle w:val="Normal"/>
        <w:ind w:hanging="0" w:left="0"/>
        <w:rPr>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shd w:fill="EEEEEE" w:val="clear"/>
        </w:rPr>
      </w:pPr>
      <w:bookmarkStart w:id="176" w:name="__RefHeading___Toc31944_2021121348"/>
      <w:bookmarkStart w:id="177" w:name="_Toc178761321"/>
      <w:bookmarkStart w:id="178" w:name="_Toc178588057"/>
      <w:bookmarkStart w:id="179" w:name="_Toc531165026"/>
      <w:bookmarkStart w:id="180" w:name="_Toc187327042"/>
      <w:bookmarkStart w:id="181" w:name="_Toc530662891"/>
      <w:bookmarkStart w:id="182" w:name="rl%252525252525252525252525252525252525g"/>
      <w:bookmarkStart w:id="183" w:name="vorgesetzte_del_mit_personalverantwortun"/>
      <w:bookmarkEnd w:id="176"/>
      <w:bookmarkEnd w:id="182"/>
      <w:r>
        <w:rPr>
          <w:shd w:fill="EEEEEE" w:val="clear"/>
          <w:lang w:val="de-DE"/>
        </w:rPr>
        <w:t>Vorgesetzte</w:t>
      </w:r>
      <w:bookmarkEnd w:id="177"/>
      <w:bookmarkEnd w:id="178"/>
      <w:bookmarkEnd w:id="179"/>
      <w:bookmarkEnd w:id="180"/>
      <w:bookmarkEnd w:id="181"/>
      <w:bookmarkEnd w:id="183"/>
    </w:p>
    <w:p>
      <w:pPr>
        <w:pStyle w:val="Normal"/>
        <w:ind w:hanging="0" w:left="0"/>
        <w:rPr>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shd w:fill="EEEEEE" w:val="clear"/>
        </w:rPr>
      </w:pPr>
      <w:bookmarkStart w:id="184" w:name="__RefHeading___Toc31946_2021121348"/>
      <w:bookmarkStart w:id="185" w:name="_Toc531165027"/>
      <w:bookmarkStart w:id="186" w:name="_Toc178588058"/>
      <w:bookmarkStart w:id="187" w:name="_Toc187327043"/>
      <w:bookmarkStart w:id="188" w:name="del_personaldel_mitarbeiter"/>
      <w:bookmarkStart w:id="189" w:name="_Toc178761322"/>
      <w:bookmarkStart w:id="190" w:name="_Toc530662892"/>
      <w:bookmarkStart w:id="191" w:name="rl%252525252525252525252525252525252525h"/>
      <w:bookmarkEnd w:id="184"/>
      <w:bookmarkEnd w:id="191"/>
      <w:r>
        <w:rPr>
          <w:shd w:fill="EEEEEE" w:val="clear"/>
          <w:lang w:val="de-DE"/>
        </w:rPr>
        <w:t>Mitarbeiter</w:t>
      </w:r>
      <w:bookmarkEnd w:id="185"/>
      <w:bookmarkEnd w:id="186"/>
      <w:bookmarkEnd w:id="187"/>
      <w:bookmarkEnd w:id="188"/>
      <w:bookmarkEnd w:id="189"/>
      <w:bookmarkEnd w:id="190"/>
    </w:p>
    <w:p>
      <w:pPr>
        <w:pStyle w:val="Normal"/>
        <w:rPr>
          <w:shd w:fill="EEEEEE" w:val="clear"/>
        </w:rPr>
      </w:pPr>
      <w:r>
        <w:rPr>
          <w:shd w:fill="EEEEEE" w:val="clear"/>
          <w:lang w:val="de-DE"/>
        </w:rPr>
        <w:t>Mitarbeiter MÜSSEN folgende Aufgaben wahrnehmen:</w:t>
      </w:r>
    </w:p>
    <w:p>
      <w:pPr>
        <w:pStyle w:val="Liste1"/>
        <w:numPr>
          <w:ilvl w:val="0"/>
          <w:numId w:val="289"/>
        </w:numPr>
        <w:spacing w:lineRule="auto" w:line="250"/>
        <w:rPr>
          <w:shd w:fill="EEEEEE" w:val="clear"/>
        </w:rPr>
      </w:pPr>
      <w:r>
        <w:rPr>
          <w:shd w:fill="EEEEEE" w:val="clear"/>
          <w:lang w:val="de-DE"/>
        </w:rPr>
        <w:t>Einhalten und Umsetzen aller sie oder ihre Tätigkeit betreffenden Maßnahmen zur Informationssicherheit</w:t>
      </w:r>
    </w:p>
    <w:p>
      <w:pPr>
        <w:pStyle w:val="Liste1"/>
        <w:numPr>
          <w:ilvl w:val="0"/>
          <w:numId w:val="290"/>
        </w:numPr>
        <w:spacing w:lineRule="auto" w:line="250"/>
        <w:rPr>
          <w:shd w:fill="EEEEEE" w:val="clear"/>
        </w:rPr>
      </w:pPr>
      <w:r>
        <w:rPr>
          <w:shd w:fill="EEEEEE" w:val="clear"/>
          <w:lang w:val="de-DE"/>
        </w:rPr>
        <w:t>Melden von Sicherheitsvorfällen</w:t>
      </w:r>
    </w:p>
    <w:p>
      <w:pPr>
        <w:pStyle w:val="Heading2"/>
        <w:ind w:hanging="0" w:left="0"/>
        <w:rPr>
          <w:shd w:fill="EEEEEE" w:val="clear"/>
        </w:rPr>
      </w:pPr>
      <w:bookmarkStart w:id="192" w:name="__RefHeading___Toc31948_2021121348"/>
      <w:bookmarkStart w:id="193" w:name="projektverantwortliche"/>
      <w:bookmarkStart w:id="194" w:name="_Toc178761323"/>
      <w:bookmarkStart w:id="195" w:name="_Toc178588059"/>
      <w:bookmarkStart w:id="196" w:name="_Toc531165028"/>
      <w:bookmarkStart w:id="197" w:name="_Toc530662893"/>
      <w:bookmarkStart w:id="198" w:name="_Toc187327044"/>
      <w:bookmarkStart w:id="199" w:name="rl%252525252525252525252525252525252525i"/>
      <w:bookmarkEnd w:id="192"/>
      <w:bookmarkEnd w:id="199"/>
      <w:r>
        <w:rPr>
          <w:shd w:fill="EEEEEE" w:val="clear"/>
          <w:lang w:val="de-DE"/>
        </w:rPr>
        <w:t>Projektverantwortliche</w:t>
      </w:r>
      <w:bookmarkEnd w:id="193"/>
      <w:bookmarkEnd w:id="194"/>
      <w:bookmarkEnd w:id="195"/>
      <w:bookmarkEnd w:id="196"/>
      <w:bookmarkEnd w:id="197"/>
      <w:bookmarkEnd w:id="198"/>
    </w:p>
    <w:p>
      <w:pPr>
        <w:pStyle w:val="Normal"/>
        <w:rPr>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Normal"/>
        <w:rPr/>
      </w:pPr>
      <w:commentRangeStart w:id="12"/>
      <w:r>
        <w:rPr>
          <w:rStyle w:val="StrongEmphasis"/>
          <w:b w:val="false"/>
          <w:bCs w:val="false"/>
        </w:rPr>
        <w:t>Insbesondere MÜSSEN sie die Sicherheitsanforderungen an IT-Infrastrukturen, IT-Ressourcen und Prozesse, die im Zuge eines Projekts erstellt oder angepasst werden mit den beteiligten Parteien abstimmen (wie z.B. "Security by Design", "Security by Default", Support und Update-Management).</w:t>
      </w:r>
      <w:commentRangeEnd w:id="12"/>
      <w:r>
        <w:commentReference w:id="12"/>
      </w:r>
      <w:r>
        <w:rPr/>
      </w:r>
    </w:p>
    <w:p>
      <w:pPr>
        <w:pStyle w:val="Heading2"/>
        <w:ind w:hanging="0" w:left="0"/>
        <w:rPr>
          <w:shd w:fill="EEEEEE" w:val="clear"/>
        </w:rPr>
      </w:pPr>
      <w:bookmarkStart w:id="200" w:name="__RefHeading___Toc31950_2021121348"/>
      <w:bookmarkStart w:id="201" w:name="_Toc178761324"/>
      <w:bookmarkStart w:id="202" w:name="del_lieferanten_und_sonstige_auftragnehm"/>
      <w:bookmarkStart w:id="203" w:name="_Toc187327045"/>
      <w:bookmarkStart w:id="204" w:name="_Toc178588060"/>
      <w:bookmarkStart w:id="205" w:name="_Toc531165029"/>
      <w:bookmarkStart w:id="206" w:name="_Toc530662894"/>
      <w:bookmarkStart w:id="207" w:name="rl%252525252525252525252525252525252525j"/>
      <w:bookmarkEnd w:id="200"/>
      <w:bookmarkEnd w:id="207"/>
      <w:r>
        <w:rPr>
          <w:shd w:fill="EEEEEE" w:val="clear"/>
          <w:lang w:val="de-DE"/>
        </w:rPr>
        <w:t>Externe</w:t>
      </w:r>
      <w:bookmarkEnd w:id="201"/>
      <w:bookmarkEnd w:id="202"/>
      <w:bookmarkEnd w:id="204"/>
      <w:bookmarkEnd w:id="205"/>
      <w:bookmarkEnd w:id="206"/>
      <w:r>
        <w:rPr>
          <w:shd w:fill="EEEEEE" w:val="clear"/>
          <w:lang w:val="de-DE"/>
        </w:rPr>
        <w:t xml:space="preserve"> Personen</w:t>
      </w:r>
      <w:bookmarkEnd w:id="203"/>
    </w:p>
    <w:p>
      <w:pPr>
        <w:pStyle w:val="Normal"/>
        <w:rPr>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technologie (IT) der Organisation nutzen.</w:t>
      </w:r>
    </w:p>
    <w:p>
      <w:pPr>
        <w:pStyle w:val="Heading1"/>
        <w:ind w:hanging="0" w:left="0"/>
        <w:rPr>
          <w:shd w:fill="EEEEEE" w:val="clear"/>
        </w:rPr>
      </w:pPr>
      <w:bookmarkStart w:id="208" w:name="__RefHeading___Toc31952_2021121348"/>
      <w:bookmarkStart w:id="209" w:name="_Toc178761325"/>
      <w:bookmarkStart w:id="210" w:name="_Toc530662895"/>
      <w:bookmarkStart w:id="211" w:name="_Toc531165030"/>
      <w:bookmarkStart w:id="212" w:name="_Toc187327046"/>
      <w:bookmarkStart w:id="213" w:name="_Toc178588061"/>
      <w:bookmarkStart w:id="214" w:name="_Ref184200681"/>
      <w:bookmarkStart w:id="215" w:name="_Ref184204380"/>
      <w:bookmarkStart w:id="216" w:name="leitlinie_zur_informationssicherheit_is-"/>
      <w:bookmarkStart w:id="217" w:name="rl%252525252525252525252525252525252525k"/>
      <w:bookmarkEnd w:id="208"/>
      <w:bookmarkEnd w:id="217"/>
      <w:r>
        <w:rPr>
          <w:shd w:fill="EEEEEE" w:val="clear"/>
          <w:lang w:val="de-DE"/>
        </w:rPr>
        <w:t>Leitlinie zur Informationssicherheit (IS-Leitlinie)</w:t>
      </w:r>
      <w:bookmarkEnd w:id="209"/>
      <w:bookmarkEnd w:id="210"/>
      <w:bookmarkEnd w:id="211"/>
      <w:bookmarkEnd w:id="212"/>
      <w:bookmarkEnd w:id="213"/>
      <w:bookmarkEnd w:id="214"/>
      <w:bookmarkEnd w:id="215"/>
      <w:bookmarkEnd w:id="216"/>
    </w:p>
    <w:p>
      <w:pPr>
        <w:pStyle w:val="Heading2"/>
        <w:ind w:hanging="0" w:left="0"/>
        <w:rPr>
          <w:shd w:fill="EEEEEE" w:val="clear"/>
        </w:rPr>
      </w:pPr>
      <w:bookmarkStart w:id="218" w:name="__RefHeading___Toc31954_2021121348"/>
      <w:bookmarkStart w:id="219" w:name="_Toc178761326"/>
      <w:bookmarkStart w:id="220" w:name="_Toc187327047"/>
      <w:bookmarkEnd w:id="218"/>
      <w:r>
        <w:rPr>
          <w:shd w:fill="EEEEEE" w:val="clear"/>
          <w:lang w:val="de-DE"/>
        </w:rPr>
        <w:t>Grundlagen</w:t>
      </w:r>
      <w:bookmarkEnd w:id="219"/>
      <w:bookmarkEnd w:id="220"/>
      <w:r>
        <w:rPr>
          <w:shd w:fill="EEEEEE" w:val="clear"/>
          <w:lang w:val="de-DE"/>
        </w:rPr>
        <w:t xml:space="preserve"> </w:t>
      </w:r>
    </w:p>
    <w:p>
      <w:pPr>
        <w:pStyle w:val="Normal"/>
        <w:rPr>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shd w:fill="EEEEEE" w:val="clear"/>
        </w:rPr>
      </w:pPr>
      <w:bookmarkStart w:id="221" w:name="__RefHeading___Toc31956_2021121348"/>
      <w:bookmarkStart w:id="222" w:name="_Toc178761327"/>
      <w:bookmarkStart w:id="223" w:name="_Toc530662896"/>
      <w:bookmarkStart w:id="224" w:name="rl%252525252525252525252525252525252525l"/>
      <w:bookmarkStart w:id="225" w:name="_Toc187327048"/>
      <w:bookmarkStart w:id="226" w:name="allgemeine_anforderungen"/>
      <w:bookmarkStart w:id="227" w:name="_Toc531165031"/>
      <w:bookmarkStart w:id="228" w:name="_Ref184204394"/>
      <w:bookmarkStart w:id="229" w:name="_Toc178588062"/>
      <w:bookmarkEnd w:id="221"/>
      <w:bookmarkEnd w:id="224"/>
      <w:r>
        <w:rPr>
          <w:shd w:fill="EEEEEE" w:val="clear"/>
          <w:lang w:val="de-DE"/>
        </w:rPr>
        <w:t>Allgemeine Anforderungen</w:t>
      </w:r>
      <w:bookmarkEnd w:id="222"/>
      <w:bookmarkEnd w:id="223"/>
      <w:bookmarkEnd w:id="225"/>
      <w:bookmarkEnd w:id="226"/>
      <w:bookmarkEnd w:id="227"/>
      <w:bookmarkEnd w:id="228"/>
      <w:bookmarkEnd w:id="229"/>
    </w:p>
    <w:p>
      <w:pPr>
        <w:pStyle w:val="Normal"/>
        <w:rPr>
          <w:shd w:fill="EEEEEE" w:val="clear"/>
        </w:rPr>
      </w:pPr>
      <w:r>
        <w:rPr>
          <w:shd w:fill="EEEEEE" w:val="clear"/>
          <w:lang w:val="de-DE"/>
        </w:rPr>
        <w:t>Die Leitlinie MUSS vom Topmanagement erstellt und in Kraft gesetzt werden.</w:t>
      </w:r>
    </w:p>
    <w:p>
      <w:pPr>
        <w:pStyle w:val="Normal"/>
        <w:rPr>
          <w:shd w:fill="EEEEEE" w:val="clear"/>
        </w:rPr>
      </w:pPr>
      <w:r>
        <w:rPr>
          <w:shd w:fill="EEEEEE" w:val="clear"/>
          <w:lang w:val="de-DE"/>
        </w:rPr>
        <w:t>Das Topmanagement MUSS die Leitlinie jährlich auf Aktualität prüfen und bei Bedarf aktualisieren.</w:t>
      </w:r>
    </w:p>
    <w:p>
      <w:pPr>
        <w:pStyle w:val="Normal"/>
        <w:ind w:hanging="0" w:left="0"/>
        <w:rPr>
          <w:shd w:fill="EEEEEE" w:val="clear"/>
        </w:rPr>
      </w:pPr>
      <w:r>
        <w:rPr>
          <w:shd w:fill="EEEEEE" w:val="clear"/>
          <w:lang w:val="de-DE"/>
        </w:rPr>
        <w:t xml:space="preserve">Die Leitlinie MUSS initial und nach jeder Aktualisierung zeitnah bekannt gegeben werden und in der jeweils aktuellen </w:t>
      </w:r>
      <w:r>
        <w:rPr/>
        <w:t>Fassung</w:t>
      </w:r>
      <w:r>
        <w:rPr>
          <w:shd w:fill="EEEEEE" w:val="clear"/>
          <w:lang w:val="de-DE"/>
        </w:rPr>
        <w:t xml:space="preserve"> allen Betroffenen zur Verfügung stehen.</w:t>
      </w:r>
    </w:p>
    <w:p>
      <w:pPr>
        <w:pStyle w:val="Heading2"/>
        <w:ind w:hanging="0" w:left="0"/>
        <w:rPr>
          <w:shd w:fill="EEEEEE" w:val="clear"/>
        </w:rPr>
      </w:pPr>
      <w:bookmarkStart w:id="230" w:name="__RefHeading___Toc31958_2021121348"/>
      <w:bookmarkStart w:id="231" w:name="inhalte"/>
      <w:bookmarkStart w:id="232" w:name="_Toc178588063"/>
      <w:bookmarkStart w:id="233" w:name="_Toc530662897"/>
      <w:bookmarkStart w:id="234" w:name="_Toc187327049"/>
      <w:bookmarkStart w:id="235" w:name="rl%252525252525252525252525252525252525m"/>
      <w:bookmarkStart w:id="236" w:name="_Toc531165032"/>
      <w:bookmarkStart w:id="237" w:name="_Toc178761328"/>
      <w:bookmarkEnd w:id="230"/>
      <w:bookmarkEnd w:id="235"/>
      <w:r>
        <w:rPr>
          <w:shd w:fill="EEEEEE" w:val="clear"/>
          <w:lang w:val="de-DE"/>
        </w:rPr>
        <w:t>Inhalte</w:t>
      </w:r>
      <w:bookmarkEnd w:id="231"/>
      <w:bookmarkEnd w:id="232"/>
      <w:bookmarkEnd w:id="233"/>
      <w:bookmarkEnd w:id="234"/>
      <w:bookmarkEnd w:id="236"/>
      <w:bookmarkEnd w:id="237"/>
    </w:p>
    <w:p>
      <w:pPr>
        <w:pStyle w:val="Normal"/>
        <w:rPr>
          <w:shd w:fill="EEEEEE" w:val="clear"/>
        </w:rPr>
      </w:pPr>
      <w:r>
        <w:rPr>
          <w:shd w:fill="EEEEEE" w:val="clear"/>
          <w:lang w:val="de-DE"/>
        </w:rPr>
        <w:t xml:space="preserve">Die Leitlinie MUSS folgende Anforderungen erfüllen: </w:t>
      </w:r>
    </w:p>
    <w:p>
      <w:pPr>
        <w:pStyle w:val="Liste1"/>
        <w:numPr>
          <w:ilvl w:val="0"/>
          <w:numId w:val="291"/>
        </w:numPr>
        <w:spacing w:lineRule="auto" w:line="250"/>
        <w:rPr>
          <w:shd w:fill="EEEEEE" w:val="clear"/>
        </w:rPr>
      </w:pPr>
      <w:r>
        <w:rPr>
          <w:spacing w:val="-3"/>
          <w:shd w:fill="EEEEEE" w:val="clear"/>
          <w:lang w:val="de-DE"/>
        </w:rPr>
        <w:t>Sie definiert die Ziele und den Stellenwert der Informationssicherheit in der Organisation.</w:t>
      </w:r>
    </w:p>
    <w:p>
      <w:pPr>
        <w:pStyle w:val="Liste1"/>
        <w:numPr>
          <w:ilvl w:val="0"/>
          <w:numId w:val="292"/>
        </w:numPr>
        <w:spacing w:lineRule="auto" w:line="250"/>
        <w:rPr>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und weist auf deren Aufgaben hin.</w:t>
      </w:r>
    </w:p>
    <w:p>
      <w:pPr>
        <w:pStyle w:val="Normal"/>
        <w:rPr/>
      </w:pPr>
      <w:r>
        <w:rPr>
          <w:rStyle w:val="Emphasis"/>
          <w:shd w:fill="EEEEEE" w:val="clear"/>
          <w:lang w:val="de-DE"/>
        </w:rPr>
        <w:t>Die Leitlinie SOLLTE auf die Konsequenzen ihrer Nichtbeachtung hinweisen.</w:t>
      </w:r>
      <w:r>
        <w:rPr>
          <w:rStyle w:val="Emphasis"/>
          <w:i/>
          <w:shd w:fill="EEEEEE" w:val="clear"/>
          <w:lang w:val="de-DE"/>
        </w:rPr>
        <w:t xml:space="preserve"> </w:t>
      </w:r>
    </w:p>
    <w:p>
      <w:pPr>
        <w:pStyle w:val="Heading1"/>
        <w:ind w:hanging="0" w:left="0"/>
        <w:rPr>
          <w:shd w:fill="EEEEEE" w:val="clear"/>
        </w:rPr>
      </w:pPr>
      <w:bookmarkStart w:id="238" w:name="__RefHeading___Toc31960_2021121348"/>
      <w:bookmarkStart w:id="239" w:name="_Toc178761329"/>
      <w:bookmarkStart w:id="240" w:name="_Ref184204406"/>
      <w:bookmarkStart w:id="241" w:name="_Toc530662898"/>
      <w:bookmarkStart w:id="242" w:name="richtlinien_zur_informationssicherheit_i"/>
      <w:bookmarkStart w:id="243" w:name="_Toc187327050"/>
      <w:bookmarkStart w:id="244" w:name="rl%252525252525252525252525252525252525n"/>
      <w:bookmarkStart w:id="245" w:name="_Toc178588064"/>
      <w:bookmarkStart w:id="246" w:name="_Toc531165033"/>
      <w:bookmarkStart w:id="247" w:name="_Ref184200712"/>
      <w:bookmarkStart w:id="248" w:name="_Ref179378197"/>
      <w:bookmarkEnd w:id="238"/>
      <w:bookmarkEnd w:id="244"/>
      <w:r>
        <w:rPr>
          <w:shd w:fill="EEEEEE" w:val="clear"/>
          <w:lang w:val="de-DE"/>
        </w:rPr>
        <w:t>Richtlinien zur Informationssicherheit (IS-Richtlinien)</w:t>
      </w:r>
      <w:bookmarkEnd w:id="239"/>
      <w:bookmarkEnd w:id="240"/>
      <w:bookmarkEnd w:id="241"/>
      <w:bookmarkEnd w:id="242"/>
      <w:bookmarkEnd w:id="243"/>
      <w:bookmarkEnd w:id="245"/>
      <w:bookmarkEnd w:id="246"/>
      <w:bookmarkEnd w:id="247"/>
      <w:bookmarkEnd w:id="248"/>
    </w:p>
    <w:p>
      <w:pPr>
        <w:pStyle w:val="Heading2"/>
        <w:ind w:hanging="0" w:left="0"/>
        <w:rPr>
          <w:shd w:fill="EEEEEE" w:val="clear"/>
        </w:rPr>
      </w:pPr>
      <w:bookmarkStart w:id="249" w:name="__RefHeading___Toc31962_2021121348"/>
      <w:bookmarkStart w:id="250" w:name="_Toc178761330"/>
      <w:bookmarkStart w:id="251" w:name="_Toc187327051"/>
      <w:bookmarkEnd w:id="249"/>
      <w:r>
        <w:rPr>
          <w:shd w:fill="EEEEEE" w:val="clear"/>
          <w:lang w:val="de-DE"/>
        </w:rPr>
        <w:t>Grundlagen</w:t>
      </w:r>
      <w:bookmarkEnd w:id="250"/>
      <w:bookmarkEnd w:id="251"/>
    </w:p>
    <w:p>
      <w:pPr>
        <w:pStyle w:val="Normal"/>
        <w:rPr>
          <w:shd w:fill="EEEEEE" w:val="clear"/>
        </w:rPr>
      </w:pPr>
      <w:r>
        <w:rPr>
          <w:shd w:fill="EEEEEE" w:val="clear"/>
          <w:lang w:val="de-DE"/>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shd w:fill="EEEEEE" w:val="clear"/>
        </w:rPr>
      </w:pPr>
      <w:bookmarkStart w:id="252" w:name="__RefHeading___Toc31964_2021121348"/>
      <w:bookmarkStart w:id="253" w:name="_Toc530662899"/>
      <w:bookmarkStart w:id="254" w:name="allgemeine_anforderungen1"/>
      <w:bookmarkStart w:id="255" w:name="_Ref184204415"/>
      <w:bookmarkStart w:id="256" w:name="_Toc187327052"/>
      <w:bookmarkStart w:id="257" w:name="_Toc531165034"/>
      <w:bookmarkStart w:id="258" w:name="_Toc178761331"/>
      <w:bookmarkStart w:id="259" w:name="rl%252525252525252525252525252525252525o"/>
      <w:bookmarkStart w:id="260" w:name="_Toc178588065"/>
      <w:bookmarkEnd w:id="252"/>
      <w:bookmarkEnd w:id="259"/>
      <w:r>
        <w:rPr>
          <w:shd w:fill="EEEEEE" w:val="clear"/>
          <w:lang w:val="de-DE"/>
        </w:rPr>
        <w:t>Allgemeine Anforderungen</w:t>
      </w:r>
      <w:bookmarkEnd w:id="253"/>
      <w:bookmarkEnd w:id="254"/>
      <w:bookmarkEnd w:id="255"/>
      <w:bookmarkEnd w:id="256"/>
      <w:bookmarkEnd w:id="257"/>
      <w:bookmarkEnd w:id="258"/>
      <w:bookmarkEnd w:id="260"/>
    </w:p>
    <w:p>
      <w:pPr>
        <w:pStyle w:val="Normal"/>
        <w:rPr>
          <w:shd w:fill="EEEEEE" w:val="clear"/>
        </w:rPr>
      </w:pPr>
      <w:r>
        <w:rPr>
          <w:shd w:fill="EEEEEE" w:val="clear"/>
          <w:lang w:val="de-DE"/>
        </w:rPr>
        <w:t>Jede IS-Richtlinie MUSS vom ISB unter Mitarbeit des IST erstellt und vom Topmanagement in Kraft gesetzt werden.</w:t>
      </w:r>
    </w:p>
    <w:p>
      <w:pPr>
        <w:pStyle w:val="Normal"/>
        <w:rPr>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shd w:fill="EEEEEE" w:val="clear"/>
        </w:rPr>
      </w:pPr>
      <w:r>
        <w:rPr>
          <w:shd w:fill="EEEEEE" w:val="clear"/>
          <w:lang w:val="de-DE"/>
        </w:rPr>
        <w:t>Die IS-Richtlinien MÜSSEN initial und nach jeder Aktualisierung den Zielgruppen zeitnah bekannt gegeben werden.</w:t>
      </w:r>
    </w:p>
    <w:p>
      <w:pPr>
        <w:pStyle w:val="Normal"/>
        <w:rPr>
          <w:shd w:fill="EEEEEE" w:val="clear"/>
        </w:rPr>
      </w:pPr>
      <w:r>
        <w:rPr>
          <w:shd w:fill="EEEEEE" w:val="clear"/>
          <w:lang w:val="de-DE"/>
        </w:rPr>
        <w:t>Dies MUSS in einer für die Zielgruppe zugänglichen und verständlichen Form geschehen, z. B. im Zuge einer Schulung.</w:t>
      </w:r>
    </w:p>
    <w:p>
      <w:pPr>
        <w:pStyle w:val="Normal"/>
        <w:rPr>
          <w:shd w:fill="EEEEEE" w:val="clear"/>
        </w:rPr>
      </w:pPr>
      <w:r>
        <w:rPr>
          <w:shd w:fill="EEEEEE" w:val="clear"/>
          <w:lang w:val="de-DE"/>
        </w:rPr>
        <w:t>IS-Richtlinien MÜSSEN umgesetzt oder vom Topmanagement aufgehoben werden.</w:t>
      </w:r>
    </w:p>
    <w:p>
      <w:pPr>
        <w:pStyle w:val="Heading2"/>
        <w:ind w:hanging="0" w:left="0"/>
        <w:rPr>
          <w:shd w:fill="EEEEEE" w:val="clear"/>
        </w:rPr>
      </w:pPr>
      <w:bookmarkStart w:id="261" w:name="__RefHeading___Toc31966_2021121348"/>
      <w:bookmarkStart w:id="262" w:name="_Toc530662900"/>
      <w:bookmarkStart w:id="263" w:name="rl%252525252525252525252525252525252525p"/>
      <w:bookmarkStart w:id="264" w:name="_Toc531165035"/>
      <w:bookmarkStart w:id="265" w:name="_Toc187327053"/>
      <w:bookmarkStart w:id="266" w:name="_Toc178588066"/>
      <w:bookmarkStart w:id="267" w:name="_Toc178761332"/>
      <w:bookmarkStart w:id="268" w:name="inhalte1"/>
      <w:bookmarkEnd w:id="261"/>
      <w:bookmarkEnd w:id="263"/>
      <w:r>
        <w:rPr>
          <w:shd w:fill="EEEEEE" w:val="clear"/>
          <w:lang w:val="de-DE"/>
        </w:rPr>
        <w:t>Inhalte</w:t>
      </w:r>
      <w:bookmarkEnd w:id="262"/>
      <w:bookmarkEnd w:id="264"/>
      <w:bookmarkEnd w:id="265"/>
      <w:bookmarkEnd w:id="266"/>
      <w:bookmarkEnd w:id="267"/>
      <w:bookmarkEnd w:id="268"/>
    </w:p>
    <w:p>
      <w:pPr>
        <w:pStyle w:val="Normal"/>
        <w:rPr>
          <w:shd w:fill="EEEEEE" w:val="clear"/>
        </w:rPr>
      </w:pPr>
      <w:r>
        <w:rPr>
          <w:shd w:fill="EEEEEE" w:val="clear"/>
          <w:lang w:val="de-DE"/>
        </w:rPr>
        <w:t>Jede IS-Richtlinie MUSS folgende Anforderungen erfüllen:</w:t>
      </w:r>
    </w:p>
    <w:p>
      <w:pPr>
        <w:pStyle w:val="Liste1"/>
        <w:numPr>
          <w:ilvl w:val="0"/>
          <w:numId w:val="293"/>
        </w:numPr>
        <w:spacing w:lineRule="auto" w:line="250"/>
        <w:rPr>
          <w:shd w:fill="EEEEEE" w:val="clear"/>
        </w:rPr>
      </w:pPr>
      <w:r>
        <w:rPr>
          <w:shd w:fill="EEEEEE" w:val="clear"/>
          <w:lang w:val="de-DE"/>
        </w:rPr>
        <w:t>Sie definiert, für wen sie verbindlich ist (Zielgruppe).</w:t>
      </w:r>
    </w:p>
    <w:p>
      <w:pPr>
        <w:pStyle w:val="Liste1"/>
        <w:numPr>
          <w:ilvl w:val="0"/>
          <w:numId w:val="294"/>
        </w:numPr>
        <w:spacing w:lineRule="auto" w:line="250"/>
        <w:rPr>
          <w:shd w:fill="EEEEEE" w:val="clear"/>
        </w:rPr>
      </w:pPr>
      <w:r>
        <w:rPr>
          <w:shd w:fill="EEEEEE" w:val="clear"/>
          <w:lang w:val="de-DE"/>
        </w:rPr>
        <w:t>Sie begründet, warum sie erstellt wurde und legt fest, was mit ihr erreicht werden soll.</w:t>
      </w:r>
    </w:p>
    <w:p>
      <w:pPr>
        <w:pStyle w:val="Liste1"/>
        <w:numPr>
          <w:ilvl w:val="0"/>
          <w:numId w:val="295"/>
        </w:numPr>
        <w:spacing w:lineRule="auto" w:line="250"/>
        <w:rPr>
          <w:shd w:fill="EEEEEE" w:val="clear"/>
        </w:rPr>
      </w:pPr>
      <w:r>
        <w:rPr>
          <w:shd w:fill="EEEEEE" w:val="clear"/>
          <w:lang w:val="de-DE"/>
        </w:rPr>
        <w:t>Sie verstößt nicht gegen Leitlinien oder andere Richtlinien.</w:t>
      </w:r>
    </w:p>
    <w:p>
      <w:pPr>
        <w:pStyle w:val="Liste1"/>
        <w:numPr>
          <w:ilvl w:val="0"/>
          <w:numId w:val="296"/>
        </w:numPr>
        <w:spacing w:lineRule="auto" w:line="250"/>
        <w:rPr>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shd w:fill="EEEEEE" w:val="clear"/>
        </w:rPr>
      </w:pPr>
      <w:bookmarkStart w:id="269" w:name="__RefHeading___Toc31968_2021121348"/>
      <w:bookmarkStart w:id="270" w:name="_Ref179188801"/>
      <w:bookmarkStart w:id="271" w:name="_Ref179187911"/>
      <w:bookmarkStart w:id="272" w:name="_Toc178588067"/>
      <w:bookmarkStart w:id="273" w:name="_Ref179189056"/>
      <w:bookmarkStart w:id="274" w:name="_Ref179186674"/>
      <w:bookmarkStart w:id="275" w:name="_Toc178761333"/>
      <w:bookmarkStart w:id="276" w:name="_Toc187327054"/>
      <w:bookmarkEnd w:id="269"/>
      <w:r>
        <w:rPr>
          <w:shd w:fill="EEEEEE" w:val="clear"/>
          <w:lang w:val="de-DE"/>
        </w:rPr>
        <w:t>Aufbau und Funktionsweise des ISMS</w:t>
      </w:r>
      <w:bookmarkEnd w:id="270"/>
      <w:bookmarkEnd w:id="271"/>
      <w:bookmarkEnd w:id="272"/>
      <w:bookmarkEnd w:id="273"/>
      <w:bookmarkEnd w:id="274"/>
      <w:bookmarkEnd w:id="275"/>
      <w:bookmarkEnd w:id="276"/>
    </w:p>
    <w:p>
      <w:pPr>
        <w:pStyle w:val="Normal"/>
        <w:rPr>
          <w:shd w:fill="EEEEEE" w:val="clear"/>
        </w:rPr>
      </w:pPr>
      <w:r>
        <w:rPr>
          <w:shd w:fill="EEEEEE" w:val="clear"/>
          <w:lang w:val="de-DE"/>
        </w:rPr>
        <w:t>Aufbau und Funktionsweise des ISMS MUSS in einer IS-Richtlinie verbindlich festgelegt werden.</w:t>
      </w:r>
    </w:p>
    <w:p>
      <w:pPr>
        <w:pStyle w:val="Normal"/>
        <w:rPr>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Dokumente, die im Zuge des Betriebs des ISMS und im Zuge des Kontinuierlichen Verbesserungsprozesses (KVP) entstehen (wie z. B. Nachweise über durchgeführte Tätigkeiten)</w:t>
      </w:r>
    </w:p>
    <w:p>
      <w:pPr>
        <w:pStyle w:val="Heading2"/>
        <w:ind w:hanging="0" w:left="0"/>
        <w:rPr>
          <w:shd w:fill="EEEEEE" w:val="clear"/>
        </w:rPr>
      </w:pPr>
      <w:bookmarkStart w:id="277" w:name="__RefHeading___Toc31970_2021121348"/>
      <w:bookmarkStart w:id="278" w:name="regelungen_fuer_nutzer"/>
      <w:bookmarkStart w:id="279" w:name="rl%252525252525252525252525252525252525q"/>
      <w:bookmarkStart w:id="280" w:name="_Toc187327055"/>
      <w:bookmarkStart w:id="281" w:name="_Toc178761334"/>
      <w:bookmarkStart w:id="282" w:name="_Toc530662901"/>
      <w:bookmarkStart w:id="283" w:name="_Toc531165036"/>
      <w:bookmarkStart w:id="284" w:name="_Toc178588068"/>
      <w:bookmarkStart w:id="285" w:name="_Ref184204449"/>
      <w:bookmarkEnd w:id="277"/>
      <w:bookmarkEnd w:id="279"/>
      <w:r>
        <w:rPr>
          <w:shd w:fill="EEEEEE" w:val="clear"/>
          <w:lang w:val="de-DE"/>
        </w:rPr>
        <w:t>Regelungen für Nutzer</w:t>
      </w:r>
      <w:bookmarkEnd w:id="278"/>
      <w:bookmarkEnd w:id="280"/>
      <w:bookmarkEnd w:id="281"/>
      <w:bookmarkEnd w:id="282"/>
      <w:bookmarkEnd w:id="283"/>
      <w:bookmarkEnd w:id="284"/>
      <w:bookmarkEnd w:id="285"/>
    </w:p>
    <w:p>
      <w:pPr>
        <w:pStyle w:val="10000-DefaultParagraph"/>
        <w:rPr>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297"/>
        </w:numPr>
        <w:rPr>
          <w:shd w:fill="EEEEEE" w:val="clear"/>
          <w:lang w:val="de-DE"/>
        </w:rPr>
      </w:pPr>
      <w:bookmarkStart w:id="286" w:name="_Ref184389125"/>
      <w:r>
        <w:rPr>
          <w:shd w:fill="EEEEEE" w:val="clear"/>
          <w:lang w:val="de-DE"/>
        </w:rPr>
        <w:t>Generelle Nutzungsbedingungen</w:t>
      </w:r>
      <w:bookmarkEnd w:id="286"/>
    </w:p>
    <w:p>
      <w:pPr>
        <w:pStyle w:val="10000-DefaultParagraph"/>
        <w:numPr>
          <w:ilvl w:val="1"/>
          <w:numId w:val="26"/>
        </w:numPr>
        <w:rPr>
          <w:shd w:fill="EEEEEE" w:val="clear"/>
          <w:lang w:val="de-DE"/>
        </w:rPr>
      </w:pPr>
      <w:r>
        <w:rPr>
          <w:shd w:fill="EEEEEE" w:val="clear"/>
          <w:lang w:val="de-DE"/>
        </w:rPr>
        <w:t>Das unrechtmäßige Abrufen oder Verbreiten von urheberrechtlich geschützten Inhalten wird untersagt.</w:t>
      </w:r>
    </w:p>
    <w:p>
      <w:pPr>
        <w:pStyle w:val="10000-DefaultParagraph"/>
        <w:numPr>
          <w:ilvl w:val="1"/>
          <w:numId w:val="26"/>
        </w:numPr>
        <w:rPr>
          <w:shd w:fill="EEEEEE" w:val="clear"/>
          <w:lang w:val="de-DE"/>
        </w:rPr>
      </w:pPr>
      <w:r>
        <w:rPr>
          <w:shd w:fill="EEEEEE" w:val="clear"/>
          <w:lang w:val="de-DE"/>
        </w:rPr>
        <w:t>Das Abrufen oder Verbreiten von strafrechtlich relevanten oder sittenwidrigen Inhalten wird untersagt.</w:t>
      </w:r>
    </w:p>
    <w:p>
      <w:pPr>
        <w:pStyle w:val="10000-DefaultParagraph"/>
        <w:numPr>
          <w:ilvl w:val="0"/>
          <w:numId w:val="298"/>
        </w:numPr>
        <w:rPr>
          <w:shd w:fill="EEEEEE" w:val="clear"/>
          <w:lang w:val="de-DE"/>
        </w:rPr>
      </w:pPr>
      <w:r>
        <w:rPr>
          <w:shd w:fill="EEEEEE" w:val="clear"/>
          <w:lang w:val="de-DE"/>
        </w:rPr>
        <w:t>Privatnutzung</w:t>
      </w:r>
    </w:p>
    <w:p>
      <w:pPr>
        <w:pStyle w:val="10000-DefaultParagraph"/>
        <w:numPr>
          <w:ilvl w:val="1"/>
          <w:numId w:val="299"/>
        </w:numPr>
        <w:rPr>
          <w:shd w:fill="EEEEEE" w:val="clear"/>
          <w:lang w:val="de-DE"/>
        </w:rPr>
      </w:pPr>
      <w:r>
        <w:rPr>
          <w:shd w:fill="EEEEEE" w:val="clear"/>
          <w:lang w:val="de-DE"/>
        </w:rPr>
        <w:t>Es wird definiert, ob die private Nutzung der IT erlaubt ist.</w:t>
      </w:r>
    </w:p>
    <w:p>
      <w:pPr>
        <w:pStyle w:val="10000-DefaultParagraph"/>
        <w:numPr>
          <w:ilvl w:val="1"/>
          <w:numId w:val="26"/>
        </w:numPr>
        <w:rPr>
          <w:shd w:fill="EEEEEE" w:val="clear"/>
          <w:lang w:val="de-DE"/>
        </w:rPr>
      </w:pPr>
      <w:r>
        <w:rPr>
          <w:shd w:fill="EEEEEE" w:val="clear"/>
          <w:lang w:val="de-DE"/>
        </w:rPr>
        <w:t>Wenn die private Nutzung der IT erlaubt ist, so wird sie im Sinne der Organisation ausgestaltet.</w:t>
      </w:r>
    </w:p>
    <w:p>
      <w:pPr>
        <w:pStyle w:val="10000-DefaultParagraph"/>
        <w:numPr>
          <w:ilvl w:val="0"/>
          <w:numId w:val="300"/>
        </w:numPr>
        <w:rPr>
          <w:shd w:fill="EEEEEE" w:val="clear"/>
          <w:lang w:val="de-DE"/>
        </w:rPr>
      </w:pPr>
      <w:r>
        <w:rPr>
          <w:shd w:fill="EEEEEE" w:val="clear"/>
          <w:lang w:val="de-DE"/>
        </w:rPr>
        <w:t>Grundlegende Verhaltensregeln</w:t>
      </w:r>
    </w:p>
    <w:p>
      <w:pPr>
        <w:pStyle w:val="10000-DefaultParagraph"/>
        <w:numPr>
          <w:ilvl w:val="1"/>
          <w:numId w:val="26"/>
        </w:numPr>
        <w:rPr>
          <w:shd w:fill="EEEEEE" w:val="clear"/>
          <w:lang w:val="de-DE"/>
        </w:rPr>
      </w:pPr>
      <w:r>
        <w:rPr>
          <w:shd w:fill="EEEEEE" w:val="clear"/>
          <w:lang w:val="de-DE"/>
        </w:rPr>
        <w:t>Hard- und Software darf nicht eigenmächtig in der IT-Infrastruktur installiert, genutzt oder betrieben werden.</w:t>
      </w:r>
    </w:p>
    <w:p>
      <w:pPr>
        <w:pStyle w:val="10000-DefaultParagraph"/>
        <w:numPr>
          <w:ilvl w:val="1"/>
          <w:numId w:val="26"/>
        </w:numPr>
        <w:rPr>
          <w:shd w:fill="EEEEEE" w:val="clear"/>
          <w:lang w:val="de-DE"/>
        </w:rPr>
      </w:pPr>
      <w:r>
        <w:rPr>
          <w:shd w:fill="EEEEEE" w:val="clear"/>
          <w:lang w:val="de-DE"/>
        </w:rPr>
        <w:t>Es wird untersagt, eigenmächtig Netzübergänge (wie z. B. Zugänge zum Internet, Fernwartungszugänge oder VPN-Verbindungen) zu installieren; es werden ausschließlich die von der Organisation bereitgestellten Netzübergänge genutzt.</w:t>
      </w:r>
    </w:p>
    <w:p>
      <w:pPr>
        <w:pStyle w:val="10000-DefaultParagraph"/>
        <w:numPr>
          <w:ilvl w:val="1"/>
          <w:numId w:val="26"/>
        </w:numPr>
        <w:rPr>
          <w:shd w:fill="EEEEEE" w:val="clear"/>
          <w:lang w:val="de-DE"/>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26"/>
        </w:numPr>
        <w:rPr>
          <w:shd w:fill="EEEEEE" w:val="clear"/>
          <w:lang w:val="de-DE"/>
        </w:rPr>
      </w:pPr>
      <w:r>
        <w:rPr>
          <w:shd w:fill="EEEEEE" w:val="clear"/>
          <w:lang w:val="de-DE"/>
        </w:rPr>
        <w:t>Authentifizierungsmerkmale werden nicht eigenmächtig weitergegeben.</w:t>
      </w:r>
    </w:p>
    <w:p>
      <w:pPr>
        <w:pStyle w:val="10000-DefaultParagraph"/>
        <w:numPr>
          <w:ilvl w:val="0"/>
          <w:numId w:val="301"/>
        </w:numPr>
        <w:rPr>
          <w:shd w:fill="EEEEEE" w:val="clear"/>
          <w:lang w:val="de-DE"/>
        </w:rPr>
      </w:pPr>
      <w:r>
        <w:rPr>
          <w:shd w:fill="EEEEEE" w:val="clear"/>
          <w:lang w:val="de-DE"/>
        </w:rPr>
        <w:t>Umgang mit Informationen der Organisation</w:t>
      </w:r>
    </w:p>
    <w:p>
      <w:pPr>
        <w:pStyle w:val="10000-DefaultParagraph"/>
        <w:numPr>
          <w:ilvl w:val="1"/>
          <w:numId w:val="26"/>
        </w:numPr>
        <w:rPr>
          <w:shd w:fill="EEEEEE" w:val="clear"/>
          <w:lang w:val="de-DE"/>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26"/>
        </w:numPr>
        <w:rPr>
          <w:shd w:fill="EEEEEE" w:val="clear"/>
          <w:lang w:val="de-DE"/>
        </w:rPr>
      </w:pPr>
      <w:r>
        <w:rPr>
          <w:shd w:fill="EEEEEE" w:val="clear"/>
          <w:lang w:val="de-DE"/>
        </w:rPr>
        <w:t xml:space="preserve">Informationsfluss bei Abwesenheit </w:t>
      </w:r>
    </w:p>
    <w:p>
      <w:pPr>
        <w:pStyle w:val="10000-DefaultParagraph"/>
        <w:numPr>
          <w:ilvl w:val="1"/>
          <w:numId w:val="302"/>
        </w:numPr>
        <w:rPr>
          <w:shd w:fill="EEEEEE" w:val="clear"/>
          <w:lang w:val="de-DE"/>
        </w:rPr>
      </w:pPr>
      <w:r>
        <w:rPr>
          <w:shd w:fill="EEEEEE" w:val="clear"/>
          <w:lang w:val="de-DE"/>
        </w:rPr>
        <w:t>Es wird geregelt, ob neu eintreffende Nachrichten für einen abwesenden Nutzer weitergeleitet werden.</w:t>
      </w:r>
    </w:p>
    <w:p>
      <w:pPr>
        <w:pStyle w:val="10000-DefaultParagraph"/>
        <w:numPr>
          <w:ilvl w:val="1"/>
          <w:numId w:val="26"/>
        </w:numPr>
        <w:rPr>
          <w:shd w:fill="EEEEEE" w:val="clear"/>
          <w:lang w:val="de-DE"/>
        </w:rPr>
      </w:pPr>
      <w:r>
        <w:rPr>
          <w:shd w:fill="EEEEEE" w:val="clear"/>
          <w:lang w:val="de-DE"/>
        </w:rPr>
        <w:t>Es wird geregelt, ob und wann auf den Datenbestand eines Abwesenden zugegriffen werden darf.</w:t>
      </w:r>
    </w:p>
    <w:p>
      <w:pPr>
        <w:pStyle w:val="10000-DefaultParagraph"/>
        <w:numPr>
          <w:ilvl w:val="0"/>
          <w:numId w:val="26"/>
        </w:numPr>
        <w:rPr>
          <w:shd w:fill="EEEEEE" w:val="clear"/>
          <w:lang w:val="de-DE"/>
        </w:rPr>
      </w:pPr>
      <w:bookmarkStart w:id="287" w:name="_Ref184389143"/>
      <w:r>
        <w:rPr>
          <w:shd w:fill="EEEEEE" w:val="clear"/>
          <w:lang w:val="de-DE"/>
        </w:rPr>
        <w:t>Missbrauchskontrolle</w:t>
      </w:r>
      <w:bookmarkEnd w:id="287"/>
    </w:p>
    <w:p>
      <w:pPr>
        <w:pStyle w:val="10000-DefaultParagraph"/>
        <w:numPr>
          <w:ilvl w:val="1"/>
          <w:numId w:val="26"/>
        </w:numPr>
        <w:rPr>
          <w:shd w:fill="EEEEEE" w:val="clear"/>
          <w:lang w:val="de-DE"/>
        </w:rPr>
      </w:pPr>
      <w:r>
        <w:rPr>
          <w:shd w:fill="EEEEEE" w:val="clear"/>
          <w:lang w:val="de-DE"/>
        </w:rPr>
        <w:t>Es werden Mechanismen zur Missbrauchskontrolle definiert und den Betroffenen mitgeteilt.</w:t>
      </w:r>
    </w:p>
    <w:p>
      <w:pPr>
        <w:pStyle w:val="10000-Empfehlung"/>
        <w:widowControl/>
        <w:suppressAutoHyphens w:val="false"/>
        <w:bidi w:val="0"/>
        <w:spacing w:lineRule="auto" w:line="247" w:before="0" w:after="120"/>
        <w:ind w:hanging="0" w:left="850" w:right="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shd w:fill="EEEEEE" w:val="clear"/>
          <w:lang w:val="de-DE"/>
        </w:rPr>
      </w:pPr>
      <w:bookmarkStart w:id="288" w:name="__RefHeading___Toc31972_2021121348"/>
      <w:bookmarkStart w:id="289" w:name="_Toc531165037"/>
      <w:bookmarkStart w:id="290" w:name="_Toc187327056"/>
      <w:bookmarkStart w:id="291" w:name="_Toc530662902"/>
      <w:bookmarkStart w:id="292" w:name="_Toc178588069"/>
      <w:bookmarkStart w:id="293" w:name="rl%252525252525252525252525252525252525r"/>
      <w:bookmarkStart w:id="294" w:name="del_6.5del_weitere_regelungen"/>
      <w:bookmarkStart w:id="295" w:name="_Toc178761335"/>
      <w:bookmarkEnd w:id="288"/>
      <w:bookmarkEnd w:id="293"/>
      <w:r>
        <w:rPr>
          <w:shd w:fill="EEEEEE" w:val="clear"/>
          <w:lang w:val="de-DE"/>
        </w:rPr>
        <w:t xml:space="preserve">Weitere </w:t>
      </w:r>
      <w:bookmarkEnd w:id="289"/>
      <w:bookmarkEnd w:id="291"/>
      <w:bookmarkEnd w:id="292"/>
      <w:bookmarkEnd w:id="294"/>
      <w:bookmarkEnd w:id="295"/>
      <w:r>
        <w:rPr>
          <w:shd w:fill="EEEEEE" w:val="clear"/>
          <w:lang w:val="de-DE"/>
        </w:rPr>
        <w:t>Richtlinien</w:t>
      </w:r>
      <w:bookmarkEnd w:id="290"/>
    </w:p>
    <w:p>
      <w:pPr>
        <w:pStyle w:val="10000-DefaultParagraph"/>
        <w:rPr>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numPr>
          <w:ilvl w:val="0"/>
          <w:numId w:val="303"/>
        </w:numPr>
        <w:rPr>
          <w:color w:val="auto"/>
          <w:shd w:fill="auto" w:val="clear"/>
          <w:lang w:val="de-DE"/>
        </w:rPr>
      </w:pPr>
      <w:commentRangeStart w:id="13"/>
      <w:r>
        <w:rPr>
          <w:color w:val="000000"/>
          <w:shd w:fill="auto" w:val="clear"/>
          <w:lang w:val="de-DE"/>
        </w:rPr>
        <w:t>Beschaffung wichtiger und kritischer IT-Systeme (siehe Abschnitt 10.&lt;FIXME&gt;)</w:t>
      </w:r>
      <w:commentRangeEnd w:id="13"/>
      <w:r>
        <w:commentReference w:id="13"/>
      </w:r>
      <w:r>
        <w:rPr/>
      </w:r>
    </w:p>
    <w:p>
      <w:pPr>
        <w:pStyle w:val="10000-DefaultParagraph"/>
        <w:numPr>
          <w:ilvl w:val="0"/>
          <w:numId w:val="304"/>
        </w:numPr>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05"/>
        </w:numPr>
        <w:rPr/>
      </w:pPr>
      <w:r>
        <w:rPr>
          <w:color w:val="000000"/>
          <w:shd w:fill="EEEEEE" w:val="clear"/>
          <w:lang w:val="de-DE"/>
        </w:rPr>
        <w:t xml:space="preserve">Mobile Datenträger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06"/>
        </w:numPr>
        <w:rPr/>
      </w:pPr>
      <w:commentRangeStart w:id="14"/>
      <w:r>
        <w:rPr>
          <w:color w:val="000000"/>
          <w:shd w:fill="EEEEEE" w:val="clear"/>
          <w:lang w:val="de-DE"/>
        </w:rPr>
        <w:t xml:space="preserve">IT-Outsourcing und Cloud Computing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_Ref178761914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Error: Reference source not found</w:t>
      </w:r>
      <w:r>
        <w:rPr>
          <w:rStyle w:val="Hyperlink"/>
          <w:u w:val="none"/>
          <w:shd w:fill="EEEEEE" w:val="clear"/>
          <w:color w:themeColor="hyperlink" w:val="000000"/>
          <w:lang w:val="de-DE"/>
        </w:rPr>
        <w:fldChar w:fldCharType="end"/>
      </w:r>
      <w:r>
        <w:rPr>
          <w:color w:val="000000"/>
          <w:shd w:fill="EEEEEE" w:val="clear"/>
          <w:lang w:val="de-DE"/>
        </w:rPr>
        <w:t>)</w:t>
      </w:r>
      <w:commentRangeEnd w:id="14"/>
      <w:r>
        <w:commentReference w:id="14"/>
      </w:r>
      <w:r>
        <w:rPr>
          <w:color w:val="000000"/>
          <w:shd w:fill="EEEEEE" w:val="clear"/>
          <w:lang w:val="de-DE"/>
        </w:rPr>
      </w:r>
    </w:p>
    <w:p>
      <w:pPr>
        <w:pStyle w:val="10000-DefaultParagraph"/>
        <w:numPr>
          <w:ilvl w:val="0"/>
          <w:numId w:val="307"/>
        </w:numPr>
        <w:rPr/>
      </w:pPr>
      <w:r>
        <w:rPr>
          <w:color w:val="000000"/>
          <w:shd w:fill="EEEEEE" w:val="clear"/>
          <w:lang w:val="de-DE"/>
        </w:rPr>
        <w:t xml:space="preserve">Datensicherung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08"/>
        </w:numPr>
        <w:rPr/>
      </w:pPr>
      <w:r>
        <w:rPr>
          <w:color w:val="000000"/>
          <w:shd w:fill="EEEEEE" w:val="clear"/>
          <w:lang w:val="de-DE"/>
        </w:rPr>
        <w:t xml:space="preserve">Sicherheitsvorfälle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rPr>
          <w:shd w:fill="EEEEEE" w:val="clear"/>
          <w:lang w:val="de-DE"/>
        </w:rPr>
      </w:pPr>
      <w:r>
        <w:rPr>
          <w:shd w:fill="EEEEEE" w:val="clear"/>
          <w:lang w:val="de-DE"/>
        </w:rPr>
        <w:t>Der Bedarf für weitere IS-Richtlinien MUSS jährlich vom ISB ermittelt werden.</w:t>
      </w:r>
    </w:p>
    <w:p>
      <w:pPr>
        <w:pStyle w:val="Heading1"/>
        <w:ind w:hanging="0" w:left="0"/>
        <w:rPr>
          <w:shd w:fill="EEEEEE" w:val="clear"/>
          <w:lang w:val="de-DE"/>
        </w:rPr>
      </w:pPr>
      <w:bookmarkStart w:id="296" w:name="__RefHeading___Toc31974_2021121348"/>
      <w:bookmarkStart w:id="297" w:name="rl%252525252525252525252525252525252525s"/>
      <w:bookmarkStart w:id="298" w:name="_Ref184204459"/>
      <w:bookmarkStart w:id="299" w:name="mitarbeiter_del_personaldel"/>
      <w:bookmarkStart w:id="300" w:name="_Toc187327057"/>
      <w:bookmarkStart w:id="301" w:name="_Toc531165038"/>
      <w:bookmarkStart w:id="302" w:name="_Toc178761336"/>
      <w:bookmarkStart w:id="303" w:name="_Toc530662903"/>
      <w:bookmarkStart w:id="304" w:name="_Toc178588070"/>
      <w:bookmarkEnd w:id="296"/>
      <w:bookmarkEnd w:id="297"/>
      <w:r>
        <w:rPr>
          <w:shd w:fill="EEEEEE" w:val="clear"/>
          <w:lang w:val="de-DE"/>
        </w:rPr>
        <w:t>Mitarbeiter</w:t>
      </w:r>
      <w:bookmarkEnd w:id="298"/>
      <w:bookmarkEnd w:id="299"/>
      <w:bookmarkEnd w:id="300"/>
      <w:bookmarkEnd w:id="301"/>
      <w:bookmarkEnd w:id="302"/>
      <w:bookmarkEnd w:id="303"/>
      <w:bookmarkEnd w:id="304"/>
    </w:p>
    <w:p>
      <w:pPr>
        <w:pStyle w:val="Heading2"/>
        <w:ind w:hanging="0" w:left="0"/>
        <w:rPr>
          <w:shd w:fill="EEEEEE" w:val="clear"/>
          <w:lang w:val="de-DE"/>
        </w:rPr>
      </w:pPr>
      <w:bookmarkStart w:id="305" w:name="__RefHeading___Toc31976_2021121348"/>
      <w:bookmarkStart w:id="306" w:name="_Toc187327058"/>
      <w:bookmarkEnd w:id="305"/>
      <w:r>
        <w:rPr>
          <w:shd w:fill="EEEEEE" w:val="clear"/>
          <w:lang w:val="de-DE"/>
        </w:rPr>
        <w:t>Grundlagen</w:t>
      </w:r>
      <w:bookmarkEnd w:id="306"/>
    </w:p>
    <w:p>
      <w:pPr>
        <w:pStyle w:val="Normal"/>
        <w:rPr>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shd w:fill="EEEEEE" w:val="clear"/>
          <w:lang w:val="de-DE"/>
        </w:rPr>
      </w:pPr>
      <w:bookmarkStart w:id="307" w:name="__RefHeading___Toc31978_2021121348"/>
      <w:bookmarkStart w:id="308" w:name="_Toc530662904"/>
      <w:bookmarkStart w:id="309" w:name="_Toc531165039"/>
      <w:bookmarkStart w:id="310" w:name="_Toc178588071"/>
      <w:bookmarkStart w:id="311" w:name="_Toc178761337"/>
      <w:bookmarkStart w:id="312" w:name="rl%252525252525252525252525252525252525t"/>
      <w:bookmarkStart w:id="313" w:name="_Toc187327059"/>
      <w:bookmarkEnd w:id="307"/>
      <w:bookmarkEnd w:id="312"/>
      <w:r>
        <w:rPr>
          <w:shd w:fill="EEEEEE" w:val="clear"/>
          <w:lang w:val="de-DE"/>
        </w:rPr>
        <w:t>Vor Aufnahme der Tätigkeit</w:t>
      </w:r>
      <w:bookmarkEnd w:id="308"/>
      <w:bookmarkEnd w:id="309"/>
      <w:bookmarkEnd w:id="310"/>
      <w:bookmarkEnd w:id="311"/>
      <w:bookmarkEnd w:id="313"/>
    </w:p>
    <w:p>
      <w:pPr>
        <w:pStyle w:val="Normal"/>
        <w:rPr>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shd w:fill="EEEEEE" w:val="clear"/>
          <w:lang w:val="de-DE"/>
        </w:rPr>
      </w:pPr>
      <w:bookmarkStart w:id="314" w:name="__RefHeading___Toc31980_2021121348"/>
      <w:bookmarkStart w:id="315" w:name="_Toc531165040"/>
      <w:bookmarkStart w:id="316" w:name="_Toc178588072"/>
      <w:bookmarkStart w:id="317" w:name="rl%252525252525252525252525252525252525u"/>
      <w:bookmarkStart w:id="318" w:name="_Toc187327060"/>
      <w:bookmarkStart w:id="319" w:name="_Ref184204468"/>
      <w:bookmarkStart w:id="320" w:name="_Toc530662905"/>
      <w:bookmarkStart w:id="321" w:name="_Toc178761338"/>
      <w:bookmarkEnd w:id="314"/>
      <w:bookmarkEnd w:id="317"/>
      <w:r>
        <w:rPr>
          <w:shd w:fill="EEEEEE" w:val="clear"/>
          <w:lang w:val="de-DE"/>
        </w:rPr>
        <w:t>Aufnahme der Tätigkeit</w:t>
      </w:r>
      <w:bookmarkEnd w:id="315"/>
      <w:bookmarkEnd w:id="316"/>
      <w:bookmarkEnd w:id="318"/>
      <w:bookmarkEnd w:id="319"/>
      <w:bookmarkEnd w:id="320"/>
      <w:bookmarkEnd w:id="321"/>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309"/>
        </w:numPr>
        <w:spacing w:lineRule="auto" w:line="250"/>
        <w:rPr>
          <w:shd w:fill="EEEEEE" w:val="clear"/>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310"/>
        </w:numPr>
        <w:spacing w:lineRule="auto" w:line="250"/>
        <w:rPr>
          <w:shd w:fill="EEEEEE" w:val="clear"/>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311"/>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u w:val="none"/>
          <w:shd w:fill="EEEEEE" w:val="clear"/>
        </w:rPr>
        <w:fldChar w:fldCharType="begin"/>
      </w:r>
      <w:r>
        <w:rPr>
          <w:rStyle w:val="Hyperlink"/>
          <w:u w:val="none"/>
          <w:shd w:fill="EEEEEE" w:val="clear"/>
        </w:rPr>
        <w:instrText xml:space="preserve"> REF _Ref184300217 \r \r \h </w:instrText>
      </w:r>
      <w:r>
        <w:rPr>
          <w:rStyle w:val="Hyperlink"/>
          <w:u w:val="none"/>
          <w:shd w:fill="EEEEEE" w:val="clear"/>
        </w:rPr>
        <w:fldChar w:fldCharType="separate"/>
      </w:r>
      <w:r>
        <w:rPr>
          <w:rStyle w:val="Hyperlink"/>
          <w:u w:val="none"/>
          <w:shd w:fill="EEEEEE" w:val="clear"/>
        </w:rPr>
        <w:t>8.3</w:t>
      </w:r>
      <w:r>
        <w:rPr>
          <w:rStyle w:val="Hyperlink"/>
          <w:u w:val="none"/>
          <w:shd w:fill="EEEEEE" w:val="clear"/>
        </w:rPr>
        <w:fldChar w:fldCharType="end"/>
      </w:r>
      <w:r>
        <w:rPr>
          <w:shd w:fill="EEEEEE" w:val="clear"/>
        </w:rPr>
        <w:t>).</w:t>
      </w:r>
    </w:p>
    <w:p>
      <w:pPr>
        <w:pStyle w:val="Liste1"/>
        <w:numPr>
          <w:ilvl w:val="0"/>
          <w:numId w:val="312"/>
        </w:numPr>
        <w:spacing w:lineRule="auto" w:line="250"/>
        <w:rPr>
          <w:shd w:fill="EEEEEE" w:val="clear"/>
        </w:rPr>
      </w:pPr>
      <w:r>
        <w:rPr>
          <w:shd w:fill="EEEEEE" w:val="clear"/>
        </w:rPr>
        <w:t>Mitarbeiter erhalten die benötigten IT-Ressourcen, Zugänge, Zugriffsrechte sowie phy</w:t>
        <w:softHyphen/>
        <w:t>sischen Zugangsmittel wie Schlüssel, Transponder etc. und werden in deren Nutzung geschult.</w:t>
      </w:r>
    </w:p>
    <w:p>
      <w:pPr>
        <w:pStyle w:val="Heading2"/>
        <w:ind w:hanging="0" w:left="0"/>
        <w:rPr>
          <w:shd w:fill="EEEEEE" w:val="clear"/>
          <w:lang w:val="de-DE"/>
        </w:rPr>
      </w:pPr>
      <w:bookmarkStart w:id="322" w:name="__RefHeading___Toc31982_2021121348"/>
      <w:bookmarkStart w:id="323" w:name="_Toc178588073"/>
      <w:bookmarkStart w:id="324" w:name="_Toc530662906"/>
      <w:bookmarkStart w:id="325" w:name="_Toc531165041"/>
      <w:bookmarkStart w:id="326" w:name="_Ref184204478"/>
      <w:bookmarkStart w:id="327" w:name="_Toc178761339"/>
      <w:bookmarkStart w:id="328" w:name="beendigung_oder_wechsel_der_anstellung"/>
      <w:bookmarkStart w:id="329" w:name="rl%252525252525252525252525252525252525v"/>
      <w:bookmarkStart w:id="330" w:name="_Toc187327061"/>
      <w:bookmarkEnd w:id="322"/>
      <w:bookmarkEnd w:id="329"/>
      <w:r>
        <w:rPr>
          <w:shd w:fill="EEEEEE" w:val="clear"/>
          <w:lang w:val="de-DE"/>
        </w:rPr>
        <w:t xml:space="preserve">Beendigung oder Wechsel der </w:t>
      </w:r>
      <w:bookmarkEnd w:id="328"/>
      <w:r>
        <w:rPr>
          <w:shd w:fill="EEEEEE" w:val="clear"/>
          <w:lang w:val="de-DE"/>
        </w:rPr>
        <w:t>Tätigkeit</w:t>
      </w:r>
      <w:bookmarkEnd w:id="323"/>
      <w:bookmarkEnd w:id="324"/>
      <w:bookmarkEnd w:id="325"/>
      <w:bookmarkEnd w:id="326"/>
      <w:bookmarkEnd w:id="327"/>
      <w:bookmarkEnd w:id="330"/>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313"/>
        </w:numPr>
        <w:spacing w:lineRule="auto" w:line="250"/>
        <w:rPr>
          <w:shd w:fill="EEEEEE" w:val="clear"/>
        </w:rPr>
      </w:pPr>
      <w:r>
        <w:rPr>
          <w:shd w:fill="EEEEEE" w:val="clear"/>
        </w:rPr>
        <w:t>Soweit erforderlich, werden Mitarbeiter, Kunden sowie relevante externe Stellen über die Änderungen informiert.</w:t>
      </w:r>
    </w:p>
    <w:p>
      <w:pPr>
        <w:pStyle w:val="Liste1"/>
        <w:numPr>
          <w:ilvl w:val="0"/>
          <w:numId w:val="314"/>
        </w:numPr>
        <w:spacing w:lineRule="auto" w:line="250"/>
        <w:rPr>
          <w:shd w:fill="EEEEEE" w:val="clear"/>
        </w:rPr>
      </w:pPr>
      <w:r>
        <w:rPr>
          <w:shd w:fill="EEEEEE" w:val="clear"/>
        </w:rPr>
        <w:t>Die zur Verfügung gestellten IT-Ressourcen, Zugänge und Zugriffsrechte des Mit</w:t>
        <w:softHyphen/>
        <w:t>arbeiters werden umgehend überprüft und bei Bedarf angepasst.</w:t>
      </w:r>
    </w:p>
    <w:p>
      <w:pPr>
        <w:pStyle w:val="Liste1"/>
        <w:numPr>
          <w:ilvl w:val="0"/>
          <w:numId w:val="315"/>
        </w:numPr>
        <w:spacing w:lineRule="auto" w:line="250"/>
        <w:rPr>
          <w:shd w:fill="EEEEEE" w:val="clear"/>
        </w:rPr>
      </w:pPr>
      <w:r>
        <w:rPr>
          <w:shd w:fill="EEEEEE" w:val="clear"/>
        </w:rPr>
        <w:t>Die Zutrittsrechte des Mitarbeiters werden unverzüglich überprüft, und falls erforder</w:t>
        <w:softHyphen/>
        <w:t>lich, erfolgt die Einziehung oder Deaktivierung der physischen Zugangsmittel wie Schlüssel, Transponder etc.</w:t>
      </w:r>
    </w:p>
    <w:p>
      <w:pPr>
        <w:pStyle w:val="Heading1"/>
        <w:ind w:hanging="0" w:left="0"/>
        <w:rPr>
          <w:shd w:fill="EEEEEE" w:val="clear"/>
          <w:lang w:val="de-DE"/>
        </w:rPr>
      </w:pPr>
      <w:bookmarkStart w:id="331" w:name="__RefHeading___Toc31984_2021121348"/>
      <w:bookmarkStart w:id="332" w:name="_Toc187327062"/>
      <w:bookmarkStart w:id="333" w:name="wissen"/>
      <w:bookmarkStart w:id="334" w:name="_Toc530662907"/>
      <w:bookmarkStart w:id="335" w:name="_Ref184204485"/>
      <w:bookmarkStart w:id="336" w:name="_Toc531165042"/>
      <w:bookmarkStart w:id="337" w:name="rl%252525252525252525252525252525252525w"/>
      <w:bookmarkStart w:id="338" w:name="_Toc178588074"/>
      <w:bookmarkStart w:id="339" w:name="_Toc178761340"/>
      <w:bookmarkEnd w:id="331"/>
      <w:bookmarkEnd w:id="337"/>
      <w:r>
        <w:rPr>
          <w:shd w:fill="EEEEEE" w:val="clear"/>
          <w:lang w:val="de-DE"/>
        </w:rPr>
        <w:t>Wissen</w:t>
      </w:r>
      <w:bookmarkEnd w:id="332"/>
      <w:bookmarkEnd w:id="333"/>
      <w:bookmarkEnd w:id="334"/>
      <w:bookmarkEnd w:id="335"/>
      <w:bookmarkEnd w:id="336"/>
      <w:bookmarkEnd w:id="338"/>
      <w:bookmarkEnd w:id="339"/>
    </w:p>
    <w:p>
      <w:pPr>
        <w:pStyle w:val="Heading2"/>
        <w:ind w:hanging="0" w:left="0"/>
        <w:rPr>
          <w:shd w:fill="EEEEEE" w:val="clear"/>
          <w:lang w:val="de-DE"/>
        </w:rPr>
      </w:pPr>
      <w:bookmarkStart w:id="340" w:name="__RefHeading___Toc31986_2021121348"/>
      <w:bookmarkStart w:id="341" w:name="_Toc187327063"/>
      <w:bookmarkEnd w:id="340"/>
      <w:r>
        <w:rPr>
          <w:shd w:fill="EEEEEE" w:val="clear"/>
          <w:lang w:val="de-DE"/>
        </w:rPr>
        <w:t>Grundlagen</w:t>
      </w:r>
      <w:bookmarkEnd w:id="341"/>
    </w:p>
    <w:p>
      <w:pPr>
        <w:pStyle w:val="Normal"/>
        <w:rPr>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42" w:name="__RefHeading___Toc31988_2021121348"/>
      <w:bookmarkStart w:id="343" w:name="_Ref184204495"/>
      <w:bookmarkStart w:id="344" w:name="_Toc187327064"/>
      <w:bookmarkStart w:id="345" w:name="_Toc178588075"/>
      <w:bookmarkStart w:id="346" w:name="_Toc531165043"/>
      <w:bookmarkStart w:id="347" w:name="_Toc530662908"/>
      <w:bookmarkStart w:id="348" w:name="_Toc178761341"/>
      <w:bookmarkStart w:id="349" w:name="aktualitaet_des_wissens"/>
      <w:bookmarkStart w:id="350" w:name="rl%252525252525252525252525252525252525x"/>
      <w:bookmarkEnd w:id="342"/>
      <w:bookmarkEnd w:id="350"/>
      <w:r>
        <w:rPr>
          <w:lang w:val="de-DE"/>
        </w:rPr>
        <w:t>Aktualität des Wissens</w:t>
      </w:r>
      <w:bookmarkEnd w:id="343"/>
      <w:bookmarkEnd w:id="344"/>
      <w:bookmarkEnd w:id="345"/>
      <w:bookmarkEnd w:id="346"/>
      <w:bookmarkEnd w:id="347"/>
      <w:bookmarkEnd w:id="348"/>
      <w:bookmarkEnd w:id="349"/>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316"/>
        </w:numPr>
        <w:spacing w:lineRule="auto" w:line="250"/>
        <w:rPr>
          <w:shd w:fill="EEEEEE" w:val="clear"/>
        </w:rPr>
      </w:pPr>
      <w:r>
        <w:rPr>
          <w:shd w:fill="EEEEEE" w:val="clear"/>
        </w:rPr>
        <w:t>Es werden regelmäßig aus verlässlichen Quellen Informationen über die aktuellen gesetzlichen Anforderungen an die Informationssicherheit bezogen.</w:t>
      </w:r>
      <w:r>
        <w:rPr/>
        <w:commentReference w:id="15"/>
      </w:r>
    </w:p>
    <w:p>
      <w:pPr>
        <w:pStyle w:val="Liste1"/>
        <w:numPr>
          <w:ilvl w:val="0"/>
          <w:numId w:val="317"/>
        </w:numPr>
        <w:spacing w:lineRule="auto" w:line="247"/>
        <w:rPr>
          <w:shd w:fill="EEEEEE" w:val="clear"/>
        </w:rPr>
      </w:pPr>
      <w:r>
        <w:rPr>
          <w:shd w:fill="EEEEEE" w:val="clear"/>
        </w:rPr>
        <w:t>Es werden regelmäßig aus verlässlichen Quellen Informationen über neue Bedrohungen und Schwachstellen und über mögliche Gegenmaßnahmen bezogen.</w:t>
      </w:r>
    </w:p>
    <w:p>
      <w:pPr>
        <w:pStyle w:val="Liste1"/>
        <w:spacing w:lineRule="auto" w:line="247"/>
        <w:ind w:hanging="0" w:left="360"/>
        <w:rPr>
          <w:i/>
          <w:i/>
          <w:iCs/>
          <w:shd w:fill="auto" w:val="clear"/>
        </w:rPr>
      </w:pPr>
      <w:r>
        <w:rPr>
          <w:i/>
          <w:iCs/>
          <w:shd w:fill="auto" w:val="clear"/>
        </w:rPr>
        <w:t>Hierzu SOLLTE u. a. die Online-Plattform des BSI zum Informationsaustausch mit wichtigen und besonders wichtigen Einrichtungen genutzt werden.</w:t>
      </w:r>
    </w:p>
    <w:p>
      <w:pPr>
        <w:pStyle w:val="Liste1"/>
        <w:numPr>
          <w:ilvl w:val="0"/>
          <w:numId w:val="318"/>
        </w:numPr>
        <w:spacing w:lineRule="auto" w:line="247"/>
        <w:rPr>
          <w:shd w:fill="EEEEEE" w:val="clear"/>
        </w:rPr>
      </w:pPr>
      <w:r>
        <w:rPr>
          <w:shd w:fill="auto" w:val="clear"/>
        </w:rPr>
        <w:t>Es werden regelmäßig aus verlässlichen Quellen Informationen über die Weiterentwicklung von Sicherheitsmaßnahmen ￹(…) FIXME</w:t>
      </w:r>
    </w:p>
    <w:p>
      <w:pPr>
        <w:pStyle w:val="Liste1"/>
        <w:numPr>
          <w:ilvl w:val="0"/>
          <w:numId w:val="319"/>
        </w:numPr>
        <w:spacing w:lineRule="auto" w:line="247"/>
        <w:rPr>
          <w:shd w:fill="EEEEEE" w:val="clear"/>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320"/>
        </w:numPr>
        <w:spacing w:lineRule="auto" w:line="250"/>
        <w:rPr>
          <w:shd w:fill="EEEEEE" w:val="clear"/>
        </w:rPr>
      </w:pPr>
      <w:r>
        <w:rPr>
          <w:shd w:fill="EEEEEE" w:val="clear"/>
        </w:rPr>
        <w:t>Die Informationen werden im Hinblick auf die Bedeutung für die Informationssicherheit zeitnah ausgewertet, um geänderte Gefahrenlagen zu erkennen.</w:t>
      </w:r>
    </w:p>
    <w:p>
      <w:pPr>
        <w:pStyle w:val="Liste1"/>
        <w:numPr>
          <w:ilvl w:val="0"/>
          <w:numId w:val="321"/>
        </w:numPr>
        <w:spacing w:lineRule="auto" w:line="250"/>
        <w:rPr>
          <w:shd w:fill="EEEEEE" w:val="clear"/>
        </w:rPr>
      </w:pPr>
      <w:r>
        <w:rPr>
          <w:shd w:fill="EEEEEE" w:val="clear"/>
        </w:rPr>
        <w:t>Die jeweils Verantwortlichen werden über relevante Entwicklungen zeitnah informiert.</w:t>
      </w:r>
    </w:p>
    <w:p>
      <w:pPr>
        <w:pStyle w:val="Normal"/>
        <w:rPr/>
      </w:pPr>
      <w:r>
        <w:rPr>
          <w:rStyle w:val="Emphasis"/>
          <w:shd w:fill="EEEEEE" w:val="clear"/>
          <w:lang w:val="de-DE"/>
        </w:rPr>
        <w:t>E</w:t>
      </w:r>
      <w:commentRangeStart w:id="16"/>
      <w:r>
        <w:rPr>
          <w:rStyle w:val="Emphasis"/>
          <w:shd w:fill="EEEEEE" w:val="clear"/>
          <w:lang w:val="de-DE"/>
        </w:rPr>
        <w:t>s SOLLTEN Kontakte und Verbindungen zu Interessengruppen und Sicherheitsforen gepflegt werden, damit die Verantwortlichen auf dem aktuellen Wissensstand sind und auf Fachinformationen und -beratung zugreifen können.</w:t>
      </w:r>
      <w:commentRangeEnd w:id="16"/>
      <w:r>
        <w:commentReference w:id="16"/>
      </w:r>
      <w:r>
        <w:rPr/>
      </w:r>
    </w:p>
    <w:p>
      <w:pPr>
        <w:pStyle w:val="Heading2"/>
        <w:ind w:hanging="0" w:left="0"/>
        <w:rPr>
          <w:shd w:fill="EEEEEE" w:val="clear"/>
          <w:lang w:val="de-DE"/>
        </w:rPr>
      </w:pPr>
      <w:bookmarkStart w:id="351" w:name="__RefHeading___Toc31990_2021121348"/>
      <w:bookmarkStart w:id="352" w:name="_Toc187327065"/>
      <w:bookmarkStart w:id="353" w:name="_Toc178588076"/>
      <w:bookmarkStart w:id="354" w:name="_Toc178761342"/>
      <w:bookmarkStart w:id="355" w:name="_Toc530662909"/>
      <w:bookmarkStart w:id="356" w:name="_Toc531165044"/>
      <w:bookmarkStart w:id="357" w:name="_Ref184300217"/>
      <w:bookmarkStart w:id="358" w:name="schulung_und_sensibilisierung_del_sensib"/>
      <w:bookmarkEnd w:id="351"/>
      <w:commentRangeStart w:id="17"/>
      <w:r>
        <w:rPr>
          <w:shd w:fill="EEEEEE" w:val="clear"/>
          <w:lang w:val="de-DE"/>
        </w:rPr>
        <w:t>Schulung und Sensibilisierung</w:t>
      </w:r>
      <w:bookmarkEnd w:id="352"/>
      <w:bookmarkEnd w:id="353"/>
      <w:bookmarkEnd w:id="354"/>
      <w:bookmarkEnd w:id="355"/>
      <w:bookmarkEnd w:id="356"/>
      <w:bookmarkEnd w:id="357"/>
      <w:bookmarkEnd w:id="358"/>
      <w:commentRangeEnd w:id="17"/>
      <w:r>
        <w:commentReference w:id="17"/>
      </w:r>
      <w:r>
        <w:rPr/>
      </w:r>
    </w:p>
    <w:p>
      <w:pPr>
        <w:pStyle w:val="Normal"/>
        <w:rPr>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322"/>
        </w:numPr>
        <w:spacing w:lineRule="auto" w:line="250"/>
        <w:rPr>
          <w:shd w:fill="EEEEEE" w:val="clear"/>
        </w:rPr>
      </w:pPr>
      <w:r>
        <w:rPr>
          <w:shd w:fill="EEEEEE" w:val="clear"/>
        </w:rPr>
        <w:t>Sie werden regelmäßig sowie bei Bedarf durchgeführt.</w:t>
      </w:r>
    </w:p>
    <w:p>
      <w:pPr>
        <w:pStyle w:val="Liste1"/>
        <w:numPr>
          <w:ilvl w:val="0"/>
          <w:numId w:val="323"/>
        </w:numPr>
        <w:spacing w:lineRule="auto" w:line="250"/>
        <w:rPr>
          <w:shd w:fill="EEEEEE" w:val="clear"/>
        </w:rPr>
      </w:pPr>
      <w:r>
        <w:rPr>
          <w:shd w:fill="EEEEEE" w:val="clear"/>
        </w:rPr>
        <w:t>Ihre Art und ihr Intervall werden zielgruppenorientiert festgelegt.</w:t>
      </w:r>
    </w:p>
    <w:p>
      <w:pPr>
        <w:pStyle w:val="Liste1"/>
        <w:numPr>
          <w:ilvl w:val="0"/>
          <w:numId w:val="324"/>
        </w:numPr>
        <w:spacing w:lineRule="auto" w:line="250"/>
        <w:rPr>
          <w:shd w:fill="EEEEEE" w:val="clear"/>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325"/>
        </w:numPr>
        <w:spacing w:lineRule="auto" w:line="250" w:before="0" w:after="120"/>
        <w:rPr>
          <w:shd w:fill="EEEEEE" w:val="clear"/>
        </w:rPr>
      </w:pPr>
      <w:r>
        <w:rPr>
          <w:shd w:fill="EEEEEE" w:val="clear"/>
        </w:rPr>
        <w:t>Sie klären über Gefährdungen auf und schulen den Umgang mit den vorhandenen Sicherheitsmaßnahmen sowie das Verhalten bei Sicherheitsvorfällen.</w:t>
      </w:r>
    </w:p>
    <w:p>
      <w:pPr>
        <w:pStyle w:val="ListParagraph"/>
        <w:numPr>
          <w:ilvl w:val="0"/>
          <w:numId w:val="326"/>
        </w:numPr>
        <w:spacing w:lineRule="auto" w:line="250" w:before="0" w:after="120"/>
        <w:rPr>
          <w:shd w:fill="EEEEEE" w:val="clear"/>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327"/>
        </w:numPr>
        <w:spacing w:lineRule="auto" w:line="250" w:before="0" w:after="120"/>
        <w:rPr>
          <w:shd w:fill="EEEEEE" w:val="clear"/>
        </w:rPr>
      </w:pPr>
      <w:r>
        <w:rPr>
          <w:shd w:fill="EEEEEE" w:val="clear"/>
        </w:rPr>
        <w:t>Ihre Inhalte und die Teilnahme an ihnen werden dokumentiert.</w:t>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pPr>
      <w:r>
        <w:rPr>
          <w:rStyle w:val="Emphasis"/>
          <w:shd w:fill="EEEEEE" w:val="clear"/>
          <w:lang w:val="de-DE"/>
        </w:rPr>
        <w:t>Schulungs- und Sensibilisierungsmaßnahmen SOLLTEN von den Teilnehmern bewertet werden, um ihren Inhalt, ihre Form und ihren Ablauf zu verbessern.</w:t>
      </w:r>
    </w:p>
    <w:p>
      <w:pPr>
        <w:pStyle w:val="Heading2"/>
        <w:ind w:hanging="0" w:left="0"/>
        <w:rPr/>
      </w:pPr>
      <w:bookmarkStart w:id="359" w:name="__RefHeading___Toc29769_3572532615"/>
      <w:bookmarkEnd w:id="359"/>
      <w:r>
        <w:rPr>
          <w:rStyle w:val="Emphasis"/>
        </w:rPr>
        <w:t>Schulung des Topmanagements</w:t>
      </w:r>
    </w:p>
    <w:p>
      <w:pPr>
        <w:pStyle w:val="10000-DefaultParagraph"/>
        <w:rPr/>
      </w:pPr>
      <w:r>
        <w:rPr>
          <w:rStyle w:val="Emphasis"/>
          <w:i w:val="false"/>
          <w:iCs w:val="false"/>
          <w:shd w:fill="auto" w:val="clear"/>
        </w:rPr>
        <w:t>Das Topmanagement MUSS regelmäßig an Schulungen teilnehmen, um  die Umsetzung dieser Richtlinien billigen und überwachen zu können.</w:t>
      </w:r>
    </w:p>
    <w:p>
      <w:pPr>
        <w:pStyle w:val="10000-DefaultParagraph"/>
        <w:rPr/>
      </w:pPr>
      <w:r>
        <w:rPr>
          <w:rStyle w:val="Emphasis"/>
          <w:i w:val="false"/>
          <w:iCs w:val="false"/>
          <w:shd w:fill="auto" w:val="clear"/>
        </w:rPr>
        <w:t>Dazu MÜSSEN die Schulungen insbesondere die folgenden Kenntnisse und Fähigkeiten vermitteln:</w:t>
      </w:r>
      <w:r>
        <w:rPr/>
        <w:commentReference w:id="18"/>
      </w:r>
    </w:p>
    <w:p>
      <w:pPr>
        <w:pStyle w:val="Normal"/>
        <w:numPr>
          <w:ilvl w:val="0"/>
          <w:numId w:val="33"/>
        </w:numPr>
        <w:suppressAutoHyphens w:val="false"/>
        <w:ind w:hanging="397" w:left="397" w:right="0"/>
        <w:rPr/>
      </w:pPr>
      <w:r>
        <w:rPr>
          <w:rStyle w:val="Emphasis"/>
          <w:i w:val="false"/>
          <w:iCs w:val="false"/>
        </w:rPr>
        <w:t>Aufbau, Funktionsweise und Bedeutung des ISMS (siehe Abschnitt 6.4)</w:t>
      </w:r>
    </w:p>
    <w:p>
      <w:pPr>
        <w:pStyle w:val="Normal"/>
        <w:numPr>
          <w:ilvl w:val="0"/>
          <w:numId w:val="33"/>
        </w:numPr>
        <w:suppressAutoHyphens w:val="false"/>
        <w:ind w:hanging="397" w:left="397" w:right="0"/>
        <w:rPr/>
      </w:pPr>
      <w:r>
        <w:rPr>
          <w:rStyle w:val="Emphasis"/>
          <w:i w:val="false"/>
          <w:iCs w:val="false"/>
        </w:rPr>
        <w:t>Aufbau, Funktionsweise und Bedeutung des Risikomanagements (siehe Anhang A.2)</w:t>
      </w:r>
    </w:p>
    <w:p>
      <w:pPr>
        <w:pStyle w:val="Normal"/>
        <w:numPr>
          <w:ilvl w:val="0"/>
          <w:numId w:val="33"/>
        </w:numPr>
        <w:suppressAutoHyphens w:val="false"/>
        <w:ind w:hanging="397" w:left="397" w:right="0"/>
        <w:rPr/>
      </w:pPr>
      <w:r>
        <w:rPr>
          <w:rStyle w:val="Emphasis"/>
          <w:i w:val="false"/>
          <w:iCs w:val="false"/>
        </w:rPr>
        <w:t>Aufbau, Funktionsweise und Bedeutung der Maßnahmen zur Bewältigung von Sicherheitsvorfällen (siehe Kapitel &lt;FIXME&gt;) und Krisen (siehe Kapitel &lt;FIXME&gt;)</w:t>
      </w:r>
    </w:p>
    <w:p>
      <w:pPr>
        <w:pStyle w:val="10000-DefaultParagraph"/>
        <w:rPr/>
      </w:pPr>
      <w:r>
        <w:rPr>
          <w:rStyle w:val="Emphasis"/>
          <w:i w:val="false"/>
          <w:iCs w:val="false"/>
          <w:shd w:fill="auto" w:val="clear"/>
        </w:rPr>
        <w:t>Die Inhalte der Schulungen und die Teilnahme an ihnen MÜSSEN dokumentiert werden.</w:t>
      </w:r>
    </w:p>
    <w:p>
      <w:pPr>
        <w:pStyle w:val="10000-DefaultParagraph"/>
        <w:rPr/>
      </w:pPr>
      <w:r>
        <w:rPr>
          <w:rStyle w:val="Emphasis"/>
          <w:i/>
          <w:iCs/>
          <w:shd w:fill="auto" w:val="clear"/>
        </w:rPr>
        <w:t>Die Schulung KANN mit dem jährlichen Bericht des ISB an das IST (siehe Abschnitt 4.4) verbunden werden.</w:t>
      </w:r>
    </w:p>
    <w:p>
      <w:pPr>
        <w:pStyle w:val="Heading1"/>
        <w:ind w:hanging="0" w:left="0"/>
        <w:rPr>
          <w:lang w:val="de-DE"/>
        </w:rPr>
      </w:pPr>
      <w:bookmarkStart w:id="360" w:name="__RefHeading___Toc31994_2021121348"/>
      <w:bookmarkEnd w:id="360"/>
      <w:r>
        <w:rPr>
          <w:lang w:val="de-DE"/>
        </w:rPr>
        <w:t>Schutzkategorien</w:t>
      </w:r>
    </w:p>
    <w:p>
      <w:pPr>
        <w:pStyle w:val="Heading2"/>
        <w:ind w:hanging="0" w:left="0"/>
        <w:rPr>
          <w:lang w:val="de-DE"/>
        </w:rPr>
      </w:pPr>
      <w:bookmarkStart w:id="361" w:name="__RefHeading___Toc31996_2021121348"/>
      <w:bookmarkStart w:id="362" w:name="_Toc187327067"/>
      <w:bookmarkEnd w:id="361"/>
      <w:r>
        <w:rPr>
          <w:lang w:val="de-DE"/>
        </w:rPr>
        <w:t>Grundlagen</w:t>
      </w:r>
      <w:bookmarkEnd w:id="362"/>
    </w:p>
    <w:p>
      <w:pPr>
        <w:pStyle w:val="Normal"/>
        <w:rPr>
          <w:lang w:val="de-DE"/>
        </w:rPr>
      </w:pPr>
      <w:r>
        <w:rPr>
          <w:lang w:val="de-DE"/>
        </w:rPr>
        <w:t xml:space="preserve">Die Organisation MUSS ihre IT-Ressourcen (insbesondere ihre IT-Systeme, mobilen Datenträger, Verbindungen, Individualsoftware und ihre von Lieferanten eingekauften Güter für die Informationsverarbeitung)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328"/>
        </w:numPr>
        <w:suppressAutoHyphens w:val="false"/>
        <w:overflowPunct w:val="true"/>
        <w:bidi w:val="0"/>
        <w:spacing w:lineRule="auto" w:line="247" w:before="0" w:after="120"/>
        <w:ind w:hanging="397" w:left="397" w:right="0"/>
        <w:jc w:val="both"/>
        <w:rPr>
          <w:lang w:val="de-DE"/>
        </w:rPr>
      </w:pPr>
      <w:r>
        <w:rPr>
          <w:lang w:val="de-DE"/>
        </w:rPr>
        <w:t>IT-Ressourcen der Schutzkategorie „nachrangig“ sind IT-Ressourcen, bei denen ein Sicherheitsvorfall nur zu einem vernachlässigbaren Schaden führen kann (Risikoakzeptanzgrenze, siehe Anhang A 2) und die von der restlichen IT-Infrastruktur getrennt oder umfassend abgeschottet sind (siehe &lt;Segementierung der Netzwerke, FIXME&gt;).</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IT-Ressourcen der Schutzkategorie „standard“ sind alle IT-Ressourcen, die nicht nachrangig sind.</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 xml:space="preserve">IT-Ressourcen der Schutzkategorie „wichtig“ sind IT-Ressourcen, die für den Betrieb eines zentralen Prozesses oder eines Prozesses mit hohem Schadenspotential (siehe Abschnitt 9.2) zwingend benötigt werden. Sie sind eine Untermenge der IT-Ressourcen der Schutzkategorie „standard“. </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IT-Ressourcen der Schutzkategorie „kritisch“ sind IT-Ressourcen, die kritische Informationen (siehe Abschnitt 9.4)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Sie MUSS jährlich prüfen, ob die Einteilung aktuell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die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Informationsklassifizierung auf Basis eines anerkannten Standards wie ISO/IEC 27001 oder eine Schutzbedarfsanalyse gemäß BSI-Standard </w:t>
      </w:r>
      <w:r>
        <w:rPr>
          <w:rStyle w:val="Style"/>
          <w:shd w:fill="EEEEEE" w:val="clear"/>
          <w:lang w:val="de-DE"/>
        </w:rPr>
        <w:fldChar w:fldCharType="end"/>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rStyle w:val="Hyperlink"/>
          <w:u w:val="none"/>
          <w:shd w:fill="EEEEEE" w:val="clear"/>
          <w:lang w:val="de-DE"/>
        </w:rPr>
        <w:fldChar w:fldCharType="begin"/>
      </w:r>
      <w:r>
        <w:rPr>
          <w:rStyle w:val="Hyperlink"/>
          <w:u w:val="none"/>
          <w:shd w:fill="EEEEEE" w:val="clear"/>
          <w:lang w:val="de-DE"/>
        </w:rPr>
        <w:instrText xml:space="preserve"> REF _Ref178762217 \n \n \h </w:instrText>
      </w:r>
      <w:r>
        <w:rPr>
          <w:rStyle w:val="Hyperlink"/>
          <w:u w:val="none"/>
          <w:shd w:fill="EEEEEE" w:val="clear"/>
          <w:lang w:val="de-DE"/>
        </w:rPr>
        <w:fldChar w:fldCharType="separate"/>
      </w:r>
      <w:r>
        <w:rPr>
          <w:rStyle w:val="Hyperlink"/>
          <w:u w:val="none"/>
          <w:shd w:fill="EEEEEE" w:val="clear"/>
          <w:lang w:val="de-DE"/>
        </w:rPr>
        <w:t>A.1</w:t>
      </w:r>
      <w:r>
        <w:rPr>
          <w:rStyle w:val="Hyperlink"/>
          <w:u w:val="none"/>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lang w:val="de-DE"/>
        </w:rPr>
      </w:pPr>
      <w:bookmarkStart w:id="363" w:name="__RefHeading___Toc31998_2021121348"/>
      <w:bookmarkStart w:id="364" w:name="prozesse"/>
      <w:bookmarkStart w:id="365" w:name="_Toc531165046"/>
      <w:bookmarkStart w:id="366" w:name="_Toc187327068"/>
      <w:bookmarkStart w:id="367" w:name="_Toc178588078"/>
      <w:bookmarkStart w:id="368" w:name="_Toc178761344"/>
      <w:bookmarkStart w:id="369" w:name="rl%252525252525252525252525252525252525y"/>
      <w:bookmarkStart w:id="370" w:name="_Toc530662911"/>
      <w:bookmarkEnd w:id="363"/>
      <w:bookmarkEnd w:id="369"/>
      <w:r>
        <w:rPr>
          <w:shd w:fill="EEEEEE" w:val="clear"/>
          <w:lang w:val="de-DE"/>
        </w:rPr>
        <w:t>Prozesse</w:t>
      </w:r>
      <w:bookmarkEnd w:id="364"/>
      <w:bookmarkEnd w:id="365"/>
      <w:bookmarkEnd w:id="366"/>
      <w:bookmarkEnd w:id="367"/>
      <w:bookmarkEnd w:id="368"/>
      <w:bookmarkEnd w:id="370"/>
    </w:p>
    <w:p>
      <w:pPr>
        <w:pStyle w:val="Normal"/>
        <w:rPr>
          <w:shd w:fill="EEEEEE" w:val="clear"/>
        </w:rPr>
      </w:pPr>
      <w:r>
        <w:rPr>
          <w:shd w:fill="EEEEEE" w:val="clear"/>
        </w:rPr>
        <w:t>Die Organisation MUSS ihre zentralen Prozesse und ihre Prozesse mit hohem Schadenpotenzial identifizieren und dokumentieren.</w:t>
      </w:r>
    </w:p>
    <w:p>
      <w:pPr>
        <w:pStyle w:val="Normal"/>
        <w:rPr>
          <w:shd w:fill="EEEEEE" w:val="clear"/>
        </w:rPr>
      </w:pPr>
      <w:r>
        <w:rPr>
          <w:shd w:fill="EEEEEE" w:val="clear"/>
        </w:rPr>
        <w:t>Die Dokumentation MUSS folgende Anforderungen erfüllen:</w:t>
      </w:r>
    </w:p>
    <w:p>
      <w:pPr>
        <w:pStyle w:val="Liste1"/>
        <w:numPr>
          <w:ilvl w:val="0"/>
          <w:numId w:val="329"/>
        </w:numPr>
        <w:spacing w:lineRule="auto" w:line="250"/>
        <w:rPr>
          <w:shd w:fill="EEEEEE" w:val="clear"/>
        </w:rPr>
      </w:pPr>
      <w:r>
        <w:rPr>
          <w:shd w:fill="EEEEEE" w:val="clear"/>
        </w:rPr>
        <w:t>Sie enthält eine kurze Beschreibung des Prozesses.</w:t>
      </w:r>
    </w:p>
    <w:p>
      <w:pPr>
        <w:pStyle w:val="Liste1"/>
        <w:numPr>
          <w:ilvl w:val="0"/>
          <w:numId w:val="330"/>
        </w:numPr>
        <w:spacing w:lineRule="auto" w:line="250"/>
        <w:rPr>
          <w:shd w:fill="EEEEEE" w:val="clear"/>
        </w:rPr>
      </w:pPr>
      <w:r>
        <w:rPr>
          <w:shd w:fill="EEEEEE" w:val="clear"/>
        </w:rPr>
        <w:t>Sie begründet, warum der Prozess ein zentraler Prozess bzw. ein Prozess mit hohem Schadenpotenzial ist.</w:t>
      </w:r>
    </w:p>
    <w:p>
      <w:pPr>
        <w:pStyle w:val="Liste1"/>
        <w:numPr>
          <w:ilvl w:val="0"/>
          <w:numId w:val="331"/>
        </w:numPr>
        <w:spacing w:lineRule="auto" w:line="250"/>
        <w:rPr>
          <w:shd w:fill="EEEEEE" w:val="clear"/>
        </w:rPr>
      </w:pPr>
      <w:r>
        <w:rPr>
          <w:shd w:fill="EEEEEE" w:val="clear"/>
        </w:rPr>
        <w:t>Sie benennt, wer für den Prozess verantwortlich ist (Prozessverantwortlicher).</w:t>
      </w:r>
    </w:p>
    <w:p>
      <w:pPr>
        <w:pStyle w:val="Liste1"/>
        <w:numPr>
          <w:ilvl w:val="0"/>
          <w:numId w:val="332"/>
        </w:numPr>
        <w:spacing w:lineRule="auto" w:line="250"/>
        <w:rPr>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71" w:name="__RefHeading___Toc32004_2021121348"/>
      <w:bookmarkEnd w:id="371"/>
      <w:r>
        <w:rPr>
          <w:lang w:val="de-DE"/>
        </w:rPr>
        <w:t>Wichtige IT-Ressourcen</w:t>
      </w:r>
    </w:p>
    <w:p>
      <w:pPr>
        <w:pStyle w:val="Normal"/>
        <w:rPr>
          <w:lang w:val="de-DE"/>
        </w:rPr>
      </w:pPr>
      <w:r>
        <w:rPr>
          <w:lang w:val="de-DE"/>
        </w:rPr>
        <w:t>Die Organisation MUSS ihre wichtigen IT-Ressourcen dokumentieren.</w:t>
      </w:r>
    </w:p>
    <w:p>
      <w:pPr>
        <w:pStyle w:val="Normal"/>
        <w:rPr>
          <w:lang w:val="de-DE"/>
        </w:rPr>
      </w:pPr>
      <w:r>
        <w:rPr>
          <w:lang w:val="de-DE"/>
        </w:rPr>
        <w:t>Die Dokumentation MUSS folgende Anforderungen erfüllen:</w:t>
      </w:r>
    </w:p>
    <w:p>
      <w:pPr>
        <w:pStyle w:val="Liste1"/>
        <w:numPr>
          <w:ilvl w:val="0"/>
          <w:numId w:val="333"/>
        </w:numPr>
        <w:rPr>
          <w:lang w:val="de-DE"/>
        </w:rPr>
      </w:pPr>
      <w:r>
        <w:rPr>
          <w:lang w:val="de-DE"/>
        </w:rPr>
        <w:t>Sie enthält eine kurze Beschreibung der wichtigen IT-Ressource.</w:t>
      </w:r>
    </w:p>
    <w:p>
      <w:pPr>
        <w:pStyle w:val="Liste1"/>
        <w:numPr>
          <w:ilvl w:val="0"/>
          <w:numId w:val="334"/>
        </w:numPr>
        <w:rPr>
          <w:lang w:val="de-DE"/>
        </w:rPr>
      </w:pPr>
      <w:r>
        <w:rPr>
          <w:lang w:val="de-DE"/>
        </w:rPr>
        <w:t>Sie begründet, warum die IT-Ressource wichtig ist.</w:t>
      </w:r>
    </w:p>
    <w:p>
      <w:pPr>
        <w:pStyle w:val="Liste1"/>
        <w:numPr>
          <w:ilvl w:val="0"/>
          <w:numId w:val="335"/>
        </w:numPr>
        <w:rPr>
          <w:lang w:val="de-DE"/>
        </w:rPr>
      </w:pPr>
      <w:r>
        <w:rPr>
          <w:lang w:val="de-DE"/>
        </w:rPr>
        <w:t>Sie enthält die maximal tolerierbare Ausfallzeit (MTA) der IT-Ressource.</w:t>
      </w:r>
    </w:p>
    <w:p>
      <w:pPr>
        <w:pStyle w:val="Normal"/>
        <w:rPr>
          <w:lang w:val="de-DE"/>
        </w:rPr>
      </w:pPr>
      <w:r>
        <w:rPr>
          <w:lang w:val="de-DE"/>
        </w:rPr>
        <w:t>Die MTA MUSS ebenso kurz oder kürzer sein, als die kürzeste MTA aller zentralen Prozesse und Prozesse mit hohem Schadenspotential (siehe Abschnitt 9.2), die von der wichtigen IT-Ressource direkt oder indirekt abhängig sind.</w:t>
      </w:r>
    </w:p>
    <w:p>
      <w:pPr>
        <w:pStyle w:val="Empfehlung"/>
        <w:rPr>
          <w:lang w:val="de-DE"/>
        </w:rPr>
      </w:pPr>
      <w:r>
        <w:rPr>
          <w:lang w:val="de-DE"/>
        </w:rPr>
        <w:t>Bei der Bestimmung der MTA SOLLTEN Abhängigkeiten zwischen wichtigen IT-Ressourcen berücksichtigt werden.</w:t>
      </w:r>
    </w:p>
    <w:p>
      <w:pPr>
        <w:pStyle w:val="Normal"/>
        <w:rPr>
          <w:lang w:val="de-DE"/>
        </w:rPr>
      </w:pPr>
      <w:r>
        <w:rPr>
          <w:lang w:val="de-DE"/>
        </w:rPr>
        <w:t>Die Aufstellung der wichtigen IT-Ressourcen und deren Dokumentation MUSS vom IT-Verantwortlichen freigegeben werden.</w:t>
      </w:r>
    </w:p>
    <w:p>
      <w:pPr>
        <w:pStyle w:val="Heading2"/>
        <w:ind w:hanging="0" w:left="0"/>
        <w:rPr>
          <w:shd w:fill="EEEEEE" w:val="clear"/>
          <w:lang w:val="de-DE"/>
        </w:rPr>
      </w:pPr>
      <w:bookmarkStart w:id="372" w:name="__RefHeading___Toc32006_2021121348"/>
      <w:bookmarkStart w:id="373" w:name="_Toc187327069"/>
      <w:bookmarkStart w:id="374" w:name="_Toc178761345"/>
      <w:bookmarkStart w:id="375" w:name="rl%252525252525252525252525252525252525z"/>
      <w:bookmarkStart w:id="376" w:name="_Toc178588079"/>
      <w:bookmarkStart w:id="377" w:name="_Ref178762340"/>
      <w:bookmarkStart w:id="378" w:name="_Ref178762353"/>
      <w:bookmarkEnd w:id="372"/>
      <w:bookmarkEnd w:id="375"/>
      <w:r>
        <w:rPr>
          <w:shd w:fill="EEEEEE" w:val="clear"/>
          <w:lang w:val="de-DE"/>
        </w:rPr>
        <w:t xml:space="preserve">Kritische </w:t>
      </w:r>
      <w:bookmarkStart w:id="379" w:name="_Ref530719418"/>
      <w:bookmarkStart w:id="380" w:name="_Toc530662912"/>
      <w:bookmarkStart w:id="381" w:name="_Toc531165047"/>
      <w:r>
        <w:rPr>
          <w:shd w:fill="EEEEEE" w:val="clear"/>
          <w:lang w:val="de-DE"/>
        </w:rPr>
        <w:t>Informationen</w:t>
      </w:r>
      <w:bookmarkEnd w:id="373"/>
      <w:bookmarkEnd w:id="374"/>
      <w:bookmarkEnd w:id="376"/>
      <w:bookmarkEnd w:id="377"/>
      <w:bookmarkEnd w:id="378"/>
      <w:bookmarkEnd w:id="379"/>
      <w:bookmarkEnd w:id="380"/>
      <w:bookmarkEnd w:id="381"/>
    </w:p>
    <w:p>
      <w:pPr>
        <w:pStyle w:val="10000-DefaultParagraph"/>
        <w:rPr>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336"/>
        </w:numPr>
        <w:rPr>
          <w:shd w:fill="EEEEEE" w:val="clear"/>
          <w:lang w:val="de-DE"/>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337"/>
        </w:numPr>
        <w:rPr>
          <w:shd w:fill="EEEEEE" w:val="clear"/>
          <w:lang w:val="de-DE"/>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338"/>
        </w:numPr>
        <w:rPr>
          <w:shd w:fill="EEEEEE" w:val="clear"/>
          <w:lang w:val="de-DE"/>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339"/>
        </w:numPr>
        <w:rPr>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shd w:fill="EEEEEE" w:val="clear"/>
          <w:lang w:val="de-DE"/>
        </w:rPr>
      </w:pPr>
      <w:r>
        <w:rPr>
          <w:shd w:fill="EEEEEE" w:val="clear"/>
          <w:lang w:val="de-DE"/>
        </w:rPr>
        <w:t xml:space="preserve">Hierfür MÜSSEN die zentralen Prozesse und die Prozesse mit hohem Schadenspotential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28"/>
        </w:numPr>
        <w:rPr>
          <w:shd w:fill="EEEEEE" w:val="clear"/>
          <w:lang w:val="de-DE"/>
        </w:rPr>
      </w:pPr>
      <w:r>
        <w:rPr>
          <w:shd w:fill="EEEEEE" w:val="clear"/>
          <w:lang w:val="de-DE"/>
        </w:rPr>
        <w:t>Sie enthält die Kriterien, anhand derer die Informationen als kritisch eingestuft wurden.</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28"/>
        </w:numPr>
        <w:rPr>
          <w:shd w:fill="EEEEEE" w:val="clear"/>
          <w:lang w:val="de-DE"/>
        </w:rPr>
      </w:pPr>
      <w:r>
        <w:rPr>
          <w:shd w:fill="EEEEEE" w:val="clear"/>
          <w:lang w:val="de-DE"/>
        </w:rPr>
        <w:t>Sie begründet, warum die Informationen kritisch sind.</w:t>
      </w:r>
    </w:p>
    <w:p>
      <w:pPr>
        <w:pStyle w:val="10000-DefaultParagraph"/>
        <w:rPr>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shd w:fill="EEEEEE" w:val="clear"/>
          <w:lang w:val="de-DE"/>
        </w:rPr>
      </w:pPr>
      <w:bookmarkStart w:id="382" w:name="__RefHeading___Toc32008_2021121348"/>
      <w:bookmarkStart w:id="383" w:name="_Toc178761346"/>
      <w:bookmarkStart w:id="384" w:name="_Toc178588080"/>
      <w:bookmarkStart w:id="385" w:name="_Ref184201031"/>
      <w:bookmarkStart w:id="386" w:name="_Ref184201086"/>
      <w:bookmarkStart w:id="387" w:name="_Ref184200952"/>
      <w:bookmarkStart w:id="388" w:name="rl%2525252525252525252525252525252525210"/>
      <w:bookmarkStart w:id="389" w:name="_Toc187327070"/>
      <w:bookmarkStart w:id="390" w:name="_Ref179186143"/>
      <w:bookmarkEnd w:id="382"/>
      <w:bookmarkEnd w:id="388"/>
      <w:r>
        <w:rPr>
          <w:shd w:fill="EEEEEE" w:val="clear"/>
          <w:lang w:val="de-DE"/>
        </w:rPr>
        <w:t xml:space="preserve">Kritische </w:t>
      </w:r>
      <w:bookmarkStart w:id="391" w:name="_Toc530662913"/>
      <w:bookmarkStart w:id="392" w:name="it-ressourcen_del_it-systeme_mobile_date"/>
      <w:bookmarkStart w:id="393" w:name="_Toc531165048"/>
      <w:r>
        <w:rPr>
          <w:shd w:fill="EEEEEE" w:val="clear"/>
          <w:lang w:val="de-DE"/>
        </w:rPr>
        <w:t>IT-Ressourcen</w:t>
      </w:r>
      <w:bookmarkEnd w:id="383"/>
      <w:bookmarkEnd w:id="384"/>
      <w:bookmarkEnd w:id="385"/>
      <w:bookmarkEnd w:id="386"/>
      <w:bookmarkEnd w:id="387"/>
      <w:bookmarkEnd w:id="389"/>
      <w:bookmarkEnd w:id="390"/>
      <w:bookmarkEnd w:id="391"/>
      <w:bookmarkEnd w:id="392"/>
      <w:bookmarkEnd w:id="393"/>
    </w:p>
    <w:p>
      <w:pPr>
        <w:pStyle w:val="10000-DefaultParagraph"/>
        <w:rPr>
          <w:shd w:fill="EEEEEE" w:val="clear"/>
          <w:lang w:val="de-DE"/>
        </w:rPr>
      </w:pPr>
      <w:r>
        <w:rPr>
          <w:shd w:fill="EEEEEE" w:val="clear"/>
          <w:lang w:val="de-DE"/>
        </w:rPr>
        <w:t>Die Organisation MUSS ihre kritischen IT-Ressourcen dokumentieren.</w:t>
      </w:r>
    </w:p>
    <w:p>
      <w:pPr>
        <w:pStyle w:val="10000-DefaultParagraph"/>
        <w:rPr>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Empfehlung"/>
        <w:rPr>
          <w:i/>
          <w:i/>
          <w:iCs/>
        </w:rPr>
      </w:pPr>
      <w:r>
        <w:rPr>
          <w:i/>
          <w:iCs/>
          <w:lang w:val="de-DE"/>
        </w:rPr>
        <w:t>Dabei SOLLTE der gesamte Lebensweg der kritischen Informationen berücksichtigt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340"/>
        </w:numPr>
        <w:rPr>
          <w:shd w:fill="EEEEEE" w:val="clear"/>
          <w:lang w:val="de-DE"/>
        </w:rPr>
      </w:pPr>
      <w:r>
        <w:rPr>
          <w:shd w:fill="EEEEEE" w:val="clear"/>
          <w:lang w:val="de-DE"/>
        </w:rPr>
        <w:t>Sie enthält eine kurze Beschreibung der kritischen IT-Ressource.</w:t>
      </w:r>
    </w:p>
    <w:p>
      <w:pPr>
        <w:pStyle w:val="10000-DefaultParagraph"/>
        <w:numPr>
          <w:ilvl w:val="0"/>
          <w:numId w:val="341"/>
        </w:numPr>
        <w:rPr>
          <w:shd w:fill="EEEEEE" w:val="clear"/>
          <w:lang w:val="de-DE"/>
        </w:rPr>
      </w:pPr>
      <w:r>
        <w:rPr>
          <w:shd w:fill="EEEEEE" w:val="clear"/>
          <w:lang w:val="de-DE"/>
        </w:rPr>
        <w:t>Sie begründet, warum die IT-Ressource kritisch ist.</w:t>
      </w:r>
    </w:p>
    <w:p>
      <w:pPr>
        <w:pStyle w:val="10000-DefaultParagraph"/>
        <w:rPr>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94" w:name="__RefHeading___Toc32010_2021121348"/>
      <w:bookmarkEnd w:id="394"/>
      <w:r>
        <w:rPr>
          <w:lang w:val="de-DE"/>
        </w:rPr>
        <w:t>Weitere Kategorien von IT-Ressourcen</w:t>
      </w:r>
    </w:p>
    <w:p>
      <w:pPr>
        <w:pStyle w:val="Empfehlung"/>
        <w:rPr>
          <w:lang w:val="de-DE"/>
        </w:rPr>
      </w:pPr>
      <w:r>
        <w:rPr>
          <w:lang w:val="de-DE"/>
        </w:rPr>
        <w:t>Die Organisation SOLLTE prüfen, ob es notwendig oder sinnvoll ist, im Zuge des Risikomanagements weitere Kategorien von IT-Ressourcen zu definieren, diese zyklisch oder fortlaufend zu erfassen und sie mit individuell abgestimmten technischen und organisatorischen Maßnahmen abzusichern.</w:t>
      </w:r>
    </w:p>
    <w:p>
      <w:pPr>
        <w:pStyle w:val="Heading1"/>
        <w:ind w:hanging="0" w:left="0"/>
        <w:rPr>
          <w:shd w:fill="EEEEEE" w:val="clear"/>
          <w:lang w:val="de-DE"/>
        </w:rPr>
      </w:pPr>
      <w:bookmarkStart w:id="395" w:name="__RefHeading___Toc32012_2021121348"/>
      <w:bookmarkStart w:id="396" w:name="_Toc178588081"/>
      <w:bookmarkStart w:id="397" w:name="rl%2525252525252525252525252525252525211"/>
      <w:bookmarkStart w:id="398" w:name="it-systeme"/>
      <w:bookmarkStart w:id="399" w:name="_Toc531165049"/>
      <w:bookmarkStart w:id="400" w:name="_Toc530662914"/>
      <w:bookmarkStart w:id="401" w:name="_Toc187327071"/>
      <w:bookmarkStart w:id="402" w:name="_Toc178761347"/>
      <w:bookmarkEnd w:id="395"/>
      <w:bookmarkEnd w:id="397"/>
      <w:r>
        <w:rPr>
          <w:shd w:fill="EEEEEE" w:val="clear"/>
          <w:lang w:val="de-DE"/>
        </w:rPr>
        <w:t>IT-Systeme</w:t>
      </w:r>
      <w:bookmarkEnd w:id="396"/>
      <w:bookmarkEnd w:id="398"/>
      <w:bookmarkEnd w:id="399"/>
      <w:bookmarkEnd w:id="400"/>
      <w:bookmarkEnd w:id="401"/>
      <w:bookmarkEnd w:id="402"/>
    </w:p>
    <w:p>
      <w:pPr>
        <w:pStyle w:val="Heading2"/>
        <w:ind w:hanging="0" w:left="0"/>
        <w:rPr>
          <w:shd w:fill="EEEEEE" w:val="clear"/>
          <w:lang w:val="de-DE"/>
        </w:rPr>
      </w:pPr>
      <w:bookmarkStart w:id="403" w:name="__RefHeading___Toc32014_2021121348"/>
      <w:bookmarkStart w:id="404" w:name="_Toc187327072"/>
      <w:bookmarkEnd w:id="403"/>
      <w:r>
        <w:rPr>
          <w:shd w:fill="EEEEEE" w:val="clear"/>
          <w:lang w:val="de-DE"/>
        </w:rPr>
        <w:t>Grundlagen</w:t>
      </w:r>
      <w:bookmarkEnd w:id="404"/>
    </w:p>
    <w:p>
      <w:pPr>
        <w:pStyle w:val="10000-DefaultParagraph"/>
        <w:rPr>
          <w:shd w:fill="EEEEEE" w:val="clear"/>
          <w:lang w:val="de-DE"/>
        </w:rPr>
      </w:pPr>
      <w:r>
        <w:rPr>
          <w:shd w:fill="EEEEEE" w:val="clear"/>
          <w:lang w:val="de-DE"/>
        </w:rPr>
        <w:t>Die Informationsverarbeitung einer Organisation geschieht zum größten Teil elektronisch. Es ist notwendig, IT-Systeme strukturiert zu verwalten und abzusichern.</w:t>
      </w:r>
    </w:p>
    <w:p>
      <w:pPr>
        <w:pStyle w:val="Heading2"/>
        <w:ind w:hanging="0" w:left="0"/>
        <w:rPr/>
      </w:pPr>
      <w:bookmarkStart w:id="405" w:name="__RefHeading___Toc18923_512392082"/>
      <w:bookmarkEnd w:id="405"/>
      <w:r>
        <w:rPr/>
        <w:t>Beschaffung</w:t>
      </w:r>
    </w:p>
    <w:p>
      <w:pPr>
        <w:pStyle w:val="10000-DefaultParagraph"/>
        <w:rPr>
          <w:shd w:fill="EEEEEE" w:val="clear"/>
          <w:lang w:val="de-DE"/>
        </w:rPr>
      </w:pPr>
      <w:r>
        <w:rPr>
          <w:shd w:fill="EEEEEE" w:val="clear"/>
          <w:lang w:val="de-DE"/>
        </w:rPr>
        <w:t>Bei der Beschaffung von IT-Systemen</w:t>
      </w:r>
      <w:r>
        <w:rPr>
          <w:shd w:fill="EEEEEE" w:val="clear"/>
          <w:lang w:val="de-DE"/>
        </w:rPr>
        <w:t xml:space="preserve"> M</w:t>
      </w:r>
      <w:r>
        <w:rPr>
          <w:shd w:fill="EEEEEE" w:val="clear"/>
          <w:lang w:val="de-DE"/>
        </w:rPr>
        <w:t>Ü</w:t>
      </w:r>
      <w:r>
        <w:rPr>
          <w:shd w:fill="EEEEEE" w:val="clear"/>
          <w:lang w:val="de-DE"/>
        </w:rPr>
        <w:t>SS</w:t>
      </w:r>
      <w:r>
        <w:rPr>
          <w:shd w:fill="EEEEEE" w:val="clear"/>
          <w:lang w:val="de-DE"/>
        </w:rPr>
        <w:t>EN die Vorgaben</w:t>
      </w:r>
      <w:r>
        <w:rPr>
          <w:shd w:fill="EEEEEE" w:val="clear"/>
          <w:lang w:val="de-DE"/>
        </w:rPr>
        <w:t xml:space="preserve"> </w:t>
      </w:r>
      <w:r>
        <w:rPr>
          <w:shd w:fill="EEEEEE" w:val="clear"/>
          <w:lang w:val="de-DE"/>
        </w:rPr>
        <w:t>in</w:t>
      </w:r>
      <w:r>
        <w:rPr>
          <w:shd w:fill="EEEEEE" w:val="clear"/>
          <w:lang w:val="de-DE"/>
        </w:rPr>
        <w:t xml:space="preserve"> Kapitel 14 </w:t>
      </w:r>
      <w:r>
        <w:rPr>
          <w:shd w:fill="EEEEEE" w:val="clear"/>
          <w:lang w:val="de-DE"/>
        </w:rPr>
        <w:t>beachtet werden</w:t>
      </w:r>
      <w:r>
        <w:rPr>
          <w:shd w:fill="EEEEEE" w:val="clear"/>
          <w:lang w:val="de-DE"/>
        </w:rPr>
        <w:t>.</w:t>
      </w:r>
    </w:p>
    <w:p>
      <w:pPr>
        <w:pStyle w:val="Heading2"/>
        <w:ind w:hanging="0" w:left="0"/>
        <w:rPr>
          <w:shd w:fill="EEEEEE" w:val="clear"/>
          <w:lang w:val="de-DE"/>
        </w:rPr>
      </w:pPr>
      <w:bookmarkStart w:id="406" w:name="__RefHeading___Toc32016_2021121348"/>
      <w:bookmarkStart w:id="407" w:name="_Ref179186163"/>
      <w:bookmarkStart w:id="408" w:name="_Toc187327073"/>
      <w:bookmarkStart w:id="409" w:name="_Toc178588082"/>
      <w:bookmarkStart w:id="410" w:name="_Toc530662915"/>
      <w:bookmarkStart w:id="411" w:name="inventarisierung_und_dokumentation"/>
      <w:bookmarkStart w:id="412" w:name="_Toc531165050"/>
      <w:bookmarkStart w:id="413" w:name="rl%2525252525252525252525252525252525212"/>
      <w:bookmarkStart w:id="414" w:name="_Toc178761348"/>
      <w:bookmarkStart w:id="415" w:name="_Ref179186274"/>
      <w:bookmarkEnd w:id="406"/>
      <w:bookmarkEnd w:id="413"/>
      <w:r>
        <w:rPr>
          <w:shd w:fill="EEEEEE" w:val="clear"/>
          <w:lang w:val="de-DE"/>
        </w:rPr>
        <w:t>I</w:t>
      </w:r>
      <w:commentRangeStart w:id="19"/>
      <w:r>
        <w:rPr>
          <w:shd w:fill="EEEEEE" w:val="clear"/>
          <w:lang w:val="de-DE"/>
        </w:rPr>
        <w:t>nventarisierung</w:t>
      </w:r>
      <w:bookmarkEnd w:id="407"/>
      <w:bookmarkEnd w:id="408"/>
      <w:bookmarkEnd w:id="409"/>
      <w:bookmarkEnd w:id="410"/>
      <w:bookmarkEnd w:id="411"/>
      <w:bookmarkEnd w:id="412"/>
      <w:bookmarkEnd w:id="414"/>
      <w:bookmarkEnd w:id="415"/>
      <w:commentRangeEnd w:id="19"/>
      <w:r>
        <w:commentReference w:id="19"/>
      </w:r>
      <w:r>
        <w:rPr/>
      </w:r>
    </w:p>
    <w:p>
      <w:pPr>
        <w:pStyle w:val="10000-DefaultParagraph"/>
        <w:rPr>
          <w:shd w:fill="EEEEEE" w:val="clear"/>
          <w:lang w:val="de-DE"/>
        </w:rPr>
      </w:pPr>
      <w:r>
        <w:rPr>
          <w:shd w:fill="EEEEEE" w:val="clear"/>
          <w:lang w:val="de-DE"/>
        </w:rPr>
        <w:t>Es MUSS eine Inventarisierung vorhanden sein, in der alle IT-Systeme verzeichnet sind.</w:t>
      </w:r>
    </w:p>
    <w:p>
      <w:pPr>
        <w:pStyle w:val="10000-DefaultParagraph"/>
        <w:rPr>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10.4.2</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10.4.3</w:t>
      </w:r>
      <w:r>
        <w:rPr>
          <w:shd w:fill="EEEEEE" w:val="clear"/>
          <w:lang w:val="de-DE"/>
        </w:rPr>
        <w:fldChar w:fldCharType="end"/>
      </w:r>
      <w:r>
        <w:rPr>
          <w:shd w:fill="EEEEEE" w:val="clear"/>
          <w:lang w:val="de-DE"/>
        </w:rPr>
        <w:t>) vollständig und aktuell gehalten werden.</w:t>
      </w:r>
    </w:p>
    <w:p>
      <w:pPr>
        <w:pStyle w:val="10000-DefaultParagraph"/>
        <w:rPr>
          <w:shd w:fill="EEEEEE" w:val="clear"/>
          <w:lang w:val="de-DE"/>
        </w:rPr>
      </w:pPr>
      <w:r>
        <w:rPr>
          <w:shd w:fill="EEEEEE" w:val="clear"/>
          <w:lang w:val="de-DE"/>
        </w:rPr>
        <w:t>In ihr MÜSSEN folgende Informationen für jedes IT-System verzeichnet sein:</w:t>
      </w:r>
    </w:p>
    <w:p>
      <w:pPr>
        <w:pStyle w:val="10000-DefaultParagraph"/>
        <w:numPr>
          <w:ilvl w:val="0"/>
          <w:numId w:val="342"/>
        </w:numPr>
        <w:rPr>
          <w:shd w:fill="EEEEEE" w:val="clear"/>
          <w:lang w:val="de-DE"/>
        </w:rPr>
      </w:pPr>
      <w:r>
        <w:rPr>
          <w:shd w:fill="EEEEEE" w:val="clear"/>
          <w:lang w:val="de-DE"/>
        </w:rPr>
        <w:t>Eindeutiges Identifizierungsmerkmal</w:t>
      </w:r>
    </w:p>
    <w:p>
      <w:pPr>
        <w:pStyle w:val="10000-DefaultParagraph"/>
        <w:numPr>
          <w:ilvl w:val="0"/>
          <w:numId w:val="343"/>
        </w:numPr>
        <w:rPr>
          <w:shd w:fill="EEEEEE" w:val="clear"/>
          <w:lang w:val="de-DE"/>
        </w:rPr>
      </w:pPr>
      <w:r>
        <w:rPr>
          <w:shd w:fill="EEEEEE" w:val="clear"/>
          <w:lang w:val="de-DE"/>
        </w:rPr>
        <w:t>Informationen, die eine schnelle Lokalisierung erlauben</w:t>
      </w:r>
    </w:p>
    <w:p>
      <w:pPr>
        <w:pStyle w:val="10000-DefaultParagraph"/>
        <w:numPr>
          <w:ilvl w:val="0"/>
          <w:numId w:val="344"/>
        </w:numPr>
        <w:rPr>
          <w:shd w:fill="EEEEEE" w:val="clear"/>
          <w:lang w:val="de-DE"/>
        </w:rPr>
      </w:pPr>
      <w:r>
        <w:rPr>
          <w:shd w:fill="EEEEEE" w:val="clear"/>
          <w:lang w:val="de-DE"/>
        </w:rPr>
        <w:t>Einsatzzweck</w:t>
      </w:r>
    </w:p>
    <w:p>
      <w:pPr>
        <w:pStyle w:val="10000-Empfehlung"/>
        <w:rPr/>
      </w:pPr>
      <w:r>
        <w:rPr>
          <w:rStyle w:val="Emphasis"/>
          <w:i/>
          <w:shd w:fill="EEEEEE" w:val="clear"/>
          <w:lang w:val="de-DE"/>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shd w:fill="EEEEEE" w:val="clear"/>
        </w:rPr>
      </w:pPr>
      <w:bookmarkStart w:id="416" w:name="__RefHeading___Toc32018_2021121348"/>
      <w:bookmarkStart w:id="417" w:name="_Toc187327074"/>
      <w:bookmarkStart w:id="418" w:name="_Toc178761349"/>
      <w:bookmarkStart w:id="419" w:name="_Toc531165051"/>
      <w:bookmarkStart w:id="420" w:name="lebenszyklus"/>
      <w:bookmarkStart w:id="421" w:name="rl%2525252525252525252525252525252525213"/>
      <w:bookmarkStart w:id="422" w:name="_Toc530662916"/>
      <w:bookmarkStart w:id="423" w:name="_Toc178588083"/>
      <w:bookmarkEnd w:id="416"/>
      <w:bookmarkEnd w:id="421"/>
      <w:r>
        <w:rPr>
          <w:shd w:fill="EEEEEE" w:val="clear"/>
          <w:lang w:val="de-DE"/>
        </w:rPr>
        <w:t>Lebenszyklus</w:t>
      </w:r>
      <w:bookmarkEnd w:id="417"/>
      <w:bookmarkEnd w:id="418"/>
      <w:bookmarkEnd w:id="419"/>
      <w:bookmarkEnd w:id="420"/>
      <w:bookmarkEnd w:id="422"/>
      <w:bookmarkEnd w:id="423"/>
    </w:p>
    <w:p>
      <w:pPr>
        <w:pStyle w:val="Heading3"/>
        <w:ind w:hanging="0" w:left="0"/>
        <w:rPr>
          <w:shd w:fill="EEEEEE" w:val="clear"/>
        </w:rPr>
      </w:pPr>
      <w:bookmarkStart w:id="424" w:name="__RefHeading___Toc32020_2021121348"/>
      <w:bookmarkStart w:id="425" w:name="_Toc187327075"/>
      <w:bookmarkEnd w:id="424"/>
      <w:r>
        <w:rPr>
          <w:shd w:fill="EEEEEE" w:val="clear"/>
          <w:lang w:val="de-DE"/>
        </w:rPr>
        <w:t>Beschreibung</w:t>
      </w:r>
      <w:bookmarkEnd w:id="425"/>
    </w:p>
    <w:p>
      <w:pPr>
        <w:pStyle w:val="10000-DefaultParagraph"/>
        <w:rPr>
          <w:lang w:val="de-DE"/>
        </w:rPr>
      </w:pPr>
      <w:r>
        <w:rPr>
          <w:shd w:fill="EEEEEE" w:val="clear"/>
          <w:lang w:val="de-DE"/>
        </w:rPr>
        <w:t xml:space="preserve">IT-Systeme bilden eine abgeschlossene Funktionseinheit aus Hard- und Software (siehe Abschnitt </w:t>
      </w:r>
      <w:r>
        <w:rPr>
          <w:shd w:fill="EEEEEE" w:val="clear"/>
          <w:lang w:val="de-DE"/>
        </w:rPr>
        <w:fldChar w:fldCharType="begin"/>
      </w:r>
      <w:r>
        <w:rPr>
          <w:shd w:fill="EEEEEE" w:val="clear"/>
          <w:lang w:val="de-DE"/>
        </w:rPr>
        <w:instrText xml:space="preserve"> REF _Ref178769569 \n \n \h </w:instrText>
      </w:r>
      <w:r>
        <w:rPr>
          <w:shd w:fill="EEEEEE" w:val="clear"/>
          <w:lang w:val="de-DE"/>
        </w:rPr>
        <w:fldChar w:fldCharType="separate"/>
      </w:r>
      <w:r>
        <w:rPr>
          <w:shd w:fill="EEEEEE" w:val="clear"/>
          <w:lang w:val="de-DE"/>
        </w:rPr>
        <w:t>10.5</w:t>
      </w:r>
      <w:r>
        <w:rPr>
          <w:shd w:fill="EEEEEE" w:val="clear"/>
          <w:lang w:val="de-DE"/>
        </w:rPr>
        <w:fldChar w:fldCharType="end"/>
      </w:r>
      <w:r>
        <w:rPr>
          <w:shd w:fill="EEEEEE" w:val="clear"/>
          <w:lang w:val="de-DE"/>
        </w:rPr>
        <w:t xml:space="preserve">). Sie unterliegen einem Lebenszyklus, der sich von der </w:t>
      </w:r>
      <w:r>
        <w:rPr>
          <w:shd w:fill="auto" w:val="clear"/>
          <w:lang w:val="de-DE"/>
        </w:rPr>
        <w:t xml:space="preserve">Beschaffung </w:t>
      </w:r>
      <w:r>
        <w:rPr>
          <w:shd w:fill="EEEEEE" w:val="clear"/>
          <w:lang w:val="de-DE"/>
        </w:rPr>
        <w:t>bis zur Ausmusterung erstreckt.</w:t>
      </w:r>
    </w:p>
    <w:p>
      <w:pPr>
        <w:pStyle w:val="Heading3"/>
        <w:ind w:hanging="0" w:left="0"/>
        <w:rPr>
          <w:shd w:fill="EEEEEE" w:val="clear"/>
        </w:rPr>
      </w:pPr>
      <w:bookmarkStart w:id="426" w:name="__RefHeading___inbetriebnahme_und_aender"/>
      <w:bookmarkStart w:id="427" w:name="_Toc531165052"/>
      <w:bookmarkStart w:id="428" w:name="_Toc178761350"/>
      <w:bookmarkStart w:id="429" w:name="_Ref178769481"/>
      <w:bookmarkStart w:id="430" w:name="inbetriebnahme_und_aenderung"/>
      <w:bookmarkStart w:id="431" w:name="_Ref178769420"/>
      <w:bookmarkStart w:id="432" w:name="_Ref178769419"/>
      <w:bookmarkStart w:id="433" w:name="_Toc187327076"/>
      <w:bookmarkStart w:id="434" w:name="rl%2525252525252525252525252525252525214"/>
      <w:bookmarkStart w:id="435" w:name="_Toc530662917"/>
      <w:bookmarkEnd w:id="426"/>
      <w:bookmarkEnd w:id="434"/>
      <w:r>
        <w:rPr/>
        <w:t>Inbetriebnahme und Änderung</w:t>
      </w:r>
      <w:bookmarkEnd w:id="427"/>
      <w:bookmarkEnd w:id="428"/>
      <w:bookmarkEnd w:id="429"/>
      <w:bookmarkEnd w:id="430"/>
      <w:bookmarkEnd w:id="431"/>
      <w:bookmarkEnd w:id="432"/>
      <w:bookmarkEnd w:id="433"/>
      <w:bookmarkEnd w:id="435"/>
    </w:p>
    <w:p>
      <w:pPr>
        <w:pStyle w:val="Normal"/>
        <w:rPr>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345"/>
        </w:numPr>
        <w:rPr>
          <w:lang w:val="de-DE"/>
        </w:rPr>
      </w:pPr>
      <w:r>
        <w:rPr>
          <w:lang w:val="de-DE"/>
        </w:rPr>
        <w:t>Die Schutzkategorie des IT-Systems wird ermittelt bzw. seine Einstufung überprüft (siehe Kapitel 9).</w:t>
      </w:r>
    </w:p>
    <w:p>
      <w:pPr>
        <w:pStyle w:val="Liste1"/>
        <w:numPr>
          <w:ilvl w:val="0"/>
          <w:numId w:val="346"/>
        </w:numPr>
        <w:rPr>
          <w:lang w:val="de-DE"/>
        </w:rPr>
      </w:pPr>
      <w:r>
        <w:rPr>
          <w:lang w:val="de-DE"/>
        </w:rPr>
        <w:t>Die Maßnahmen der entsprechenden Schutzkategorie werden für das IT-System umgesetzt.</w:t>
      </w:r>
    </w:p>
    <w:p>
      <w:pPr>
        <w:pStyle w:val="10000-DefaultParagraph"/>
        <w:numPr>
          <w:ilvl w:val="0"/>
          <w:numId w:val="347"/>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10.3</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348"/>
        </w:numPr>
        <w:rPr>
          <w:shd w:fill="EEEEEE" w:val="clear"/>
        </w:rPr>
      </w:pPr>
      <w:r>
        <w:rPr>
          <w:shd w:fill="EEEEEE" w:val="clear"/>
          <w:lang w:val="de-DE"/>
        </w:rPr>
        <w:t>Bei Inbetriebnahme werden die Arbeitsschritte dokumentiert.</w:t>
      </w:r>
    </w:p>
    <w:p>
      <w:pPr>
        <w:pStyle w:val="Heading3"/>
        <w:ind w:hanging="0" w:left="0"/>
        <w:rPr>
          <w:shd w:fill="EEEEEE" w:val="clear"/>
        </w:rPr>
      </w:pPr>
      <w:bookmarkStart w:id="436" w:name="__RefHeading___ausmusterung_und_del_weit"/>
      <w:bookmarkStart w:id="437" w:name="_Ref178769453"/>
      <w:bookmarkStart w:id="438" w:name="_Toc531165053"/>
      <w:bookmarkStart w:id="439" w:name="ausmusterung_und_del_weiterverwendungdel"/>
      <w:bookmarkStart w:id="440" w:name="_Toc187327077"/>
      <w:bookmarkStart w:id="441" w:name="_Toc178761351"/>
      <w:bookmarkStart w:id="442" w:name="rl%2525252525252525252525252525252525215"/>
      <w:bookmarkStart w:id="443" w:name="_Toc530662918"/>
      <w:bookmarkEnd w:id="436"/>
      <w:bookmarkEnd w:id="442"/>
      <w:r>
        <w:rPr>
          <w:shd w:fill="EEEEEE" w:val="clear"/>
          <w:lang w:val="de-DE"/>
        </w:rPr>
        <w:t>Ausmusterung und Wiederverwendung</w:t>
      </w:r>
      <w:bookmarkEnd w:id="437"/>
      <w:bookmarkEnd w:id="438"/>
      <w:bookmarkEnd w:id="439"/>
      <w:bookmarkEnd w:id="440"/>
      <w:bookmarkEnd w:id="441"/>
      <w:bookmarkEnd w:id="443"/>
    </w:p>
    <w:p>
      <w:pPr>
        <w:pStyle w:val="Normal"/>
        <w:rPr>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349"/>
        </w:numPr>
        <w:spacing w:lineRule="auto" w:line="250"/>
        <w:rPr>
          <w:shd w:fill="EEEEEE" w:val="clear"/>
        </w:rPr>
      </w:pPr>
      <w:r>
        <w:rPr>
          <w:shd w:fill="EEEEEE" w:val="clear"/>
        </w:rPr>
        <w:t>Die auf dem IT-System gespeicherten Informationen werden bei Bedarf gesichert.</w:t>
      </w:r>
    </w:p>
    <w:p>
      <w:pPr>
        <w:pStyle w:val="Liste1"/>
        <w:numPr>
          <w:ilvl w:val="0"/>
          <w:numId w:val="350"/>
        </w:numPr>
        <w:spacing w:lineRule="auto" w:line="250"/>
        <w:rPr>
          <w:shd w:fill="EEEEEE" w:val="clear"/>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351"/>
        </w:numPr>
        <w:spacing w:lineRule="auto" w:line="250"/>
        <w:rPr>
          <w:shd w:fill="EEEEEE" w:val="clear"/>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10.3</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352"/>
        </w:numPr>
        <w:spacing w:lineRule="auto" w:line="250"/>
        <w:rPr>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44" w:name="__RefHeading___Toc32022_2021121348"/>
      <w:bookmarkStart w:id="445" w:name="rl%2525252525252525252525252525252525216"/>
      <w:bookmarkStart w:id="446" w:name="basisschutz"/>
      <w:bookmarkStart w:id="447" w:name="_Toc531165054"/>
      <w:bookmarkStart w:id="448" w:name="_Toc530662919"/>
      <w:bookmarkStart w:id="449" w:name="_Toc178588084"/>
      <w:bookmarkStart w:id="450" w:name="_Toc178761352"/>
      <w:bookmarkStart w:id="451" w:name="_Toc187327078"/>
      <w:bookmarkStart w:id="452" w:name="_Ref178769569"/>
      <w:bookmarkEnd w:id="444"/>
      <w:bookmarkEnd w:id="445"/>
      <w:r>
        <w:rPr>
          <w:lang w:val="de-DE"/>
        </w:rPr>
        <w:t>Basisschutz</w:t>
      </w:r>
      <w:bookmarkEnd w:id="446"/>
      <w:bookmarkEnd w:id="447"/>
      <w:bookmarkEnd w:id="448"/>
      <w:bookmarkEnd w:id="449"/>
      <w:bookmarkEnd w:id="450"/>
      <w:bookmarkEnd w:id="451"/>
      <w:bookmarkEnd w:id="452"/>
    </w:p>
    <w:p>
      <w:pPr>
        <w:pStyle w:val="Heading3"/>
        <w:ind w:hanging="0" w:left="0"/>
        <w:rPr>
          <w:lang w:val="de-DE"/>
        </w:rPr>
      </w:pPr>
      <w:bookmarkStart w:id="453" w:name="__RefHeading___Toc32024_2021121348"/>
      <w:bookmarkStart w:id="454" w:name="_Toc187327079"/>
      <w:bookmarkEnd w:id="453"/>
      <w:r>
        <w:rPr>
          <w:lang w:val="de-DE"/>
        </w:rPr>
        <w:t>Funktionalitäten und Maßnahmen</w:t>
      </w:r>
      <w:bookmarkEnd w:id="454"/>
    </w:p>
    <w:p>
      <w:pPr>
        <w:pStyle w:val="10000-DefaultParagraph"/>
        <w:rPr>
          <w:shd w:fill="EEEEEE" w:val="clear"/>
        </w:rPr>
      </w:pPr>
      <w:r>
        <w:rPr>
          <w:shd w:fill="EEEEEE" w:val="clear"/>
          <w:lang w:val="de-DE"/>
        </w:rPr>
        <w:t>Die Maßnahmen der folgenden Abschnitte MÜSSEN, sofern eine entsprechende Funktionalität gegeben ist, für alle IT-Systeme implementiert werden.</w:t>
      </w:r>
    </w:p>
    <w:p>
      <w:pPr>
        <w:pStyle w:val="10000-DefaultParagraph"/>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IT-Systeme KÖNNEN von der Umsetzung der Maßnahmen des Basisschutzes generell ausgenommen werden..</w:t>
      </w:r>
    </w:p>
    <w:p>
      <w:pPr>
        <w:pStyle w:val="Heading3"/>
        <w:ind w:hanging="0" w:left="0"/>
        <w:rPr>
          <w:shd w:fill="EEEEEE" w:val="clear"/>
        </w:rPr>
      </w:pPr>
      <w:bookmarkStart w:id="455" w:name="__RefHeading___del_updatesdel_software_5"/>
      <w:bookmarkStart w:id="456" w:name="_Toc531165055"/>
      <w:bookmarkStart w:id="457" w:name="rl%2525252525252525252525252525252525217"/>
      <w:bookmarkStart w:id="458" w:name="del_updatesdel_software"/>
      <w:bookmarkStart w:id="459" w:name="_Toc178761353"/>
      <w:bookmarkStart w:id="460" w:name="_Toc530662920"/>
      <w:bookmarkStart w:id="461" w:name="_Ref184204527"/>
      <w:bookmarkStart w:id="462" w:name="_Toc187327080"/>
      <w:bookmarkEnd w:id="455"/>
      <w:bookmarkEnd w:id="457"/>
      <w:r>
        <w:rPr>
          <w:shd w:fill="EEEEEE" w:val="clear"/>
          <w:lang w:val="de-DE"/>
        </w:rPr>
        <w:t>Software</w:t>
      </w:r>
      <w:bookmarkEnd w:id="456"/>
      <w:bookmarkEnd w:id="458"/>
      <w:bookmarkEnd w:id="459"/>
      <w:bookmarkEnd w:id="460"/>
      <w:bookmarkEnd w:id="461"/>
      <w:bookmarkEnd w:id="462"/>
    </w:p>
    <w:p>
      <w:pPr>
        <w:pStyle w:val="10000-DefaultParagraph"/>
        <w:rPr>
          <w:shd w:fill="EEEEEE" w:val="clear"/>
          <w:lang w:val="de-DE"/>
        </w:rPr>
      </w:pPr>
      <w:r>
        <w:rPr>
          <w:shd w:fill="EEEEEE" w:val="clear"/>
          <w:lang w:val="de-DE"/>
        </w:rPr>
        <w:t xml:space="preserve">Bei der Beschaffung von </w:t>
      </w:r>
      <w:r>
        <w:rPr>
          <w:shd w:fill="EEEEEE" w:val="clear"/>
          <w:lang w:val="de-DE"/>
        </w:rPr>
        <w:t>Software M</w:t>
      </w:r>
      <w:r>
        <w:rPr>
          <w:shd w:fill="EEEEEE" w:val="clear"/>
          <w:lang w:val="de-DE"/>
        </w:rPr>
        <w:t>Ü</w:t>
      </w:r>
      <w:r>
        <w:rPr>
          <w:shd w:fill="EEEEEE" w:val="clear"/>
          <w:lang w:val="de-DE"/>
        </w:rPr>
        <w:t>SS</w:t>
      </w:r>
      <w:r>
        <w:rPr>
          <w:shd w:fill="EEEEEE" w:val="clear"/>
          <w:lang w:val="de-DE"/>
        </w:rPr>
        <w:t>EN die Vorgaben</w:t>
      </w:r>
      <w:r>
        <w:rPr>
          <w:shd w:fill="EEEEEE" w:val="clear"/>
          <w:lang w:val="de-DE"/>
        </w:rPr>
        <w:t xml:space="preserve"> </w:t>
      </w:r>
      <w:r>
        <w:rPr>
          <w:shd w:fill="EEEEEE" w:val="clear"/>
          <w:lang w:val="de-DE"/>
        </w:rPr>
        <w:t>in</w:t>
      </w:r>
      <w:r>
        <w:rPr>
          <w:shd w:fill="EEEEEE" w:val="clear"/>
          <w:lang w:val="de-DE"/>
        </w:rPr>
        <w:t xml:space="preserve"> Kapitel 14 </w:t>
      </w:r>
      <w:r>
        <w:rPr>
          <w:shd w:fill="EEEEEE" w:val="clear"/>
          <w:lang w:val="de-DE"/>
        </w:rPr>
        <w:t>beachtet werden</w:t>
      </w:r>
      <w:r>
        <w:rPr>
          <w:shd w:fill="EEEEEE" w:val="clear"/>
          <w:lang w:val="de-DE"/>
        </w:rPr>
        <w:t>.</w:t>
      </w:r>
    </w:p>
    <w:p>
      <w:pPr>
        <w:pStyle w:val="Normal"/>
        <w:rPr>
          <w:shd w:fill="EEEEEE" w:val="clear"/>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shd w:fill="EEEEEE" w:val="clear"/>
        </w:rPr>
      </w:pPr>
      <w:bookmarkStart w:id="463" w:name="__RefHeading___beschraenkung_des_netzwer"/>
      <w:bookmarkStart w:id="464" w:name="rl%2525252525252525252525252525252525218"/>
      <w:bookmarkStart w:id="465" w:name="_Toc531165056"/>
      <w:bookmarkStart w:id="466" w:name="_Toc178761354"/>
      <w:bookmarkStart w:id="467" w:name="_Ref184204544"/>
      <w:bookmarkStart w:id="468" w:name="_Toc530662921"/>
      <w:bookmarkStart w:id="469" w:name="_Toc187327081"/>
      <w:bookmarkStart w:id="470" w:name="beschraenkung_des_netzwerkverkehrs"/>
      <w:bookmarkEnd w:id="463"/>
      <w:bookmarkEnd w:id="464"/>
      <w:r>
        <w:rPr>
          <w:shd w:fill="EEEEEE" w:val="clear"/>
          <w:lang w:val="de-DE"/>
        </w:rPr>
        <w:t>Beschränkung des Netzwerkverkehrs</w:t>
      </w:r>
      <w:bookmarkEnd w:id="465"/>
      <w:bookmarkEnd w:id="466"/>
      <w:bookmarkEnd w:id="467"/>
      <w:bookmarkEnd w:id="468"/>
      <w:bookmarkEnd w:id="469"/>
      <w:bookmarkEnd w:id="470"/>
    </w:p>
    <w:p>
      <w:pPr>
        <w:pStyle w:val="Normal"/>
        <w:rPr>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353"/>
        </w:numPr>
        <w:spacing w:lineRule="auto" w:line="250"/>
        <w:rPr>
          <w:shd w:fill="EEEEEE" w:val="clear"/>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354"/>
        </w:numPr>
        <w:spacing w:lineRule="auto" w:line="250"/>
        <w:rPr>
          <w:shd w:fill="EEEEEE" w:val="clear"/>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Normal"/>
        <w:rPr>
          <w:shd w:fill="EEEEEE" w:val="clear"/>
        </w:rPr>
      </w:pPr>
      <w:r>
        <w:rPr>
          <w:i/>
          <w:shd w:fill="EEEEEE" w:val="clear"/>
        </w:rPr>
        <w:t>Zusätzlich SOLLTE der Netzwerkverkehr von und zu IT-Systemen, für die die Organisation keinen administrativen Zugang besitzt sowie von und zu solchen, die wichtige oder sicherheitskritische Funktionen bereitstellen, auf das für die Funktionsfähigkeit notwendige Minimum beschränkt werden.</w:t>
      </w:r>
    </w:p>
    <w:p>
      <w:pPr>
        <w:pStyle w:val="Normal"/>
        <w:rPr/>
      </w:pPr>
      <w:r>
        <w:rPr>
          <w:rStyle w:val="Emphasis"/>
          <w:shd w:fill="EEEEEE" w:val="clear"/>
          <w:lang w:val="de-DE"/>
        </w:rPr>
        <w:t xml:space="preserve">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71" w:name="__RefHeading___protokollierung_55"/>
      <w:bookmarkStart w:id="472" w:name="_Toc530662922"/>
      <w:bookmarkStart w:id="473" w:name="protokollierung"/>
      <w:bookmarkStart w:id="474" w:name="_Toc531165057"/>
      <w:bookmarkStart w:id="475" w:name="_Ref184204555"/>
      <w:bookmarkStart w:id="476" w:name="_Toc178761355"/>
      <w:bookmarkStart w:id="477" w:name="rl%2525252525252525252525252525252525219"/>
      <w:bookmarkStart w:id="478" w:name="_Toc187327082"/>
      <w:bookmarkEnd w:id="471"/>
      <w:bookmarkEnd w:id="477"/>
      <w:r>
        <w:rPr>
          <w:lang w:val="de-DE"/>
        </w:rPr>
        <w:t>Protokollierung</w:t>
      </w:r>
      <w:bookmarkEnd w:id="472"/>
      <w:bookmarkEnd w:id="473"/>
      <w:bookmarkEnd w:id="474"/>
      <w:bookmarkEnd w:id="475"/>
      <w:bookmarkEnd w:id="476"/>
      <w:bookmarkEnd w:id="478"/>
    </w:p>
    <w:p>
      <w:pPr>
        <w:pStyle w:val="Normal"/>
        <w:rPr>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Protokolldaten SOLLTEN zentral gespeichert werden.</w:t>
      </w:r>
    </w:p>
    <w:p>
      <w:pPr>
        <w:pStyle w:val="Normal"/>
        <w:rPr>
          <w:shd w:fill="EEEEEE" w:val="clear"/>
        </w:rPr>
      </w:pPr>
      <w:r>
        <w:rPr>
          <w:shd w:fill="EEEEEE" w:val="clear"/>
        </w:rPr>
        <w:t>Protokolldaten MÜSSEN 6 Monate lang aufbewahrt werden, sofern dem keine gesetzlichen oder vertraglichen Lösch- oder Aufbewahrungspflichten entgegenstehen.</w:t>
      </w:r>
    </w:p>
    <w:p>
      <w:pPr>
        <w:pStyle w:val="Normal"/>
        <w:rPr>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shd w:fill="EEEEEE" w:val="clear"/>
        </w:rPr>
      </w:pPr>
      <w:bookmarkStart w:id="479" w:name="__RefHeading___Toc32026_2021121348"/>
      <w:bookmarkStart w:id="480" w:name="_Toc187327083"/>
      <w:bookmarkStart w:id="481" w:name="_Toc530662923"/>
      <w:bookmarkStart w:id="482" w:name="rl%252525252525252525252525252525252521a"/>
      <w:bookmarkStart w:id="483" w:name="externe_schnittstellen_und_laufwerke"/>
      <w:bookmarkStart w:id="484" w:name="_Toc178761356"/>
      <w:bookmarkStart w:id="485" w:name="_Toc531165058"/>
      <w:bookmarkEnd w:id="479"/>
      <w:bookmarkEnd w:id="482"/>
      <w:r>
        <w:rPr>
          <w:shd w:fill="EEEEEE" w:val="clear"/>
          <w:lang w:val="de-DE"/>
        </w:rPr>
        <w:t>Externe Schnittstellen und Laufwerke</w:t>
      </w:r>
      <w:bookmarkEnd w:id="480"/>
      <w:bookmarkEnd w:id="481"/>
      <w:bookmarkEnd w:id="483"/>
      <w:bookmarkEnd w:id="484"/>
      <w:bookmarkEnd w:id="485"/>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shd w:fill="EEEEEE" w:val="clear"/>
        </w:rPr>
      </w:pPr>
      <w:bookmarkStart w:id="486" w:name="__RefHeading___schadsoftware_57"/>
      <w:bookmarkStart w:id="487" w:name="_Toc531165059"/>
      <w:bookmarkStart w:id="488" w:name="schadsoftware"/>
      <w:bookmarkStart w:id="489" w:name="_Toc187327084"/>
      <w:bookmarkStart w:id="490" w:name="_Toc530662924"/>
      <w:bookmarkStart w:id="491" w:name="rl%252525252525252525252525252525252521b"/>
      <w:bookmarkStart w:id="492" w:name="_Ref184811333"/>
      <w:bookmarkStart w:id="493" w:name="_Toc178761357"/>
      <w:bookmarkEnd w:id="486"/>
      <w:bookmarkEnd w:id="491"/>
      <w:r>
        <w:rPr>
          <w:shd w:fill="EEEEEE" w:val="clear"/>
          <w:lang w:val="de-DE"/>
        </w:rPr>
        <w:t>Schadsoftware</w:t>
      </w:r>
      <w:bookmarkEnd w:id="487"/>
      <w:bookmarkEnd w:id="488"/>
      <w:bookmarkEnd w:id="489"/>
      <w:bookmarkEnd w:id="490"/>
      <w:bookmarkEnd w:id="492"/>
      <w:bookmarkEnd w:id="493"/>
    </w:p>
    <w:p>
      <w:pPr>
        <w:pStyle w:val="Normal"/>
        <w:rPr>
          <w:shd w:fill="EEEEEE" w:val="clear"/>
        </w:rPr>
      </w:pPr>
      <w:r>
        <w:rPr>
          <w:shd w:fill="EEEEEE" w:val="clear"/>
        </w:rPr>
        <w:t>Jedes IT-System MUSS über einen Echtzeitschutz vor Schadsoftware verfügen, der alle Dateien bei Zugriff entsprechend prüft (musterbasierte und/oder heuristische 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shd w:fill="EEEEEE" w:val="clear"/>
        </w:rPr>
      </w:pPr>
      <w:r>
        <w:rPr>
          <w:shd w:fill="EEEEEE" w:val="clear"/>
        </w:rPr>
        <w:t>Das Ausführen erkannter Schadsoftware MUSS verhindert werden.</w:t>
      </w:r>
    </w:p>
    <w:p>
      <w:pPr>
        <w:pStyle w:val="Normal"/>
        <w:rPr>
          <w:shd w:fill="EEEEEE" w:val="clear"/>
        </w:rPr>
      </w:pPr>
      <w:bookmarkStart w:id="494" w:name="__RefHeading___starten_von_fremden_medie"/>
      <w:bookmarkEnd w:id="494"/>
      <w:r>
        <w:rPr>
          <w:shd w:fill="EEEEEE" w:val="clear"/>
          <w:lang w:val="de-DE"/>
        </w:rPr>
        <w:t>Die Software zum Schutz gegen Schadsoftware MUSS automatisch und in kurzen zeitlichen Abständen (z. B. stündlich oder täglich) die neuesten Suchmuster der Hersteller ermitteln und diese verwenden.</w:t>
      </w:r>
    </w:p>
    <w:p>
      <w:pPr>
        <w:pStyle w:val="Heading3"/>
        <w:ind w:hanging="0" w:left="0"/>
        <w:rPr>
          <w:shd w:fill="EEEEEE" w:val="clear"/>
        </w:rPr>
      </w:pPr>
      <w:bookmarkStart w:id="495" w:name="__RefHeading___Toc32028_2021121348"/>
      <w:bookmarkStart w:id="496" w:name="_Toc530662925"/>
      <w:bookmarkStart w:id="497" w:name="_Toc187327085"/>
      <w:bookmarkStart w:id="498" w:name="_Toc531165060"/>
      <w:bookmarkStart w:id="499" w:name="rl%252525252525252525252525252525252521c"/>
      <w:bookmarkStart w:id="500" w:name="starten_von_fremden_medien"/>
      <w:bookmarkStart w:id="501" w:name="_Toc178761358"/>
      <w:bookmarkEnd w:id="495"/>
      <w:bookmarkEnd w:id="499"/>
      <w:r>
        <w:rPr>
          <w:shd w:fill="EEEEEE" w:val="clear"/>
          <w:lang w:val="de-DE"/>
        </w:rPr>
        <w:t>Starten von fremden Medien</w:t>
      </w:r>
      <w:bookmarkEnd w:id="496"/>
      <w:bookmarkEnd w:id="497"/>
      <w:bookmarkEnd w:id="498"/>
      <w:bookmarkEnd w:id="500"/>
      <w:bookmarkEnd w:id="501"/>
    </w:p>
    <w:p>
      <w:pPr>
        <w:pStyle w:val="Normal"/>
        <w:rPr>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 xml:space="preserve">Dies KANN z. B. über </w:t>
      </w:r>
      <w:commentRangeStart w:id="20"/>
      <w:r>
        <w:rPr>
          <w:rStyle w:val="Emphasis"/>
          <w:spacing w:val="-2"/>
          <w:shd w:fill="EEEEEE" w:val="clear"/>
          <w:lang w:val="de-DE"/>
        </w:rPr>
        <w:t>Firmware</w:t>
      </w:r>
      <w:r>
        <w:rPr/>
      </w:r>
      <w:commentRangeEnd w:id="20"/>
      <w:r>
        <w:commentReference w:id="20"/>
      </w:r>
      <w:r>
        <w:rPr>
          <w:rStyle w:val="Emphasis"/>
          <w:spacing w:val="-2"/>
          <w:shd w:fill="EEEEEE" w:val="clear"/>
          <w:lang w:val="de-DE"/>
        </w:rPr>
        <w:t>-Passwörter oder über einen Zutrittsschutz umgesetzt werden.</w:t>
      </w:r>
    </w:p>
    <w:p>
      <w:pPr>
        <w:pStyle w:val="Heading3"/>
        <w:ind w:hanging="0" w:left="0"/>
        <w:rPr>
          <w:shd w:fill="EEEEEE" w:val="clear"/>
        </w:rPr>
      </w:pPr>
      <w:bookmarkStart w:id="502" w:name="__RefHeading___authentifizierung_59"/>
      <w:bookmarkStart w:id="503" w:name="_Toc530662926"/>
      <w:bookmarkStart w:id="504" w:name="authentifizierung"/>
      <w:bookmarkStart w:id="505" w:name="rl%252525252525252525252525252525252521d"/>
      <w:bookmarkStart w:id="506" w:name="_Toc531165061"/>
      <w:bookmarkStart w:id="507" w:name="_Toc187327086"/>
      <w:bookmarkStart w:id="508" w:name="_Toc178761359"/>
      <w:bookmarkEnd w:id="502"/>
      <w:bookmarkEnd w:id="505"/>
      <w:r>
        <w:rPr>
          <w:shd w:fill="EEEEEE" w:val="clear"/>
          <w:lang w:val="de-DE"/>
        </w:rPr>
        <w:t>Authentifizierung</w:t>
      </w:r>
      <w:bookmarkEnd w:id="503"/>
      <w:bookmarkEnd w:id="504"/>
      <w:bookmarkEnd w:id="506"/>
      <w:bookmarkEnd w:id="507"/>
      <w:bookmarkEnd w:id="508"/>
    </w:p>
    <w:p>
      <w:pPr>
        <w:pStyle w:val="Normal"/>
        <w:rPr>
          <w:shd w:fill="EEEEEE" w:val="clear"/>
        </w:rPr>
      </w:pPr>
      <w:r>
        <w:rPr>
          <w:shd w:fill="EEEEEE" w:val="clear"/>
        </w:rPr>
        <w:t>Der Zugang zu allen nichtöffentlichen Bereichen der IT-Systeme MUSS durch geeignete Anmeldeverfahren abgesichert werden, die eine Authentifizierung verlangen.</w:t>
      </w:r>
    </w:p>
    <w:p>
      <w:pPr>
        <w:pStyle w:val="Normal"/>
        <w:rPr>
          <w:shd w:fill="EEEEEE" w:val="clear"/>
        </w:rPr>
      </w:pPr>
      <w:r>
        <w:rPr>
          <w:shd w:fill="EEEEEE" w:val="clear"/>
        </w:rPr>
        <w:t>Die Anmeldeverfahren MÜSSEN folgende Punkte sicherstellen:</w:t>
      </w:r>
    </w:p>
    <w:p>
      <w:pPr>
        <w:pStyle w:val="Liste1"/>
        <w:numPr>
          <w:ilvl w:val="0"/>
          <w:numId w:val="355"/>
        </w:numPr>
        <w:spacing w:lineRule="auto" w:line="250"/>
        <w:rPr>
          <w:shd w:fill="EEEEEE" w:val="clear"/>
        </w:rPr>
      </w:pPr>
      <w:r>
        <w:rPr>
          <w:shd w:fill="EEEEEE" w:val="clear"/>
        </w:rPr>
        <w:t>Das systematische Ausprobieren von Anmeldeinformationen wird erschwert.</w:t>
      </w:r>
    </w:p>
    <w:p>
      <w:pPr>
        <w:pStyle w:val="Liste1"/>
        <w:numPr>
          <w:ilvl w:val="0"/>
          <w:numId w:val="356"/>
        </w:numPr>
        <w:spacing w:lineRule="auto" w:line="250"/>
        <w:rPr>
          <w:shd w:fill="EEEEEE" w:val="clear"/>
        </w:rPr>
      </w:pPr>
      <w:r>
        <w:rPr>
          <w:shd w:fill="EEEEEE" w:val="clear"/>
        </w:rPr>
        <w:t>Interaktive Sitzungen werden beendet oder gesperrt, wenn der Nutzer innerhalb einer vorgegebenen Zeitspanne keine Eingaben tätigt.</w:t>
      </w:r>
    </w:p>
    <w:p>
      <w:pPr>
        <w:pStyle w:val="Liste1"/>
        <w:numPr>
          <w:ilvl w:val="0"/>
          <w:numId w:val="357"/>
        </w:numPr>
        <w:spacing w:lineRule="auto" w:line="250"/>
        <w:rPr>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shd w:fill="EEEEEE" w:val="clear"/>
        </w:rPr>
      </w:pPr>
      <w:r>
        <w:rPr>
          <w:shd w:fill="EEEEEE" w:val="clear"/>
          <w:lang w:val="de-DE"/>
        </w:rPr>
        <w:t>Damit die Anmeldeverfahren zuverlässig arbeiten können, MÜSSEN folgende Punkte sichergestellt werden:</w:t>
      </w:r>
    </w:p>
    <w:p>
      <w:pPr>
        <w:pStyle w:val="Liste1"/>
        <w:numPr>
          <w:ilvl w:val="0"/>
          <w:numId w:val="358"/>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 xml:space="preserve">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359"/>
        </w:numPr>
        <w:rPr>
          <w:lang w:val="de-DE"/>
        </w:rPr>
      </w:pPr>
      <w:r>
        <w:rPr>
          <w:lang w:val="de-DE"/>
        </w:rPr>
        <w:t>Es werden ausschließlich zuverlässige Authentifizierungsmechanismen wie z. B. Mehr-Faktor-Authentifizierungen oder kontinuierliche Authentifizierungen verwendet.</w:t>
      </w:r>
    </w:p>
    <w:p>
      <w:pPr>
        <w:pStyle w:val="Liste1"/>
        <w:numPr>
          <w:ilvl w:val="0"/>
          <w:numId w:val="360"/>
        </w:numPr>
        <w:spacing w:lineRule="auto" w:line="250"/>
        <w:rPr>
          <w:shd w:fill="EEEEEE" w:val="clear"/>
        </w:rPr>
      </w:pPr>
      <w:r>
        <w:rPr>
          <w:shd w:fill="EEEEEE" w:val="clear"/>
          <w:lang w:val="de-DE"/>
        </w:rPr>
        <w:t>Es werden keine trivialen Authentifizierungsmerkmale (z. B. Standard-Passwörter oder einfach zu erratende Passwörter) verwendet.</w:t>
      </w:r>
    </w:p>
    <w:p>
      <w:pPr>
        <w:pStyle w:val="Empfehlung"/>
        <w:rPr>
          <w:lang w:val="de-DE"/>
        </w:rPr>
      </w:pPr>
      <w:r>
        <w:rPr>
          <w:lang w:val="de-DE"/>
        </w:rPr>
        <w:t>Zusätzlich SOLLTE die Authentifizierung eines Nutzers mit weiteren Techniken kombiniert werden, um unter bestimmten Umständen eine zusätzliche Authentifizierung zu verlangen, die auf vorab festgelegten Regeln und Mustern beruhen, z. B. wenn der Nutzer von einem ungewöhnlichen Standort aus, mit einem ungewöhnlichen Gerät oder zu einer ungewöhnlichen Zeit auf die IT der Organisation zugreift oder wenn bei ihm ungewöhnliche Zugriffe auf die Informationen der Organisation erkannt werden (in Umfang und/oder Art).</w:t>
      </w:r>
      <w:r>
        <w:rPr/>
        <w:commentReference w:id="21"/>
      </w:r>
      <w:bookmarkStart w:id="509" w:name="zugaenge_und_zugriffe_del_zugriffsbeschr"/>
    </w:p>
    <w:p>
      <w:pPr>
        <w:pStyle w:val="Heading3"/>
        <w:ind w:hanging="0" w:left="0"/>
        <w:rPr>
          <w:shd w:fill="EEEEEE" w:val="clear"/>
        </w:rPr>
      </w:pPr>
      <w:bookmarkStart w:id="510" w:name="__RefHeading___Toc32030_2021121348"/>
      <w:bookmarkStart w:id="511" w:name="_Toc530662927"/>
      <w:bookmarkStart w:id="512" w:name="_Toc531165062"/>
      <w:bookmarkStart w:id="513" w:name="_Toc187327087"/>
      <w:bookmarkStart w:id="514" w:name="_Toc178761360"/>
      <w:bookmarkStart w:id="515" w:name="_Ref184204568"/>
      <w:bookmarkEnd w:id="510"/>
      <w:r>
        <w:rPr>
          <w:shd w:fill="EEEEEE" w:val="clear"/>
          <w:lang w:val="de-DE"/>
        </w:rPr>
        <w:t>Zugänge und Zugriffe</w:t>
      </w:r>
      <w:bookmarkEnd w:id="509"/>
      <w:bookmarkEnd w:id="511"/>
      <w:bookmarkEnd w:id="512"/>
      <w:bookmarkEnd w:id="513"/>
      <w:bookmarkEnd w:id="514"/>
      <w:bookmarkEnd w:id="515"/>
    </w:p>
    <w:p>
      <w:pPr>
        <w:pStyle w:val="Normal"/>
        <w:rPr>
          <w:shd w:fill="EEEEEE" w:val="clear"/>
        </w:rPr>
      </w:pPr>
      <w:r>
        <w:rPr>
          <w:shd w:fill="EEEEEE" w:val="clear"/>
        </w:rPr>
        <w:t>Administrative Tätigkeiten MÜSSEN über die speziell dafür vorgesehenen Zugänge erfolgen.</w:t>
      </w:r>
    </w:p>
    <w:p>
      <w:pPr>
        <w:pStyle w:val="Normal"/>
        <w:jc w:val="left"/>
        <w:rPr>
          <w:shd w:fill="EEEEEE" w:val="clear"/>
        </w:rPr>
      </w:pPr>
      <w:r>
        <w:rPr>
          <w:shd w:fill="EEEEEE" w:val="clear"/>
        </w:rPr>
        <w:t>Diese DÜRFEN NICHT für die alltägliche Nutzung der IT-Systeme verwendet werden.</w:t>
      </w:r>
    </w:p>
    <w:p>
      <w:pPr>
        <w:pStyle w:val="Normal"/>
        <w:rPr/>
      </w:pPr>
      <w:r>
        <w:rPr>
          <w:rStyle w:val="Emphasis"/>
          <w:shd w:fill="EEEEEE" w:val="clear"/>
        </w:rPr>
        <w:t>Darüber hinaus SOLLTEN folgende Anforderungen erfüllt werden:</w:t>
      </w:r>
    </w:p>
    <w:p>
      <w:pPr>
        <w:pStyle w:val="Liste1"/>
        <w:numPr>
          <w:ilvl w:val="0"/>
          <w:numId w:val="361"/>
        </w:numPr>
        <w:spacing w:lineRule="auto" w:line="250"/>
        <w:rPr/>
      </w:pPr>
      <w:r>
        <w:rPr>
          <w:rStyle w:val="Emphasis"/>
          <w:shd w:fill="EEEEEE" w:val="clear"/>
        </w:rPr>
        <w:t>Nutzer können nur auf Informationen lesend zugreifen, wenn dies für die Erfüllung ihrer Aufgaben notwendig ist („Need-to-Know“).</w:t>
      </w:r>
    </w:p>
    <w:p>
      <w:pPr>
        <w:pStyle w:val="Liste1"/>
        <w:numPr>
          <w:ilvl w:val="0"/>
          <w:numId w:val="362"/>
        </w:numPr>
        <w:spacing w:lineRule="auto" w:line="250"/>
        <w:rPr/>
      </w:pPr>
      <w:r>
        <w:rPr>
          <w:rStyle w:val="Emphasis"/>
          <w:shd w:fill="EEEEEE" w:val="clear"/>
        </w:rPr>
        <w:t>Nutzer können nur auf Informationen schreibend zugreifen, wenn dies für die Erfüllung ihrer Aufgaben notwendig ist („Least-Privileges“).</w:t>
      </w:r>
    </w:p>
    <w:p>
      <w:pPr>
        <w:pStyle w:val="Liste1"/>
        <w:numPr>
          <w:ilvl w:val="0"/>
          <w:numId w:val="363"/>
        </w:numPr>
        <w:spacing w:lineRule="auto" w:line="250"/>
        <w:rPr>
          <w:shd w:fill="EEEEEE" w:val="clear"/>
        </w:rPr>
      </w:pPr>
      <w:r>
        <w:rPr>
          <w:i/>
          <w:shd w:fill="EEEEEE" w:val="clear"/>
          <w:lang w:val="de-DE"/>
        </w:rPr>
        <w:t>Nutzer können nur jene Funktionen nutzen, die sie für die Erfüllung ihrer Aufgaben benötigen („Least-Functionality“).</w:t>
      </w:r>
    </w:p>
    <w:p>
      <w:pPr>
        <w:pStyle w:val="Heading2"/>
        <w:ind w:hanging="0" w:left="0"/>
        <w:rPr>
          <w:lang w:val="de-DE"/>
        </w:rPr>
      </w:pPr>
      <w:bookmarkStart w:id="516" w:name="__RefHeading___Toc32032_2021121348"/>
      <w:bookmarkStart w:id="517" w:name="_Ref184300115"/>
      <w:bookmarkStart w:id="518" w:name="rl%252525252525252525252525252525252521e"/>
      <w:bookmarkStart w:id="519" w:name="zusaetzliche_massnahmen_fuer_mobile_it-s"/>
      <w:bookmarkStart w:id="520" w:name="_Ref184300120"/>
      <w:bookmarkStart w:id="521" w:name="_Toc531165063"/>
      <w:bookmarkStart w:id="522" w:name="_Toc187327088"/>
      <w:bookmarkStart w:id="523" w:name="_Toc178588085"/>
      <w:bookmarkStart w:id="524" w:name="_Ref184300124"/>
      <w:bookmarkStart w:id="525" w:name="_Ref184300103"/>
      <w:bookmarkStart w:id="526" w:name="_Ref184300091"/>
      <w:bookmarkStart w:id="527" w:name="_Toc178761361"/>
      <w:bookmarkStart w:id="528" w:name="_Toc530662928"/>
      <w:bookmarkEnd w:id="516"/>
      <w:bookmarkEnd w:id="518"/>
      <w:r>
        <w:rPr>
          <w:lang w:val="de-DE"/>
        </w:rPr>
        <w:t>Zusätzliche Maßnahmen für mobile IT-Systeme</w:t>
      </w:r>
      <w:bookmarkEnd w:id="517"/>
      <w:bookmarkEnd w:id="519"/>
      <w:bookmarkEnd w:id="520"/>
      <w:bookmarkEnd w:id="521"/>
      <w:bookmarkEnd w:id="522"/>
      <w:bookmarkEnd w:id="523"/>
      <w:bookmarkEnd w:id="524"/>
      <w:bookmarkEnd w:id="525"/>
      <w:bookmarkEnd w:id="526"/>
      <w:bookmarkEnd w:id="527"/>
      <w:bookmarkEnd w:id="528"/>
    </w:p>
    <w:p>
      <w:pPr>
        <w:pStyle w:val="Heading3"/>
        <w:ind w:hanging="0" w:left="0"/>
        <w:rPr>
          <w:lang w:val="de-DE"/>
        </w:rPr>
      </w:pPr>
      <w:bookmarkStart w:id="529" w:name="__RefHeading___Toc32034_2021121348"/>
      <w:bookmarkStart w:id="530" w:name="_Toc187327089"/>
      <w:bookmarkEnd w:id="529"/>
      <w:r>
        <w:rPr>
          <w:lang w:val="de-DE"/>
        </w:rPr>
        <w:t>Grundlagen</w:t>
      </w:r>
      <w:bookmarkEnd w:id="530"/>
    </w:p>
    <w:p>
      <w:pPr>
        <w:pStyle w:val="10000-DefaultParagraph"/>
        <w:rPr>
          <w:shd w:fill="EEEEEE" w:val="clear"/>
        </w:rPr>
      </w:pPr>
      <w:r>
        <w:rPr>
          <w:shd w:fill="EEEEEE" w:val="clear"/>
          <w:lang w:val="de-DE"/>
        </w:rPr>
        <w:t>Mobile IT-Systeme sind in besonderer Weise Gefährdungen durch 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shd w:fill="EEEEEE" w:val="clear"/>
        </w:rPr>
      </w:pPr>
      <w:bookmarkStart w:id="531" w:name="__RefHeading___is-richtlinie_62"/>
      <w:bookmarkStart w:id="532" w:name="is-richtlinie"/>
      <w:bookmarkStart w:id="533" w:name="_Toc187327090"/>
      <w:bookmarkStart w:id="534" w:name="_Toc531165064"/>
      <w:bookmarkStart w:id="535" w:name="_Toc530662929"/>
      <w:bookmarkStart w:id="536" w:name="_Toc178761362"/>
      <w:bookmarkStart w:id="537" w:name="rl%252525252525252525252525252525252521f"/>
      <w:bookmarkEnd w:id="531"/>
      <w:bookmarkEnd w:id="537"/>
      <w:r>
        <w:rPr>
          <w:shd w:fill="EEEEEE" w:val="clear"/>
          <w:lang w:val="de-DE"/>
        </w:rPr>
        <w:t>IS-Richtlinie</w:t>
      </w:r>
      <w:bookmarkEnd w:id="532"/>
      <w:bookmarkEnd w:id="533"/>
      <w:bookmarkEnd w:id="534"/>
      <w:bookmarkEnd w:id="535"/>
      <w:bookmarkEnd w:id="536"/>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364"/>
        </w:numPr>
        <w:spacing w:lineRule="auto" w:line="250"/>
        <w:rPr>
          <w:shd w:fill="EEEEEE" w:val="clear"/>
        </w:rPr>
      </w:pPr>
      <w:r>
        <w:rPr>
          <w:shd w:fill="EEEEEE" w:val="clear"/>
        </w:rPr>
        <w:t>Es wird festgelegt, welche Informationen auf den mobilen IT-Systemen erhoben, verarbeitet, gespeichert und übertragen werden dürfen.</w:t>
      </w:r>
    </w:p>
    <w:p>
      <w:pPr>
        <w:pStyle w:val="Liste1"/>
        <w:numPr>
          <w:ilvl w:val="0"/>
          <w:numId w:val="365"/>
        </w:numPr>
        <w:spacing w:lineRule="auto" w:line="250"/>
        <w:rPr>
          <w:shd w:fill="EEEEEE" w:val="clear"/>
        </w:rPr>
      </w:pPr>
      <w:r>
        <w:rPr>
          <w:shd w:fill="EEEEEE" w:val="clear"/>
        </w:rPr>
        <w:t>Die Verantwortung für die Datensicherung wird definiert.</w:t>
      </w:r>
    </w:p>
    <w:p>
      <w:pPr>
        <w:pStyle w:val="Liste1"/>
        <w:numPr>
          <w:ilvl w:val="0"/>
          <w:numId w:val="366"/>
        </w:numPr>
        <w:spacing w:lineRule="auto" w:line="250"/>
        <w:rPr>
          <w:shd w:fill="EEEEEE" w:val="clear"/>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367"/>
        </w:numPr>
        <w:spacing w:lineRule="auto" w:line="250"/>
        <w:rPr>
          <w:shd w:fill="EEEEEE" w:val="clear"/>
        </w:rPr>
      </w:pPr>
      <w:r>
        <w:rPr>
          <w:shd w:fill="EEEEEE" w:val="clear"/>
        </w:rPr>
        <w:t>Es wird untersagt, mobile IT-Systeme an unberechtigte Dritte weiterzugeben.</w:t>
      </w:r>
    </w:p>
    <w:p>
      <w:pPr>
        <w:pStyle w:val="Liste1"/>
        <w:numPr>
          <w:ilvl w:val="0"/>
          <w:numId w:val="368"/>
        </w:numPr>
        <w:spacing w:lineRule="auto" w:line="250"/>
        <w:rPr>
          <w:shd w:fill="EEEEEE" w:val="clear"/>
        </w:rPr>
      </w:pPr>
      <w:r>
        <w:rPr>
          <w:shd w:fill="EEEEEE" w:val="clear"/>
        </w:rPr>
        <w:t>Es wird definiert, ob und welche Software auf den mobilen IT-Systemen von den Nutzern installiert werden darf.</w:t>
      </w:r>
    </w:p>
    <w:p>
      <w:pPr>
        <w:pStyle w:val="Liste1"/>
        <w:numPr>
          <w:ilvl w:val="0"/>
          <w:numId w:val="369"/>
        </w:numPr>
        <w:spacing w:lineRule="auto" w:line="250"/>
        <w:rPr>
          <w:shd w:fill="EEEEEE" w:val="clear"/>
        </w:rPr>
      </w:pPr>
      <w:r>
        <w:rPr>
          <w:shd w:fill="EEEEEE" w:val="clear"/>
        </w:rPr>
        <w:t>Es wird definiert, ob und unter welchen Bedingungen ein Administrator das mobile IT-System orten darf.</w:t>
      </w:r>
    </w:p>
    <w:p>
      <w:pPr>
        <w:pStyle w:val="Liste1"/>
        <w:numPr>
          <w:ilvl w:val="0"/>
          <w:numId w:val="370"/>
        </w:numPr>
        <w:spacing w:lineRule="auto" w:line="250"/>
        <w:rPr>
          <w:shd w:fill="EEEEEE" w:val="clear"/>
        </w:rPr>
      </w:pPr>
      <w:r>
        <w:rPr>
          <w:shd w:fill="EEEEEE" w:val="clear"/>
          <w:lang w:val="de-DE"/>
        </w:rPr>
        <w:t>Es wird definiert, ob und unter welchen Bedingungen ein Administrator die auf einem mobilen IT-System gespeicherten Informationen aus der Ferne löschen darf.</w:t>
      </w:r>
    </w:p>
    <w:p>
      <w:pPr>
        <w:pStyle w:val="Heading3"/>
        <w:ind w:hanging="0" w:left="0"/>
        <w:rPr>
          <w:shd w:fill="EEEEEE" w:val="clear"/>
        </w:rPr>
      </w:pPr>
      <w:bookmarkStart w:id="538" w:name="__RefHeading___schutz_der_informationen_"/>
      <w:bookmarkStart w:id="539" w:name="rl%252525252525252525252525252525252521g"/>
      <w:bookmarkStart w:id="540" w:name="_Toc531165065"/>
      <w:bookmarkStart w:id="541" w:name="schutz_der_informationen"/>
      <w:bookmarkStart w:id="542" w:name="_Toc178761363"/>
      <w:bookmarkStart w:id="543" w:name="_Toc530662930"/>
      <w:bookmarkStart w:id="544" w:name="_Toc187327091"/>
      <w:bookmarkEnd w:id="538"/>
      <w:bookmarkEnd w:id="539"/>
      <w:r>
        <w:rPr>
          <w:shd w:fill="EEEEEE" w:val="clear"/>
          <w:lang w:val="de-DE"/>
        </w:rPr>
        <w:t>Schutz der Informationen</w:t>
      </w:r>
      <w:bookmarkEnd w:id="540"/>
      <w:bookmarkEnd w:id="541"/>
      <w:bookmarkEnd w:id="542"/>
      <w:bookmarkEnd w:id="543"/>
      <w:bookmarkEnd w:id="544"/>
    </w:p>
    <w:p>
      <w:pPr>
        <w:pStyle w:val="10000-DefaultParagraph"/>
        <w:rPr>
          <w:shd w:fill="EEEEEE" w:val="clear"/>
        </w:rPr>
      </w:pPr>
      <w:r>
        <w:rPr>
          <w:shd w:fill="EEEEEE" w:val="clear"/>
          <w:lang w:val="de-DE"/>
        </w:rPr>
        <w:t>Die auf dem mobilen IT-Systemen gespeicherten Informationen der Organisation MÜSSEN vor dem Verlust ihrer Vertraulichkeit und Integrität geschützt werden.</w:t>
      </w:r>
    </w:p>
    <w:p>
      <w:pPr>
        <w:pStyle w:val="Normal"/>
        <w:rPr/>
      </w:pPr>
      <w:r>
        <w:rPr>
          <w:rStyle w:val="Emphasis"/>
          <w:i w:val="false"/>
          <w:iCs w:val="false"/>
          <w:lang w:val="de-DE"/>
        </w:rPr>
        <w:t>Es MUSS mit Hilfe einer Risikoidentifikation, -analyse und -behandlung (siehe Anhang A 2) festgelegt werden, welche Informationen auf mobilen IT-Systemen durch kryptografische Maßnahmen vor dem Verlust ihrer Vertraulichkeit und Integrität geschützt werden.</w:t>
      </w:r>
    </w:p>
    <w:p>
      <w:pPr>
        <w:pStyle w:val="Heading3"/>
        <w:ind w:hanging="0" w:left="0"/>
        <w:rPr>
          <w:shd w:fill="EEEEEE" w:val="clear"/>
        </w:rPr>
      </w:pPr>
      <w:bookmarkStart w:id="545" w:name="__RefHeading___verlust_64"/>
      <w:bookmarkStart w:id="546" w:name="_Toc531165066"/>
      <w:bookmarkStart w:id="547" w:name="verlust"/>
      <w:bookmarkStart w:id="548" w:name="_Toc530662931"/>
      <w:bookmarkStart w:id="549" w:name="_Toc178761364"/>
      <w:bookmarkStart w:id="550" w:name="_Toc187327092"/>
      <w:bookmarkStart w:id="551" w:name="rl%252525252525252525252525252525252521h"/>
      <w:bookmarkEnd w:id="545"/>
      <w:bookmarkEnd w:id="551"/>
      <w:r>
        <w:rPr>
          <w:shd w:fill="EEEEEE" w:val="clear"/>
          <w:lang w:val="de-DE"/>
        </w:rPr>
        <w:t>Verlust</w:t>
      </w:r>
      <w:bookmarkEnd w:id="546"/>
      <w:bookmarkEnd w:id="547"/>
      <w:bookmarkEnd w:id="548"/>
      <w:bookmarkEnd w:id="549"/>
      <w:bookmarkEnd w:id="550"/>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shd w:fill="EEEEEE" w:val="clear"/>
        </w:rPr>
      </w:pPr>
      <w:r>
        <w:rPr>
          <w:shd w:fill="EEEEEE" w:val="clear"/>
        </w:rPr>
        <w:t>Die Verfahren MÜSSEN insbesondere festlegen, wie und an wen der Verlust zu melden ist und welche Sofortreaktion zu erfolgen hat.</w:t>
      </w:r>
    </w:p>
    <w:p>
      <w:pPr>
        <w:pStyle w:val="Normal"/>
        <w:rPr>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shd w:fill="EEEEEE" w:val="clear"/>
        </w:rPr>
      </w:pPr>
      <w:r>
        <w:rPr>
          <w:shd w:fill="EEEEEE" w:val="clear"/>
          <w:lang w:val="de-DE"/>
        </w:rPr>
        <w:t xml:space="preserve">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52" w:name="__RefHeading___Toc42885_2021121348"/>
      <w:bookmarkEnd w:id="552"/>
      <w:r>
        <w:rPr>
          <w:lang w:val="de-DE"/>
        </w:rPr>
        <w:t>Zusätzliche Maßnahmen für wichtige IT-Systeme</w:t>
      </w:r>
    </w:p>
    <w:p>
      <w:pPr>
        <w:pStyle w:val="Normal"/>
        <w:rPr>
          <w:lang w:val="de-DE"/>
        </w:rPr>
      </w:pPr>
      <w:r>
        <w:rPr>
          <w:lang w:val="de-DE"/>
        </w:rPr>
        <w:t>Für wichtige IT-Systeme MUSS eine Risikoidentifikation, -analyse und –behandlung etabliert werden (siehe Anhang A 2).</w:t>
      </w:r>
    </w:p>
    <w:p>
      <w:pPr>
        <w:pStyle w:val="Empfehlung"/>
        <w:rPr>
          <w:lang w:val="de-DE"/>
        </w:rPr>
      </w:pPr>
      <w:r>
        <w:rPr>
          <w:lang w:val="de-DE"/>
        </w:rPr>
        <w:t>Dabei KÖNNEN wichtige IT-Systeme in Gruppen zusammengefasst werden, wenn sie sich in Hard- und Software ähneln und für ähnliche Zwecke eingesetzt werden.</w:t>
      </w:r>
    </w:p>
    <w:p>
      <w:pPr>
        <w:pStyle w:val="Normal"/>
        <w:rPr>
          <w:lang w:val="de-DE"/>
        </w:rPr>
      </w:pPr>
      <w:r>
        <w:rPr>
          <w:lang w:val="de-DE"/>
        </w:rPr>
        <w:t>Zusätzlich MÜSSEN für alle wichtigen IT-Systeme die Maßnahmen der folgenden Abschnitte umgesetzt werden.</w:t>
      </w:r>
    </w:p>
    <w:p>
      <w:pPr>
        <w:pStyle w:val="Normal"/>
        <w:rPr>
          <w:lang w:val="de-DE"/>
        </w:rPr>
      </w:pPr>
      <w:r>
        <w:rPr>
          <w:lang w:val="de-DE"/>
        </w:rPr>
        <w:t>Wenn Maßnahmen der folgenden Abschnitte nicht umgesetzt werden, MUSS dem dadurch entstehenden Risiko in der Risikoidentifikation, -analyse und –behandlung der entsprechenden IT-Systeme begegnet werden.</w:t>
      </w:r>
    </w:p>
    <w:p>
      <w:pPr>
        <w:pStyle w:val="Heading3"/>
        <w:ind w:hanging="0" w:left="0"/>
        <w:rPr>
          <w:lang w:val="de-DE"/>
        </w:rPr>
      </w:pPr>
      <w:bookmarkStart w:id="553" w:name="__RefHeading___dokumentation_71"/>
      <w:bookmarkStart w:id="554" w:name="dokumentation"/>
      <w:bookmarkStart w:id="555" w:name="_Toc187327100"/>
      <w:bookmarkStart w:id="556" w:name="_Toc530662938"/>
      <w:bookmarkStart w:id="557" w:name="_Toc178761371"/>
      <w:bookmarkStart w:id="558" w:name="rl%252525252525252525252525252525252521i"/>
      <w:bookmarkStart w:id="559" w:name="_Toc531165073"/>
      <w:bookmarkStart w:id="560" w:name="_Ref184204582"/>
      <w:bookmarkEnd w:id="553"/>
      <w:bookmarkEnd w:id="558"/>
      <w:r>
        <w:rPr>
          <w:lang w:val="de-DE"/>
        </w:rPr>
        <w:t>Dokumentation</w:t>
      </w:r>
      <w:bookmarkEnd w:id="554"/>
      <w:bookmarkEnd w:id="555"/>
      <w:bookmarkEnd w:id="556"/>
      <w:bookmarkEnd w:id="557"/>
      <w:bookmarkEnd w:id="559"/>
      <w:bookmarkEnd w:id="560"/>
    </w:p>
    <w:p>
      <w:pPr>
        <w:pStyle w:val="10000-DefaultParagraph"/>
        <w:rPr>
          <w:lang w:val="de-DE"/>
        </w:rPr>
      </w:pPr>
      <w:r>
        <w:rPr>
          <w:lang w:val="de-DE"/>
        </w:rPr>
        <w:t xml:space="preserve">Für jedes </w:t>
      </w:r>
      <w:r>
        <w:rPr>
          <w:shd w:fill="auto" w:val="clear"/>
          <w:lang w:val="de-DE"/>
        </w:rPr>
        <w:t xml:space="preserve">wichtige </w:t>
      </w:r>
      <w:r>
        <w:rPr>
          <w:lang w:val="de-DE"/>
        </w:rPr>
        <w:t>IT-System MUSS eine Dokumentation vorhanden sein.</w:t>
      </w:r>
    </w:p>
    <w:p>
      <w:pPr>
        <w:pStyle w:val="10000-DefaultParagraph"/>
        <w:rPr>
          <w:lang w:val="de-DE"/>
        </w:rPr>
      </w:pPr>
      <w:r>
        <w:rPr>
          <w:lang w:val="de-DE"/>
        </w:rPr>
        <w:t>Anhand der Dokumentation MUSS es fachlich versierten Personen möglich sein, folgende Punkte nachzuvollziehen:</w:t>
      </w:r>
    </w:p>
    <w:p>
      <w:pPr>
        <w:pStyle w:val="10000-DefaultParagraph"/>
        <w:numPr>
          <w:ilvl w:val="0"/>
          <w:numId w:val="371"/>
        </w:numPr>
        <w:rPr>
          <w:lang w:val="de-DE"/>
        </w:rPr>
      </w:pPr>
      <w:r>
        <w:rPr>
          <w:lang w:val="de-DE"/>
        </w:rPr>
        <w:t>Wer ist für das IT-System verantwortlich?</w:t>
      </w:r>
    </w:p>
    <w:p>
      <w:pPr>
        <w:pStyle w:val="10000-DefaultParagraph"/>
        <w:numPr>
          <w:ilvl w:val="0"/>
          <w:numId w:val="372"/>
        </w:numPr>
        <w:rPr>
          <w:lang w:val="de-DE"/>
        </w:rPr>
      </w:pPr>
      <w:r>
        <w:rPr>
          <w:lang w:val="de-DE"/>
        </w:rPr>
        <w:t>Wie und mit welchen Zugängen und Authentifizierungsmerkmalen ist der administrative Zugang zum IT-System möglich?</w:t>
      </w:r>
    </w:p>
    <w:p>
      <w:pPr>
        <w:pStyle w:val="10000-DefaultParagraph"/>
        <w:numPr>
          <w:ilvl w:val="0"/>
          <w:numId w:val="373"/>
        </w:numPr>
        <w:rPr>
          <w:lang w:val="de-DE"/>
        </w:rPr>
      </w:pPr>
      <w:r>
        <w:rPr>
          <w:lang w:val="de-DE"/>
        </w:rPr>
        <w:t>Welche grundlegenden Designentscheidungen wurden bei der Installation getroffen?</w:t>
      </w:r>
    </w:p>
    <w:p>
      <w:pPr>
        <w:pStyle w:val="10000-DefaultParagraph"/>
        <w:numPr>
          <w:ilvl w:val="0"/>
          <w:numId w:val="374"/>
        </w:numPr>
        <w:rPr>
          <w:lang w:val="de-DE"/>
        </w:rPr>
      </w:pPr>
      <w:r>
        <w:rPr>
          <w:lang w:val="de-DE"/>
        </w:rPr>
        <w:t>Welche Änderungen wurden vorgenommen?</w:t>
      </w:r>
    </w:p>
    <w:p>
      <w:pPr>
        <w:pStyle w:val="10000-DefaultParagraph"/>
        <w:numPr>
          <w:ilvl w:val="0"/>
          <w:numId w:val="375"/>
        </w:numPr>
        <w:rPr>
          <w:lang w:val="de-DE"/>
        </w:rPr>
      </w:pPr>
      <w:r>
        <w:rPr>
          <w:lang w:val="de-DE"/>
        </w:rPr>
        <w:t>Wann wurden sie vorgenommen?</w:t>
      </w:r>
    </w:p>
    <w:p>
      <w:pPr>
        <w:pStyle w:val="10000-DefaultParagraph"/>
        <w:numPr>
          <w:ilvl w:val="0"/>
          <w:numId w:val="376"/>
        </w:numPr>
        <w:rPr>
          <w:lang w:val="de-DE"/>
        </w:rPr>
      </w:pPr>
      <w:r>
        <w:rPr>
          <w:lang w:val="de-DE"/>
        </w:rPr>
        <w:t>Wer hat sie vorgenommen?</w:t>
      </w:r>
    </w:p>
    <w:p>
      <w:pPr>
        <w:pStyle w:val="10000-DefaultParagraph"/>
        <w:numPr>
          <w:ilvl w:val="0"/>
          <w:numId w:val="377"/>
        </w:numPr>
        <w:rPr>
          <w:lang w:val="de-DE"/>
        </w:rPr>
      </w:pPr>
      <w:r>
        <w:rPr>
          <w:lang w:val="de-DE"/>
        </w:rPr>
        <w:t>Warum wurden sie vorgenommen?</w:t>
      </w:r>
    </w:p>
    <w:p>
      <w:pPr>
        <w:pStyle w:val="10000-Empfehlung"/>
        <w:rPr>
          <w:lang w:val="de-DE"/>
        </w:rPr>
      </w:pPr>
      <w:r>
        <w:rPr>
          <w:lang w:val="de-DE"/>
        </w:rPr>
        <w:t xml:space="preserve">Eine unvollständige oder falsche Dokumentation SOLLTE als Sicherheitsvorfall (siehe Kapitel </w:t>
      </w:r>
      <w:r>
        <w:rPr>
          <w:lang w:val="de-DE"/>
        </w:rPr>
        <w:fldChar w:fldCharType="begin"/>
      </w:r>
      <w:r>
        <w:rPr>
          <w:lang w:val="de-DE"/>
        </w:rPr>
        <w:instrText xml:space="preserve"> REF _Ref179378695 \n \n \h </w:instrText>
      </w:r>
      <w:r>
        <w:rPr>
          <w:lang w:val="de-DE"/>
        </w:rPr>
        <w:fldChar w:fldCharType="separate"/>
      </w:r>
      <w:r>
        <w:rPr>
          <w:lang w:val="de-DE"/>
        </w:rPr>
        <w:t>17</w:t>
      </w:r>
      <w:r>
        <w:rPr>
          <w:lang w:val="de-DE"/>
        </w:rPr>
        <w:fldChar w:fldCharType="end"/>
      </w:r>
      <w:r>
        <w:rPr>
          <w:lang w:val="de-DE"/>
        </w:rPr>
        <w:t>) behandelt werden.</w:t>
      </w:r>
    </w:p>
    <w:p>
      <w:pPr>
        <w:pStyle w:val="Heading3"/>
        <w:ind w:hanging="0" w:left="0"/>
        <w:rPr>
          <w:lang w:val="de-DE"/>
        </w:rPr>
      </w:pPr>
      <w:bookmarkStart w:id="561" w:name="__RefHeading___datensicherung_72"/>
      <w:bookmarkStart w:id="562" w:name="_Toc531165074"/>
      <w:bookmarkStart w:id="563" w:name="rl%252525252525252525252525252525252521j"/>
      <w:bookmarkStart w:id="564" w:name="_Toc178761372"/>
      <w:bookmarkStart w:id="565" w:name="datensicherung"/>
      <w:bookmarkStart w:id="566" w:name="_Toc187327101"/>
      <w:bookmarkStart w:id="567" w:name="_Toc530662939"/>
      <w:bookmarkEnd w:id="561"/>
      <w:bookmarkEnd w:id="563"/>
      <w:r>
        <w:rPr>
          <w:lang w:val="de-DE"/>
        </w:rPr>
        <w:t>Datensicherung</w:t>
      </w:r>
      <w:bookmarkEnd w:id="562"/>
      <w:bookmarkEnd w:id="564"/>
      <w:bookmarkEnd w:id="565"/>
      <w:bookmarkEnd w:id="566"/>
      <w:bookmarkEnd w:id="567"/>
    </w:p>
    <w:p>
      <w:pPr>
        <w:pStyle w:val="10000-DefaultParagraph"/>
        <w:rPr/>
      </w:pPr>
      <w:r>
        <w:rPr>
          <w:lang w:val="de-DE"/>
        </w:rPr>
        <w:t xml:space="preserve">Alle </w:t>
      </w:r>
      <w:r>
        <w:rPr>
          <w:shd w:fill="auto" w:val="clear"/>
          <w:lang w:val="de-DE"/>
        </w:rPr>
        <w:t xml:space="preserve">wichtigen </w:t>
      </w:r>
      <w:r>
        <w:rPr>
          <w:lang w:val="de-DE"/>
        </w:rPr>
        <w:t xml:space="preserve">IT-Systeme MÜSSEN über eine Datensicherung (siehe Kapitel </w:t>
      </w:r>
      <w:r>
        <w:rPr>
          <w:lang w:val="de-DE"/>
        </w:rPr>
        <w:fldChar w:fldCharType="begin"/>
      </w:r>
      <w:r>
        <w:rPr>
          <w:lang w:val="de-DE"/>
        </w:rPr>
        <w:instrText xml:space="preserve"> REF _Ref179378737 \n \n \h </w:instrText>
      </w:r>
      <w:r>
        <w:rPr>
          <w:lang w:val="de-DE"/>
        </w:rPr>
        <w:fldChar w:fldCharType="separate"/>
      </w:r>
      <w:r>
        <w:rPr>
          <w:lang w:val="de-DE"/>
        </w:rPr>
        <w:t>16</w:t>
      </w:r>
      <w:r>
        <w:rPr>
          <w:lang w:val="de-DE"/>
        </w:rPr>
        <w:fldChar w:fldCharType="end"/>
      </w:r>
      <w:r>
        <w:fldChar w:fldCharType="begin"/>
      </w:r>
      <w:r>
        <w:rPr>
          <w:rStyle w:val="Style"/>
          <w:lang w:val="de-DE"/>
        </w:rPr>
        <w:instrText xml:space="preserve"> HYPERLINK "https://www.mark-semmler.de/vds/doku.php?id=3473:16_datensicherung" \l "16_datensicherung_und_archivierung"</w:instrText>
      </w:r>
      <w:r>
        <w:rPr>
          <w:rStyle w:val="Style"/>
          <w:lang w:val="de-DE"/>
        </w:rPr>
        <w:fldChar w:fldCharType="separate"/>
      </w:r>
      <w:r>
        <w:rPr>
          <w:rStyle w:val="Style"/>
          <w:lang w:val="de-DE"/>
        </w:rPr>
        <w:t>) verfügen.</w:t>
      </w:r>
      <w:r>
        <w:rPr>
          <w:rStyle w:val="Style"/>
          <w:lang w:val="de-DE"/>
        </w:rPr>
        <w:fldChar w:fldCharType="end"/>
      </w:r>
    </w:p>
    <w:p>
      <w:pPr>
        <w:pStyle w:val="Heading3"/>
        <w:ind w:hanging="0" w:left="0"/>
        <w:rPr>
          <w:lang w:val="de-DE"/>
        </w:rPr>
      </w:pPr>
      <w:bookmarkStart w:id="568" w:name="__RefHeading___ueberwachung_73"/>
      <w:bookmarkStart w:id="569" w:name="rl%252525252525252525252525252525252521k"/>
      <w:bookmarkStart w:id="570" w:name="ueberwachung"/>
      <w:bookmarkStart w:id="571" w:name="_Toc187327102"/>
      <w:bookmarkStart w:id="572" w:name="_Toc530662940"/>
      <w:bookmarkStart w:id="573" w:name="_Toc178761373"/>
      <w:bookmarkStart w:id="574" w:name="_Toc531165075"/>
      <w:bookmarkEnd w:id="568"/>
      <w:bookmarkEnd w:id="569"/>
      <w:r>
        <w:rPr>
          <w:lang w:val="de-DE"/>
        </w:rPr>
        <w:t>Überwachung</w:t>
      </w:r>
      <w:bookmarkEnd w:id="570"/>
      <w:bookmarkEnd w:id="571"/>
      <w:bookmarkEnd w:id="572"/>
      <w:bookmarkEnd w:id="573"/>
      <w:bookmarkEnd w:id="574"/>
    </w:p>
    <w:p>
      <w:pPr>
        <w:pStyle w:val="10000-DefaultParagraph"/>
        <w:rPr>
          <w:lang w:val="de-DE"/>
        </w:rPr>
      </w:pPr>
      <w:r>
        <w:rPr>
          <w:lang w:val="de-DE"/>
        </w:rPr>
        <w:t xml:space="preserve">Es MUSS überwacht werden, ob sich </w:t>
      </w:r>
      <w:r>
        <w:rPr>
          <w:shd w:fill="auto" w:val="clear"/>
          <w:lang w:val="de-DE"/>
        </w:rPr>
        <w:t xml:space="preserve">wichtige </w:t>
      </w:r>
      <w:r>
        <w:rPr>
          <w:lang w:val="de-DE"/>
        </w:rPr>
        <w:t>IT-Systeme im Regelbetrieb befinden.</w:t>
      </w:r>
    </w:p>
    <w:p>
      <w:pPr>
        <w:pStyle w:val="10000-DefaultParagraph"/>
        <w:rPr>
          <w:lang w:val="de-DE"/>
        </w:rPr>
      </w:pPr>
      <w:r>
        <w:rPr>
          <w:lang w:val="de-DE"/>
        </w:rPr>
        <w:t xml:space="preserve">Dabei MUSS sichergestellt werden, dass der Ausfall eines </w:t>
      </w:r>
      <w:r>
        <w:rPr>
          <w:shd w:fill="auto" w:val="clear"/>
          <w:lang w:val="de-DE"/>
        </w:rPr>
        <w:t xml:space="preserve">wichtigen </w:t>
      </w:r>
      <w:r>
        <w:rPr>
          <w:lang w:val="de-DE"/>
        </w:rPr>
        <w:t>IT-Systems erkannt und entsprechende Gegenmaßnahmen eingeleitet werden.</w:t>
      </w:r>
    </w:p>
    <w:p>
      <w:pPr>
        <w:pStyle w:val="10000-Empfehlung"/>
        <w:rPr/>
      </w:pPr>
      <w:r>
        <w:rPr>
          <w:rStyle w:val="Emphasis"/>
          <w:i/>
          <w:lang w:val="de-DE"/>
        </w:rPr>
        <w:t xml:space="preserve">Darüber hinaus SOLLTEN die Ressourcen </w:t>
      </w:r>
      <w:r>
        <w:rPr>
          <w:rStyle w:val="Emphasis"/>
          <w:i/>
          <w:shd w:fill="auto" w:val="clear"/>
          <w:lang w:val="de-DE"/>
        </w:rPr>
        <w:t xml:space="preserve">wichtiger </w:t>
      </w:r>
      <w:r>
        <w:rPr>
          <w:rStyle w:val="Emphasis"/>
          <w:i/>
          <w:lang w:val="de-DE"/>
        </w:rPr>
        <w:t>IT-Systeme überwacht werden, um Engpässe zu erkennen, bevor sie akut werden.</w:t>
      </w:r>
    </w:p>
    <w:p>
      <w:pPr>
        <w:pStyle w:val="Heading3"/>
        <w:ind w:hanging="0" w:left="0"/>
        <w:rPr>
          <w:shd w:fill="auto" w:val="clear"/>
        </w:rPr>
      </w:pPr>
      <w:bookmarkStart w:id="575" w:name="__RefHeading___beschraenkung_des_netzwe1"/>
      <w:bookmarkStart w:id="576" w:name="_Toc178761354_Copy_1"/>
      <w:bookmarkStart w:id="577" w:name="beschraenkung_des_netzwerkverkehrs_Copy_"/>
      <w:bookmarkStart w:id="578" w:name="_Toc187327081_Copy_1"/>
      <w:bookmarkStart w:id="579" w:name="_Toc531165056_Copy_1"/>
      <w:bookmarkStart w:id="580" w:name="_Ref184204544_Copy_1"/>
      <w:bookmarkStart w:id="581" w:name="_Toc530662921_Copy_1"/>
      <w:bookmarkEnd w:id="575"/>
      <w:commentRangeStart w:id="22"/>
      <w:r>
        <w:rPr>
          <w:shd w:fill="auto" w:val="clear"/>
          <w:lang w:val="de-DE"/>
        </w:rPr>
        <w:t>Beschränkung des Netzwerkverkehrs</w:t>
      </w:r>
      <w:bookmarkEnd w:id="576"/>
      <w:bookmarkEnd w:id="577"/>
      <w:bookmarkEnd w:id="578"/>
      <w:bookmarkEnd w:id="579"/>
      <w:bookmarkEnd w:id="580"/>
      <w:bookmarkEnd w:id="581"/>
    </w:p>
    <w:p>
      <w:pPr>
        <w:pStyle w:val="Normal"/>
        <w:rPr>
          <w:b w:val="false"/>
          <w:bCs w:val="false"/>
          <w:i/>
          <w:i/>
          <w:iCs/>
          <w:u w:val="none"/>
        </w:rPr>
      </w:pPr>
      <w:r>
        <w:rPr>
          <w:b w:val="false"/>
          <w:bCs w:val="false"/>
          <w:i/>
          <w:iCs/>
          <w:u w:val="none"/>
          <w:shd w:fill="auto" w:val="clear"/>
        </w:rPr>
        <w:t>Der Netzwerkverkehr von und zu wichtigen IT-Systemen SOLLTE auf das für die Funktionsfähigkeit notwendige Minimum beschränkt werden.</w:t>
      </w:r>
    </w:p>
    <w:p>
      <w:pPr>
        <w:pStyle w:val="Normal"/>
        <w:rPr/>
      </w:pPr>
      <w:r>
        <w:rPr>
          <w:rStyle w:val="Emphasis"/>
          <w:shd w:fill="auto" w:val="clear"/>
          <w:lang w:val="de-DE"/>
        </w:rPr>
        <w:t xml:space="preserve">Die Beschränkung des Netzwerkverkehrs KANN z. B. durch eine geeignete Segmentierung des Netzwerks (siehe Abschnitt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commentRangeEnd w:id="22"/>
      <w:r>
        <w:commentReference w:id="22"/>
      </w:r>
      <w:r>
        <w:rPr/>
      </w:r>
    </w:p>
    <w:p>
      <w:pPr>
        <w:pStyle w:val="Heading3"/>
        <w:ind w:hanging="0" w:left="0"/>
        <w:rPr>
          <w:lang w:val="de-DE"/>
        </w:rPr>
      </w:pPr>
      <w:bookmarkStart w:id="582" w:name="__RefHeading___kritische_individualsoftw"/>
      <w:bookmarkEnd w:id="582"/>
      <w:r>
        <w:rPr>
          <w:lang w:val="de-DE"/>
        </w:rPr>
        <w:t>Wichtige</w:t>
      </w:r>
      <w:bookmarkStart w:id="583" w:name="_Toc531165077"/>
      <w:bookmarkStart w:id="584" w:name="_Toc530662942"/>
      <w:bookmarkStart w:id="585" w:name="_Toc178761375"/>
      <w:bookmarkStart w:id="586" w:name="_Toc187327104"/>
      <w:bookmarkStart w:id="587" w:name="kritische_individualsoftware"/>
      <w:r>
        <w:rPr>
          <w:lang w:val="de-DE"/>
        </w:rPr>
        <w:t xml:space="preserve"> Individualsoftware</w:t>
      </w:r>
      <w:bookmarkEnd w:id="583"/>
      <w:bookmarkEnd w:id="584"/>
      <w:bookmarkEnd w:id="585"/>
      <w:bookmarkEnd w:id="586"/>
      <w:bookmarkEnd w:id="587"/>
    </w:p>
    <w:p>
      <w:pPr>
        <w:pStyle w:val="10000-DefaultParagraph"/>
        <w:rPr/>
      </w:pPr>
      <w:r>
        <w:rPr>
          <w:rStyle w:val="Emphasis"/>
          <w:i w:val="false"/>
          <w:iCs w:val="false"/>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lang w:val="de-DE"/>
        </w:rPr>
        <w:t>Individualsoftware auch in Zukunft verwenden und ihren Bedürfnissen anpassen kann.</w:t>
      </w:r>
    </w:p>
    <w:p>
      <w:pPr>
        <w:pStyle w:val="Normal"/>
        <w:widowControl/>
        <w:suppressAutoHyphens w:val="false"/>
        <w:overflowPunct w:val="true"/>
        <w:bidi w:val="0"/>
        <w:spacing w:lineRule="auto" w:line="247" w:before="0" w:after="120"/>
        <w:ind w:hanging="0" w:left="0"/>
        <w:jc w:val="both"/>
        <w:rPr>
          <w:lang w:val="de-DE"/>
        </w:rPr>
      </w:pPr>
      <w:r>
        <w:rPr>
          <w:lang w:val="de-DE"/>
        </w:rPr>
      </w:r>
    </w:p>
    <w:p>
      <w:pPr>
        <w:pStyle w:val="Heading2"/>
        <w:ind w:hanging="0" w:left="0"/>
        <w:rPr>
          <w:shd w:fill="EEEEEE" w:val="clear"/>
        </w:rPr>
      </w:pPr>
      <w:bookmarkStart w:id="588" w:name="__RefHeading___Toc32036_2021121348"/>
      <w:bookmarkStart w:id="589" w:name="_Toc187327093"/>
      <w:bookmarkStart w:id="590" w:name="rl%252525252525252525252525252525252521l"/>
      <w:bookmarkStart w:id="591" w:name="_Toc178761365"/>
      <w:bookmarkStart w:id="592" w:name="_Toc530662932"/>
      <w:bookmarkStart w:id="593" w:name="_Toc178588086"/>
      <w:bookmarkStart w:id="594" w:name="_Toc531165067"/>
      <w:bookmarkEnd w:id="588"/>
      <w:bookmarkEnd w:id="590"/>
      <w:r>
        <w:rPr>
          <w:shd w:fill="EEEEEE" w:val="clear"/>
          <w:lang w:val="de-DE"/>
        </w:rPr>
        <w:t>Zusätzliche Maßnahmen für kritische IT-Systeme</w:t>
      </w:r>
      <w:bookmarkEnd w:id="589"/>
      <w:bookmarkEnd w:id="591"/>
      <w:bookmarkEnd w:id="592"/>
      <w:bookmarkEnd w:id="593"/>
      <w:bookmarkEnd w:id="594"/>
    </w:p>
    <w:p>
      <w:pPr>
        <w:pStyle w:val="Heading3"/>
        <w:ind w:hanging="0" w:left="0"/>
        <w:rPr>
          <w:shd w:fill="EEEEEE" w:val="clear"/>
        </w:rPr>
      </w:pPr>
      <w:bookmarkStart w:id="595" w:name="__RefHeading___Toc32038_2021121348"/>
      <w:bookmarkStart w:id="596" w:name="_Toc187327094"/>
      <w:bookmarkEnd w:id="595"/>
      <w:r>
        <w:rPr>
          <w:shd w:fill="EEEEEE" w:val="clear"/>
          <w:lang w:val="de-DE"/>
        </w:rPr>
        <w:t>Grundlagen</w:t>
      </w:r>
      <w:bookmarkEnd w:id="596"/>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shd w:fill="EEEEEE" w:val="clear"/>
        </w:rPr>
      </w:pPr>
      <w:r>
        <w:rPr>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_Ref179186913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Heading3"/>
        <w:ind w:hanging="0" w:left="0"/>
        <w:rPr>
          <w:shd w:fill="EEEEEE" w:val="clear"/>
        </w:rPr>
      </w:pPr>
      <w:bookmarkStart w:id="597" w:name="__RefHeading___notbetriebsniveau_67"/>
      <w:bookmarkStart w:id="598" w:name="_Ref179378792"/>
      <w:bookmarkStart w:id="599" w:name="_Ref179189166"/>
      <w:bookmarkStart w:id="600" w:name="rl%252525252525252525252525252525252521m"/>
      <w:bookmarkStart w:id="601" w:name="_Toc531165069"/>
      <w:bookmarkStart w:id="602" w:name="_Ref179378810"/>
      <w:bookmarkStart w:id="603" w:name="_Ref179187477"/>
      <w:bookmarkStart w:id="604" w:name="_Toc187327096"/>
      <w:bookmarkStart w:id="605" w:name="_Toc178761367"/>
      <w:bookmarkStart w:id="606" w:name="_Toc530662934"/>
      <w:bookmarkStart w:id="607" w:name="notbetriebsniveau"/>
      <w:bookmarkEnd w:id="597"/>
      <w:bookmarkEnd w:id="600"/>
      <w:r>
        <w:rPr>
          <w:shd w:fill="EEEEEE" w:val="clear"/>
          <w:lang w:val="de-DE"/>
        </w:rPr>
        <w:t>Notbetriebsniveau</w:t>
      </w:r>
      <w:bookmarkEnd w:id="598"/>
      <w:bookmarkEnd w:id="599"/>
      <w:bookmarkEnd w:id="601"/>
      <w:bookmarkEnd w:id="602"/>
      <w:bookmarkEnd w:id="603"/>
      <w:bookmarkEnd w:id="604"/>
      <w:bookmarkEnd w:id="605"/>
      <w:bookmarkEnd w:id="606"/>
      <w:bookmarkEnd w:id="607"/>
    </w:p>
    <w:p>
      <w:pPr>
        <w:pStyle w:val="10000-Empfehlung"/>
        <w:rPr/>
      </w:pPr>
      <w:r>
        <w:rPr>
          <w:rStyle w:val="Emphasis"/>
          <w:i/>
          <w:shd w:fill="EEEEEE" w:val="clear"/>
          <w:lang w:val="de-DE"/>
        </w:rPr>
        <w:t>Für jedes kritische IT-System SOLLTE ein Notbetriebsniveau definiert werden.</w:t>
      </w:r>
    </w:p>
    <w:p>
      <w:pPr>
        <w:pStyle w:val="Heading3"/>
        <w:ind w:hanging="0" w:left="0"/>
        <w:rPr>
          <w:shd w:fill="EEEEEE" w:val="clear"/>
        </w:rPr>
      </w:pPr>
      <w:bookmarkStart w:id="608" w:name="__RefHeading___robustheit_68"/>
      <w:bookmarkStart w:id="609" w:name="_Toc531165070"/>
      <w:bookmarkStart w:id="610" w:name="_Toc187327097"/>
      <w:bookmarkStart w:id="611" w:name="robustheit"/>
      <w:bookmarkStart w:id="612" w:name="_Toc178761368"/>
      <w:bookmarkStart w:id="613" w:name="_Toc530662935"/>
      <w:bookmarkStart w:id="614" w:name="rl%252525252525252525252525252525252521n"/>
      <w:bookmarkEnd w:id="608"/>
      <w:bookmarkEnd w:id="614"/>
      <w:r>
        <w:rPr>
          <w:shd w:fill="EEEEEE" w:val="clear"/>
          <w:lang w:val="de-DE"/>
        </w:rPr>
        <w:t>Robustheit</w:t>
      </w:r>
      <w:bookmarkEnd w:id="609"/>
      <w:bookmarkEnd w:id="610"/>
      <w:bookmarkEnd w:id="611"/>
      <w:bookmarkEnd w:id="612"/>
      <w:bookmarkEnd w:id="613"/>
    </w:p>
    <w:p>
      <w:pPr>
        <w:pStyle w:val="10000-DefaultParagraph"/>
        <w:rPr>
          <w:shd w:fill="EEEEEE" w:val="clear"/>
        </w:rPr>
      </w:pPr>
      <w:r>
        <w:rPr>
          <w:shd w:fill="EEEEEE" w:val="clear"/>
          <w:lang w:val="de-DE"/>
        </w:rPr>
        <w:t>Auf kritischen IT-Systemen DÜRFEN KEINE Entwicklungen oder Tests durchgeführt werden.</w:t>
      </w:r>
    </w:p>
    <w:p>
      <w:pPr>
        <w:pStyle w:val="10000-DefaultParagraph"/>
        <w:rPr>
          <w:shd w:fill="EEEEEE" w:val="clear"/>
        </w:rPr>
      </w:pPr>
      <w:r>
        <w:rPr>
          <w:shd w:fill="EEEEEE" w:val="clear"/>
          <w:lang w:val="de-DE"/>
        </w:rPr>
        <w:t>Auf kritischen IT-Systemen MÜSSEN alle Netzwerkdienste, die nicht zur Aufgabenerfüllung benötigt werden, deinstalliert, abgeschaltet oder durch geeignete Filtermechanismen unzugänglich gemacht werden.</w:t>
      </w:r>
    </w:p>
    <w:p>
      <w:pPr>
        <w:pStyle w:val="Heading3"/>
        <w:ind w:hanging="0" w:left="0"/>
        <w:rPr>
          <w:lang w:val="de-DE"/>
        </w:rPr>
      </w:pPr>
      <w:bookmarkStart w:id="615" w:name="__RefHeading___Toc42889_2021121348"/>
      <w:bookmarkEnd w:id="615"/>
      <w:r>
        <w:rPr>
          <w:lang w:val="de-DE"/>
        </w:rPr>
        <w:t>Kryptografie</w:t>
      </w:r>
    </w:p>
    <w:p>
      <w:pPr>
        <w:pStyle w:val="Normal"/>
        <w:rPr>
          <w:lang w:val="de-DE"/>
        </w:rPr>
      </w:pPr>
      <w:r>
        <w:rPr>
          <w:lang w:val="de-DE"/>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pStyle w:val="Normal"/>
        <w:rPr>
          <w:lang w:val="de-DE"/>
        </w:rPr>
      </w:pPr>
      <w:r>
        <w:rPr>
          <w:lang w:val="de-DE"/>
        </w:rPr>
        <w:t>Die dabei eingesetzten kryptografischen Maßnahmen MÜSSEN auf anerkannt sicheren technischen Verfahren basieren, wie sie z. B. in BSI TR-02102-1 aufgeführt sind.</w:t>
      </w:r>
    </w:p>
    <w:p>
      <w:pPr>
        <w:pStyle w:val="Heading3"/>
        <w:ind w:hanging="0" w:left="0"/>
        <w:rPr>
          <w:shd w:fill="EEEEEE" w:val="clear"/>
        </w:rPr>
      </w:pPr>
      <w:bookmarkStart w:id="616" w:name="__RefHeading___externe_schnittstellen_un"/>
      <w:bookmarkStart w:id="617" w:name="_Toc187327098"/>
      <w:bookmarkStart w:id="618" w:name="_Toc530662936"/>
      <w:bookmarkStart w:id="619" w:name="_Toc531165071"/>
      <w:bookmarkStart w:id="620" w:name="externe_schnittstellen_und_laufwerke1"/>
      <w:bookmarkStart w:id="621" w:name="_Toc178761369"/>
      <w:bookmarkStart w:id="622" w:name="rl%252525252525252525252525252525252521o"/>
      <w:bookmarkEnd w:id="616"/>
      <w:bookmarkEnd w:id="622"/>
      <w:r>
        <w:rPr>
          <w:shd w:fill="EEEEEE" w:val="clear"/>
          <w:lang w:val="de-DE"/>
        </w:rPr>
        <w:t>Externe Schnittstellen und Laufwerke</w:t>
      </w:r>
      <w:bookmarkEnd w:id="617"/>
      <w:bookmarkEnd w:id="618"/>
      <w:bookmarkEnd w:id="619"/>
      <w:bookmarkEnd w:id="620"/>
      <w:bookmarkEnd w:id="621"/>
    </w:p>
    <w:p>
      <w:pPr>
        <w:pStyle w:val="Normal"/>
        <w:rPr>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lang w:val="de-DE"/>
        </w:rPr>
      </w:pPr>
      <w:bookmarkStart w:id="623" w:name="__RefHeading___aenderungsmanagement_70"/>
      <w:bookmarkStart w:id="624" w:name="_Toc187327099"/>
      <w:bookmarkStart w:id="625" w:name="aenderungsmanagement"/>
      <w:bookmarkStart w:id="626" w:name="_Toc178761370"/>
      <w:bookmarkStart w:id="627" w:name="_Toc530662937"/>
      <w:bookmarkStart w:id="628" w:name="_Toc531165072"/>
      <w:bookmarkStart w:id="629" w:name="rl%252525252525252525252525252525252521p"/>
      <w:bookmarkEnd w:id="623"/>
      <w:bookmarkEnd w:id="629"/>
      <w:r>
        <w:rPr>
          <w:lang w:val="de-DE"/>
        </w:rPr>
        <w:t>Änderungsmanagement</w:t>
      </w:r>
      <w:bookmarkEnd w:id="624"/>
      <w:bookmarkEnd w:id="625"/>
      <w:bookmarkEnd w:id="626"/>
      <w:bookmarkEnd w:id="627"/>
      <w:bookmarkEnd w:id="628"/>
    </w:p>
    <w:p>
      <w:pPr>
        <w:pStyle w:val="Normal"/>
        <w:rPr>
          <w:shd w:fill="EEEEEE" w:val="clear"/>
        </w:rPr>
      </w:pPr>
      <w:r>
        <w:rPr>
          <w:shd w:fill="EEEEEE" w:val="clear"/>
        </w:rPr>
        <w:t>Änderungen, die auf kritischen IT-Systemen umgesetzt werden sollen, MÜSSEN zuvor in einer Test</w:t>
        <w:softHyphen/>
        <w:t>umgebung getestet und freigegeben worden sein.</w:t>
      </w:r>
    </w:p>
    <w:p>
      <w:pPr>
        <w:pStyle w:val="Normal"/>
        <w:rPr>
          <w:shd w:fill="EEEEEE" w:val="clear"/>
        </w:rPr>
      </w:pPr>
      <w:r>
        <w:rPr>
          <w:shd w:fill="EEEEEE" w:val="clear"/>
          <w:lang w:val="de-DE"/>
        </w:rPr>
        <w:t xml:space="preserve">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shd w:fill="EEEEEE" w:val="clear"/>
          <w:lang w:val="de-DE"/>
        </w:rPr>
        <w:fldChar w:fldCharType="begin"/>
      </w:r>
      <w:r>
        <w:rPr>
          <w:shd w:fill="EEEEEE" w:val="clear"/>
          <w:lang w:val="de-DE"/>
        </w:rPr>
        <w:instrText xml:space="preserve"> REF _Ref179187025 \n \n \h </w:instrText>
      </w:r>
      <w:r>
        <w:rPr>
          <w:shd w:fill="EEEEEE" w:val="clear"/>
          <w:lang w:val="de-DE"/>
        </w:rPr>
        <w:fldChar w:fldCharType="separate"/>
      </w:r>
      <w:r>
        <w:rPr>
          <w:shd w:fill="EEEEEE" w:val="clear"/>
          <w:lang w:val="de-DE"/>
        </w:rPr>
        <w:t>10.8.7</w:t>
      </w:r>
      <w:r>
        <w:rPr>
          <w:shd w:fill="EEEEEE" w:val="clear"/>
          <w:lang w:val="de-DE"/>
        </w:rPr>
        <w:fldChar w:fldCharType="end"/>
      </w:r>
      <w:r>
        <w:rPr>
          <w:shd w:fill="EEEEEE" w:val="clear"/>
          <w:lang w:val="de-DE"/>
        </w:rPr>
        <w:t>).</w:t>
      </w:r>
    </w:p>
    <w:p>
      <w:pPr>
        <w:pStyle w:val="Heading3"/>
        <w:ind w:hanging="0" w:left="0"/>
        <w:rPr>
          <w:shd w:fill="EEEEEE" w:val="clear"/>
        </w:rPr>
      </w:pPr>
      <w:bookmarkStart w:id="630" w:name="__RefHeading___ersatzsysteme_und_-verfah"/>
      <w:bookmarkStart w:id="631" w:name="_Ref179189029"/>
      <w:bookmarkStart w:id="632" w:name="rl%252525252525252525252525252525252521q"/>
      <w:bookmarkStart w:id="633" w:name="_Ref179189188"/>
      <w:bookmarkStart w:id="634" w:name="_Toc187327103"/>
      <w:bookmarkStart w:id="635" w:name="_Ref179187025"/>
      <w:bookmarkStart w:id="636" w:name="ersatzsysteme_und_-verfahren"/>
      <w:bookmarkStart w:id="637" w:name="_Toc178761374"/>
      <w:bookmarkStart w:id="638" w:name="_Toc531165076"/>
      <w:bookmarkStart w:id="639" w:name="_Toc530662941"/>
      <w:bookmarkEnd w:id="630"/>
      <w:bookmarkEnd w:id="632"/>
      <w:r>
        <w:rPr>
          <w:shd w:fill="EEEEEE" w:val="clear"/>
          <w:lang w:val="de-DE"/>
        </w:rPr>
        <w:t>Ersatzsysteme und -verfahren</w:t>
      </w:r>
      <w:bookmarkEnd w:id="631"/>
      <w:bookmarkEnd w:id="633"/>
      <w:bookmarkEnd w:id="634"/>
      <w:bookmarkEnd w:id="635"/>
      <w:bookmarkEnd w:id="636"/>
      <w:bookmarkEnd w:id="637"/>
      <w:bookmarkEnd w:id="638"/>
      <w:bookmarkEnd w:id="639"/>
    </w:p>
    <w:p>
      <w:pPr>
        <w:pStyle w:val="Normal"/>
        <w:rPr>
          <w:shd w:fill="EEEEEE" w:val="clear"/>
        </w:rPr>
      </w:pPr>
      <w:r>
        <w:rPr>
          <w:shd w:fill="EEEEEE" w:val="clear"/>
        </w:rPr>
        <w:t>Wenn ein kritisches IT-System innerhalb seiner MTA nicht wiederhergestellt werden kann, MUSS die Organisation über ein Ersatzsystem oder -verfahren verfügen, das es ermöglicht, die vom kritischen IT-System abhängigen zentralen Prozesse und Prozesse mit hohem Schadenpotential weiter zu betreiben.</w:t>
      </w:r>
    </w:p>
    <w:p>
      <w:pPr>
        <w:pStyle w:val="Normal"/>
        <w:rPr/>
      </w:pPr>
      <w:r>
        <w:rPr>
          <w:rStyle w:val="Emphasis"/>
          <w:shd w:fill="EEEEEE" w:val="clear"/>
          <w:lang w:val="de-DE"/>
        </w:rPr>
        <w:t xml:space="preserve">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_Ref179378810 \n \n \h </w:instrText>
      </w:r>
      <w:r>
        <w:rPr>
          <w:rStyle w:val="Emphasis"/>
          <w:shd w:fill="EEEEEE" w:val="clear"/>
          <w:lang w:val="de-DE"/>
        </w:rPr>
        <w:fldChar w:fldCharType="separate"/>
      </w:r>
      <w:r>
        <w:rPr>
          <w:rStyle w:val="Emphasis"/>
          <w:shd w:fill="EEEEEE" w:val="clear"/>
          <w:lang w:val="de-DE"/>
        </w:rPr>
        <w:t>10.8.2</w:t>
      </w:r>
      <w:r>
        <w:rPr>
          <w:rStyle w:val="Emphasis"/>
          <w:shd w:fill="EEEEEE" w:val="clear"/>
          <w:lang w:val="de-DE"/>
        </w:rPr>
        <w:fldChar w:fldCharType="end"/>
      </w:r>
      <w:r>
        <w:rPr>
          <w:rStyle w:val="Emphasis"/>
          <w:shd w:fill="EEEEEE" w:val="clear"/>
          <w:lang w:val="de-DE"/>
        </w:rPr>
        <w:t>) des kritischen IT-Systems sicherstellen.</w:t>
      </w:r>
    </w:p>
    <w:p>
      <w:pPr>
        <w:pStyle w:val="Heading3"/>
        <w:ind w:hanging="0" w:left="0"/>
        <w:rPr>
          <w:lang w:val="de-DE"/>
        </w:rPr>
      </w:pPr>
      <w:bookmarkStart w:id="640" w:name="__RefHeading___Toc42891_2021121348"/>
      <w:bookmarkEnd w:id="640"/>
      <w:commentRangeStart w:id="23"/>
      <w:r>
        <w:rPr>
          <w:lang w:val="de-DE"/>
        </w:rPr>
        <w:t>Entwicklung und Wartung kritischer IT-Systeme und kritischer Individualsoftware</w:t>
      </w:r>
      <w:commentRangeEnd w:id="23"/>
      <w:r>
        <w:commentReference w:id="23"/>
      </w:r>
      <w:r>
        <w:rPr/>
      </w:r>
    </w:p>
    <w:p>
      <w:pPr>
        <w:pStyle w:val="Normal"/>
        <w:rPr>
          <w:lang w:val="de-DE"/>
        </w:rPr>
      </w:pPr>
      <w:r>
        <w:rPr>
          <w:lang w:val="de-DE"/>
        </w:rPr>
        <w:t>Bei Entwicklung kritischer Individualsoftware MÜSSEN die folgenden Anforderungen erfüllt werden:</w:t>
      </w:r>
    </w:p>
    <w:p>
      <w:pPr>
        <w:pStyle w:val="Normal"/>
        <w:numPr>
          <w:ilvl w:val="0"/>
          <w:numId w:val="378"/>
        </w:numPr>
        <w:rPr>
          <w:lang w:val="de-DE"/>
        </w:rPr>
      </w:pPr>
      <w:r>
        <w:rPr/>
        <w:t>Die Sicherheitsanforderungen an das Produkt werden durch eine Risikoanalyse und -behandlung definiert.</w:t>
      </w:r>
      <w:r>
        <w:rPr/>
        <w:commentReference w:id="24"/>
      </w:r>
    </w:p>
    <w:p>
      <w:pPr>
        <w:pStyle w:val="Normal"/>
        <w:numPr>
          <w:ilvl w:val="0"/>
          <w:numId w:val="379"/>
        </w:numPr>
        <w:rPr>
          <w:lang w:val="de-DE"/>
        </w:rPr>
      </w:pPr>
      <w:r>
        <w:rPr>
          <w:lang w:val="de-DE"/>
        </w:rPr>
        <w:t>Es wird eine Sicherheitsarchitektur definiert, die die ermittelten Sicherheitsanforderungen (siehe Abschnitt X.Y) erfüllt.</w:t>
      </w:r>
    </w:p>
    <w:p>
      <w:pPr>
        <w:pStyle w:val="Normal"/>
        <w:numPr>
          <w:ilvl w:val="0"/>
          <w:numId w:val="380"/>
        </w:numPr>
        <w:rPr>
          <w:lang w:val="de-DE"/>
        </w:rPr>
      </w:pPr>
      <w:r>
        <w:rPr>
          <w:lang w:val="de-DE"/>
        </w:rPr>
        <w:t>Der Produkt- und Entwicklungslebenszyklus ist so gestaltet, dass die Sicherheitsanforderungen im gesamten Lebenszyklus (Planung, Implementierung, Test, Betrieb, Anpassung und Ausmusterung) berücksichtigt werden.</w:t>
      </w:r>
    </w:p>
    <w:p>
      <w:pPr>
        <w:pStyle w:val="Normal"/>
        <w:numPr>
          <w:ilvl w:val="0"/>
          <w:numId w:val="381"/>
        </w:numPr>
        <w:rPr>
          <w:lang w:val="de-DE"/>
        </w:rPr>
      </w:pPr>
      <w:r>
        <w:rPr>
          <w:lang w:val="de-DE"/>
        </w:rPr>
        <w:t>Es ist über ihren gesamten Lebenszyklus sichergestellt, dass Sicherheitsrisiken dokumentiert sowie ausgenutzte Schwachstellen und Sicherheitsvorfälle aktiv gemeldet werden.</w:t>
      </w:r>
    </w:p>
    <w:p>
      <w:pPr>
        <w:pStyle w:val="Normal"/>
        <w:numPr>
          <w:ilvl w:val="0"/>
          <w:numId w:val="382"/>
        </w:numPr>
        <w:rPr>
          <w:lang w:val="de-DE"/>
        </w:rPr>
      </w:pPr>
      <w:r>
        <w:rPr>
          <w:lang w:val="de-DE"/>
        </w:rPr>
        <w:t>Für die Dauer des Support-Zeitraums ist sichergestellt, dass Schwachstellen wirksam behandelt werden (z. B. durch Updates oder Hinweise zur sicheren Konfiguration).</w:t>
      </w:r>
    </w:p>
    <w:p>
      <w:pPr>
        <w:pStyle w:val="Normal"/>
        <w:numPr>
          <w:ilvl w:val="0"/>
          <w:numId w:val="383"/>
        </w:numPr>
        <w:rPr>
          <w:lang w:val="de-DE"/>
        </w:rPr>
      </w:pPr>
      <w:r>
        <w:rPr>
          <w:lang w:val="de-DE"/>
        </w:rPr>
        <w:t xml:space="preserve">Es wird eine Anleitung für die sichere Inbetriebnahme, den sicheren Betrieb und die sichere Ausmusterung der Produkte erstellt und bei Bedarf (z. B. nach Sicherheitsvorfällen oder bekannt gewordenen Schwachstellen) angepasst. </w:t>
      </w:r>
    </w:p>
    <w:p>
      <w:pPr>
        <w:pStyle w:val="Heading1"/>
        <w:ind w:hanging="0" w:left="0"/>
        <w:rPr>
          <w:shd w:fill="EEEEEE" w:val="clear"/>
        </w:rPr>
      </w:pPr>
      <w:bookmarkStart w:id="641" w:name="__RefHeading___Toc32040_2021121348"/>
      <w:bookmarkStart w:id="642" w:name="_Toc187327105"/>
      <w:bookmarkStart w:id="643" w:name="netzwerke_und_verbindungen"/>
      <w:bookmarkStart w:id="644" w:name="_Toc178588087"/>
      <w:bookmarkStart w:id="645" w:name="_Toc530662943"/>
      <w:bookmarkStart w:id="646" w:name="_Toc531165078"/>
      <w:bookmarkStart w:id="647" w:name="rl%252525252525252525252525252525252521r"/>
      <w:bookmarkStart w:id="648" w:name="_Ref184204596"/>
      <w:bookmarkStart w:id="649" w:name="_Toc178761376"/>
      <w:bookmarkEnd w:id="641"/>
      <w:bookmarkEnd w:id="647"/>
      <w:r>
        <w:rPr>
          <w:shd w:fill="EEEEEE" w:val="clear"/>
          <w:lang w:val="de-DE"/>
        </w:rPr>
        <w:t>Netzwerke und Verbindungen</w:t>
      </w:r>
      <w:bookmarkEnd w:id="642"/>
      <w:bookmarkEnd w:id="643"/>
      <w:bookmarkEnd w:id="644"/>
      <w:bookmarkEnd w:id="645"/>
      <w:bookmarkEnd w:id="646"/>
      <w:bookmarkEnd w:id="648"/>
      <w:bookmarkEnd w:id="649"/>
    </w:p>
    <w:p>
      <w:pPr>
        <w:pStyle w:val="Heading2"/>
        <w:ind w:hanging="0" w:left="0"/>
        <w:rPr>
          <w:shd w:fill="EEEEEE" w:val="clear"/>
        </w:rPr>
      </w:pPr>
      <w:bookmarkStart w:id="650" w:name="__RefHeading___Toc32042_2021121348"/>
      <w:bookmarkStart w:id="651" w:name="_Toc187327106"/>
      <w:bookmarkEnd w:id="650"/>
      <w:r>
        <w:rPr>
          <w:shd w:fill="EEEEEE" w:val="clear"/>
          <w:lang w:val="de-DE"/>
        </w:rPr>
        <w:t>Grundlagen</w:t>
      </w:r>
      <w:bookmarkEnd w:id="651"/>
    </w:p>
    <w:p>
      <w:pPr>
        <w:pStyle w:val="Normal"/>
        <w:rPr>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shd w:fill="EEEEEE" w:val="clear"/>
        </w:rPr>
      </w:pPr>
      <w:bookmarkStart w:id="652" w:name="__RefHeading___Toc32044_2021121348"/>
      <w:bookmarkStart w:id="653" w:name="_Toc530662944"/>
      <w:bookmarkStart w:id="654" w:name="del_dokumentationdel_netzwerkplan"/>
      <w:bookmarkStart w:id="655" w:name="_Toc178761377"/>
      <w:bookmarkStart w:id="656" w:name="_Toc531165079"/>
      <w:bookmarkStart w:id="657" w:name="_Toc178588088"/>
      <w:bookmarkStart w:id="658" w:name="_Toc187327107"/>
      <w:bookmarkStart w:id="659" w:name="rl%252525252525252525252525252525252521s"/>
      <w:bookmarkEnd w:id="652"/>
      <w:bookmarkEnd w:id="659"/>
      <w:r>
        <w:rPr>
          <w:shd w:fill="EEEEEE" w:val="clear"/>
          <w:lang w:val="de-DE"/>
        </w:rPr>
        <w:t>Netzwerkplan</w:t>
      </w:r>
      <w:bookmarkEnd w:id="653"/>
      <w:bookmarkEnd w:id="654"/>
      <w:bookmarkEnd w:id="655"/>
      <w:bookmarkEnd w:id="656"/>
      <w:bookmarkEnd w:id="657"/>
      <w:bookmarkEnd w:id="658"/>
    </w:p>
    <w:p>
      <w:pPr>
        <w:pStyle w:val="10000-DefaultParagraph"/>
        <w:rPr>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384"/>
        </w:numPr>
        <w:rPr>
          <w:shd w:fill="EEEEEE" w:val="clear"/>
        </w:rPr>
      </w:pPr>
      <w:r>
        <w:rPr>
          <w:shd w:fill="EEEEEE" w:val="clear"/>
          <w:lang w:val="de-DE"/>
        </w:rPr>
        <w:t>physikalische Netzwerkstruktur</w:t>
      </w:r>
    </w:p>
    <w:p>
      <w:pPr>
        <w:pStyle w:val="10000-DefaultParagraph"/>
        <w:numPr>
          <w:ilvl w:val="1"/>
          <w:numId w:val="385"/>
        </w:numPr>
        <w:rPr>
          <w:shd w:fill="EEEEEE" w:val="clear"/>
        </w:rPr>
      </w:pPr>
      <w:r>
        <w:rPr>
          <w:shd w:fill="EEEEEE" w:val="clear"/>
          <w:lang w:val="de-DE"/>
        </w:rPr>
        <w:t>aktive Netzwerkkomponenten und deren Verbindungen untereinander</w:t>
      </w:r>
    </w:p>
    <w:p>
      <w:pPr>
        <w:pStyle w:val="10000-DefaultParagraph"/>
        <w:numPr>
          <w:ilvl w:val="1"/>
          <w:numId w:val="26"/>
        </w:numPr>
        <w:rPr>
          <w:shd w:fill="EEEEEE" w:val="clear"/>
        </w:rPr>
      </w:pPr>
      <w:r>
        <w:rPr>
          <w:shd w:fill="EEEEEE" w:val="clear"/>
          <w:lang w:val="de-DE"/>
        </w:rPr>
        <w:t>physikalisches Medium der Verbindungen</w:t>
      </w:r>
    </w:p>
    <w:p>
      <w:pPr>
        <w:pStyle w:val="10000-DefaultParagraph"/>
        <w:numPr>
          <w:ilvl w:val="0"/>
          <w:numId w:val="386"/>
        </w:numPr>
        <w:rPr>
          <w:shd w:fill="EEEEEE" w:val="clear"/>
        </w:rPr>
      </w:pPr>
      <w:r>
        <w:rPr>
          <w:shd w:fill="EEEEEE" w:val="clear"/>
          <w:lang w:val="de-DE"/>
        </w:rPr>
        <w:t>logische Netzwerkstruktur</w:t>
      </w:r>
    </w:p>
    <w:p>
      <w:pPr>
        <w:pStyle w:val="10000-DefaultParagraph"/>
        <w:numPr>
          <w:ilvl w:val="1"/>
          <w:numId w:val="387"/>
        </w:numPr>
        <w:rPr>
          <w:shd w:fill="EEEEEE" w:val="clea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26"/>
        </w:numPr>
        <w:rPr>
          <w:shd w:fill="EEEEEE" w:val="clear"/>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Netzübergänge zu weniger oder nicht vertrauenswürdigen Netzwerken (siehe Abschnitt </w:t>
      </w:r>
      <w:r>
        <w:rPr>
          <w:shd w:fill="EEEEEE" w:val="clear"/>
          <w:lang w:val="de-DE"/>
        </w:rPr>
        <w:fldChar w:fldCharType="begin"/>
      </w:r>
      <w:r>
        <w:rPr>
          <w:shd w:fill="EEEEEE" w:val="clear"/>
          <w:lang w:val="de-DE"/>
        </w:rPr>
        <w:instrText xml:space="preserve"> REF _Ref179187553 \n \n \h </w:instrText>
      </w:r>
      <w:r>
        <w:rPr>
          <w:shd w:fill="EEEEEE" w:val="clear"/>
          <w:lang w:val="de-DE"/>
        </w:rPr>
        <w:fldChar w:fldCharType="separate"/>
      </w:r>
      <w:r>
        <w:rPr>
          <w:shd w:fill="EEEEEE" w:val="clear"/>
          <w:lang w:val="de-DE"/>
        </w:rPr>
        <w:t>11.4</w:t>
      </w:r>
      <w:r>
        <w:rPr>
          <w:shd w:fill="EEEEEE" w:val="clear"/>
          <w:lang w:val="de-DE"/>
        </w:rPr>
        <w:fldChar w:fldCharType="end"/>
      </w:r>
      <w:r>
        <w:rPr>
          <w:shd w:fill="EEEEEE" w:val="clear"/>
          <w:lang w:val="de-DE"/>
        </w:rPr>
        <w:t>)</w:t>
      </w:r>
    </w:p>
    <w:p>
      <w:pPr>
        <w:pStyle w:val="Heading2"/>
        <w:ind w:hanging="0" w:left="0"/>
        <w:rPr>
          <w:shd w:fill="EEEEEE" w:val="clear"/>
        </w:rPr>
      </w:pPr>
      <w:bookmarkStart w:id="660" w:name="__RefHeading___Toc32046_2021121348"/>
      <w:bookmarkStart w:id="661" w:name="_Toc530662945"/>
      <w:bookmarkStart w:id="662" w:name="_Toc531165080"/>
      <w:bookmarkStart w:id="663" w:name="rl%252525252525252525252525252525252521t"/>
      <w:bookmarkStart w:id="664" w:name="_Toc178761378"/>
      <w:bookmarkStart w:id="665" w:name="aktive_netzwerkkomponenten"/>
      <w:bookmarkStart w:id="666" w:name="_Toc178588089"/>
      <w:bookmarkStart w:id="667" w:name="_Toc187327108"/>
      <w:bookmarkEnd w:id="660"/>
      <w:bookmarkEnd w:id="663"/>
      <w:r>
        <w:rPr>
          <w:shd w:fill="EEEEEE" w:val="clear"/>
          <w:lang w:val="de-DE"/>
        </w:rPr>
        <w:t>Aktive Netzwerkkomponenten</w:t>
      </w:r>
      <w:bookmarkEnd w:id="661"/>
      <w:bookmarkEnd w:id="662"/>
      <w:bookmarkEnd w:id="664"/>
      <w:bookmarkEnd w:id="665"/>
      <w:bookmarkEnd w:id="666"/>
      <w:bookmarkEnd w:id="667"/>
    </w:p>
    <w:p>
      <w:pPr>
        <w:pStyle w:val="10000-DefaultParagraph"/>
        <w:rPr>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shd w:fill="EEEEEE" w:val="clear"/>
        </w:rPr>
      </w:pPr>
      <w:bookmarkStart w:id="668" w:name="__RefHeading___Toc32048_2021121348"/>
      <w:bookmarkStart w:id="669" w:name="_Toc530662946"/>
      <w:bookmarkStart w:id="670" w:name="_Toc187327109"/>
      <w:bookmarkStart w:id="671" w:name="netzuebergaenge"/>
      <w:bookmarkStart w:id="672" w:name="_Ref179187553"/>
      <w:bookmarkStart w:id="673" w:name="_Toc531165081"/>
      <w:bookmarkStart w:id="674" w:name="rl%252525252525252525252525252525252521u"/>
      <w:bookmarkStart w:id="675" w:name="_Toc178588090"/>
      <w:bookmarkStart w:id="676" w:name="_Toc178761379"/>
      <w:bookmarkEnd w:id="668"/>
      <w:bookmarkEnd w:id="674"/>
      <w:r>
        <w:rPr>
          <w:shd w:fill="EEEEEE" w:val="clear"/>
          <w:lang w:val="de-DE"/>
        </w:rPr>
        <w:t>Netzübergänge</w:t>
      </w:r>
      <w:bookmarkEnd w:id="669"/>
      <w:bookmarkEnd w:id="670"/>
      <w:bookmarkEnd w:id="671"/>
      <w:bookmarkEnd w:id="672"/>
      <w:bookmarkEnd w:id="673"/>
      <w:bookmarkEnd w:id="675"/>
      <w:bookmarkEnd w:id="676"/>
    </w:p>
    <w:p>
      <w:pPr>
        <w:pStyle w:val="10000-DefaultParagraph"/>
        <w:rPr>
          <w:shd w:fill="EEEEEE" w:val="clear"/>
        </w:rPr>
      </w:pPr>
      <w:r>
        <w:rPr>
          <w:shd w:fill="EEEEEE" w:val="clear"/>
          <w:lang w:val="de-DE"/>
        </w:rPr>
        <w:t>Folgende Maßnahmen MÜSSEN für alle Netzübergänge zu weniger oder nicht vertrauenswürdigen Netzwerken umgesetzt werden:</w:t>
      </w:r>
    </w:p>
    <w:p>
      <w:pPr>
        <w:pStyle w:val="10000-DefaultParagraph"/>
        <w:numPr>
          <w:ilvl w:val="0"/>
          <w:numId w:val="388"/>
        </w:numPr>
        <w:rPr>
          <w:shd w:fill="EEEEEE" w:val="clear"/>
        </w:rPr>
      </w:pPr>
      <w:r>
        <w:rPr>
          <w:shd w:fill="EEEEEE" w:val="clear"/>
          <w:lang w:val="de-DE"/>
        </w:rPr>
        <w:t>Der Netzwerkverkehr wird auf das für die Funktionsfähigkeit notwendige Minimum beschränkt.</w:t>
      </w:r>
    </w:p>
    <w:p>
      <w:pPr>
        <w:pStyle w:val="10000-DefaultParagraph"/>
        <w:numPr>
          <w:ilvl w:val="0"/>
          <w:numId w:val="389"/>
        </w:numPr>
        <w:rPr>
          <w:shd w:fill="EEEEEE" w:val="clear"/>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390"/>
        </w:numPr>
        <w:rPr>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shd w:fill="EEEEEE" w:val="clear"/>
        </w:rPr>
      </w:pPr>
      <w:r>
        <w:rPr>
          <w:shd w:fill="EEEEEE" w:val="clear"/>
          <w:lang w:val="de-DE"/>
        </w:rPr>
        <w:t>Die Konfiguration der Netzwerkkomponenten, die einen Netzwerkübergang zu weniger oder nicht vertrauenswürdigen Netzwerken implementieren, MUSS jährlich überprüft werden und folgende Anforderungen erfüllen:</w:t>
      </w:r>
    </w:p>
    <w:p>
      <w:pPr>
        <w:pStyle w:val="10000-DefaultParagraph"/>
        <w:numPr>
          <w:ilvl w:val="0"/>
          <w:numId w:val="391"/>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392"/>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Wer hat sie implementiert?</w:t>
      </w:r>
    </w:p>
    <w:p>
      <w:pPr>
        <w:pStyle w:val="10000-DefaultParagraph"/>
        <w:widowControl/>
        <w:numPr>
          <w:ilvl w:val="1"/>
          <w:numId w:val="393"/>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Wann wurden sie implementiert?</w:t>
      </w:r>
    </w:p>
    <w:p>
      <w:pPr>
        <w:pStyle w:val="10000-DefaultParagraph"/>
        <w:widowControl/>
        <w:numPr>
          <w:ilvl w:val="1"/>
          <w:numId w:val="394"/>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Was bewirken sie?</w:t>
      </w:r>
    </w:p>
    <w:p>
      <w:pPr>
        <w:pStyle w:val="10000-DefaultParagraph"/>
        <w:widowControl/>
        <w:numPr>
          <w:ilvl w:val="1"/>
          <w:numId w:val="395"/>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Warum werden sie benötigt?</w:t>
      </w:r>
    </w:p>
    <w:p>
      <w:pPr>
        <w:pStyle w:val="10000-DefaultParagraph"/>
        <w:numPr>
          <w:ilvl w:val="0"/>
          <w:numId w:val="396"/>
        </w:numPr>
        <w:rPr/>
      </w:pPr>
      <w:r>
        <w:rPr>
          <w:rStyle w:val="VdSListe1Zchn"/>
          <w:i w:val="false"/>
          <w:iCs w:val="false"/>
          <w:color w:val="000000"/>
          <w:shd w:fill="EEEEEE" w:val="clear"/>
          <w:lang w:val="de-DE"/>
        </w:rPr>
        <w:t>Die angestrebten Verkehrsbeschränkungen werden wirksam umgesetzt.</w:t>
      </w:r>
    </w:p>
    <w:p>
      <w:pPr>
        <w:pStyle w:val="Normal"/>
        <w:rPr>
          <w:color w:val="auto"/>
          <w:lang w:val="de-DE"/>
        </w:rPr>
      </w:pPr>
      <w:r>
        <w:rPr>
          <w:rStyle w:val="VdSListe1Zchn"/>
          <w:i w:val="false"/>
          <w:iCs w:val="false"/>
          <w:color w:val="auto"/>
          <w:lang w:val="de-DE"/>
        </w:rPr>
        <w:t>Eine fehlerhafte Umsetzung der angestrebten Verkehrsbeziehungen oder eine fehlerhafte Dokumentation SOLLTEN als Sicherheitsvorfall(siehe Kapitel &lt;FIXME&gt;) behandelt werden.</w:t>
      </w:r>
    </w:p>
    <w:p>
      <w:pPr>
        <w:pStyle w:val="Heading2"/>
        <w:ind w:hanging="0" w:left="0"/>
        <w:rPr>
          <w:shd w:fill="EEEEEE" w:val="clear"/>
        </w:rPr>
      </w:pPr>
      <w:bookmarkStart w:id="677" w:name="__RefHeading___Toc32050_2021121348"/>
      <w:bookmarkStart w:id="678" w:name="basisschutz1"/>
      <w:bookmarkStart w:id="679" w:name="_Toc178761380"/>
      <w:bookmarkStart w:id="680" w:name="_Toc531165082"/>
      <w:bookmarkStart w:id="681" w:name="_Toc530662947"/>
      <w:bookmarkStart w:id="682" w:name="_Toc187327110"/>
      <w:bookmarkStart w:id="683" w:name="rl%252525252525252525252525252525252521v"/>
      <w:bookmarkStart w:id="684" w:name="_Toc178588091"/>
      <w:bookmarkEnd w:id="677"/>
      <w:bookmarkEnd w:id="683"/>
      <w:r>
        <w:rPr>
          <w:shd w:fill="EEEEEE" w:val="clear"/>
          <w:lang w:val="de-DE"/>
        </w:rPr>
        <w:t>Basisschutz</w:t>
      </w:r>
      <w:bookmarkEnd w:id="678"/>
      <w:bookmarkEnd w:id="679"/>
      <w:bookmarkEnd w:id="680"/>
      <w:bookmarkEnd w:id="681"/>
      <w:bookmarkEnd w:id="682"/>
      <w:bookmarkEnd w:id="684"/>
    </w:p>
    <w:p>
      <w:pPr>
        <w:pStyle w:val="Heading3"/>
        <w:ind w:hanging="0" w:left="0"/>
        <w:rPr>
          <w:shd w:fill="EEEEEE" w:val="clear"/>
        </w:rPr>
      </w:pPr>
      <w:bookmarkStart w:id="685" w:name="__RefHeading___Toc32052_2021121348"/>
      <w:bookmarkStart w:id="686" w:name="_Toc187327111"/>
      <w:bookmarkEnd w:id="685"/>
      <w:r>
        <w:rPr>
          <w:shd w:fill="EEEEEE" w:val="clear"/>
          <w:lang w:val="de-DE"/>
        </w:rPr>
        <w:t>Grundanforderungen</w:t>
      </w:r>
      <w:bookmarkEnd w:id="686"/>
    </w:p>
    <w:p>
      <w:pPr>
        <w:pStyle w:val="10000-DefaultParagraph"/>
        <w:rPr>
          <w:shd w:fill="EEEEEE" w:val="clear"/>
        </w:rPr>
      </w:pPr>
      <w:r>
        <w:rPr>
          <w:shd w:fill="EEEEEE" w:val="clear"/>
          <w:lang w:val="de-DE"/>
        </w:rPr>
        <w:t>Die Maßnahmen der folgenden Abschnitte MÜSSEN, sofern eine entsprechende Funktionalität gegeben ist, für alle Netzwerke implementiert werden.</w:t>
      </w:r>
    </w:p>
    <w:p>
      <w:pPr>
        <w:pStyle w:val="10000-Empfehlung"/>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Netzwerke KÖNNEN von der Umsetzung der Maßnahmen des Basisschutzes generell ausgenommen werden.</w:t>
      </w:r>
    </w:p>
    <w:p>
      <w:pPr>
        <w:pStyle w:val="Heading3"/>
        <w:ind w:hanging="0" w:left="0"/>
        <w:rPr>
          <w:shd w:fill="EEEEEE" w:val="clear"/>
        </w:rPr>
      </w:pPr>
      <w:bookmarkStart w:id="687" w:name="__RefHeading___netzwerkanschluesse_81"/>
      <w:bookmarkStart w:id="688" w:name="_Toc530662948"/>
      <w:bookmarkStart w:id="689" w:name="_Toc531165083"/>
      <w:bookmarkStart w:id="690" w:name="_Toc187327112"/>
      <w:bookmarkStart w:id="691" w:name="_Toc178761381"/>
      <w:bookmarkStart w:id="692" w:name="rl%252525252525252525252525252525252521w"/>
      <w:bookmarkStart w:id="693" w:name="netzwerkanschluesse"/>
      <w:bookmarkEnd w:id="687"/>
      <w:bookmarkEnd w:id="692"/>
      <w:r>
        <w:rPr>
          <w:shd w:fill="EEEEEE" w:val="clear"/>
          <w:lang w:val="de-DE"/>
        </w:rPr>
        <w:t>Netzwerkanschlüsse</w:t>
      </w:r>
      <w:bookmarkEnd w:id="688"/>
      <w:bookmarkEnd w:id="689"/>
      <w:bookmarkEnd w:id="690"/>
      <w:bookmarkEnd w:id="691"/>
      <w:bookmarkEnd w:id="693"/>
    </w:p>
    <w:p>
      <w:pPr>
        <w:pStyle w:val="Normal"/>
        <w:rPr>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shd w:fill="EEEEEE" w:val="clear"/>
        </w:rPr>
      </w:pPr>
      <w:bookmarkStart w:id="694" w:name="__RefHeading___segmentierung_82"/>
      <w:bookmarkStart w:id="695" w:name="_Toc178761382"/>
      <w:bookmarkStart w:id="696" w:name="rl%252525252525252525252525252525252521x"/>
      <w:bookmarkStart w:id="697" w:name="_Toc187327113"/>
      <w:bookmarkStart w:id="698" w:name="_Toc530662949"/>
      <w:bookmarkStart w:id="699" w:name="_Ref184204610"/>
      <w:bookmarkStart w:id="700" w:name="_Toc531165084"/>
      <w:bookmarkStart w:id="701" w:name="segmentierung"/>
      <w:bookmarkEnd w:id="694"/>
      <w:bookmarkEnd w:id="696"/>
      <w:r>
        <w:rPr>
          <w:shd w:fill="EEEEEE" w:val="clear"/>
          <w:lang w:val="de-DE"/>
        </w:rPr>
        <w:t>Segmentierung</w:t>
      </w:r>
      <w:bookmarkEnd w:id="695"/>
      <w:bookmarkEnd w:id="697"/>
      <w:bookmarkEnd w:id="698"/>
      <w:bookmarkEnd w:id="699"/>
      <w:bookmarkEnd w:id="700"/>
      <w:bookmarkEnd w:id="701"/>
    </w:p>
    <w:p>
      <w:pPr>
        <w:pStyle w:val="Normal"/>
        <w:rPr>
          <w:shd w:fill="EEEEEE" w:val="clear"/>
        </w:rPr>
      </w:pPr>
      <w:r>
        <w:rPr>
          <w:shd w:fill="EEEEEE" w:val="clear"/>
        </w:rPr>
        <w:t>Es MÜSSEN Kriterien definiert werden, anhand derer die Netzwerke in einzelne Sicherheitszonen unterteilt werden (Segmentierung).</w:t>
      </w:r>
    </w:p>
    <w:p>
      <w:pPr>
        <w:pStyle w:val="Normal"/>
        <w:rPr>
          <w:shd w:fill="auto" w:val="clear"/>
        </w:rPr>
      </w:pPr>
      <w:r>
        <w:rPr>
          <w:shd w:fill="auto" w:val="clear"/>
        </w:rPr>
        <w:t>Durch die Segmentierung MUSS erreicht werden, dass IT-Systeme einer Schutzkategorie möglichst umfassend von IT-Systemen anderer Schutzkategorien abgeschottet sind.</w:t>
      </w:r>
    </w:p>
    <w:p>
      <w:pPr>
        <w:pStyle w:val="Normal"/>
        <w:rPr>
          <w:shd w:fill="EEEEEE" w:val="clear"/>
          <w:lang w:val="de-DE"/>
        </w:rPr>
      </w:pPr>
      <w:r>
        <w:rPr>
          <w:shd w:fill="EEEEEE" w:val="clear"/>
          <w:lang w:val="de-DE"/>
        </w:rPr>
        <w:t>Die Umsetzung der Segmentierung MUSS eine möglichst umfassende Beschränkung der Verbindungen sowie die Möglichkeit der Protokollierung von blockierten Verbindungen beinhalten.</w:t>
      </w:r>
    </w:p>
    <w:p>
      <w:pPr>
        <w:pStyle w:val="Heading3"/>
        <w:ind w:hanging="0" w:left="0"/>
        <w:rPr>
          <w:shd w:fill="EEEEEE" w:val="clear"/>
        </w:rPr>
      </w:pPr>
      <w:bookmarkStart w:id="702" w:name="__RefHeading___fernzugriff_83"/>
      <w:bookmarkStart w:id="703" w:name="_Toc530662950"/>
      <w:bookmarkStart w:id="704" w:name="_Ref179187517"/>
      <w:bookmarkStart w:id="705" w:name="_Ref184204619"/>
      <w:bookmarkStart w:id="706" w:name="_Toc531165085"/>
      <w:bookmarkStart w:id="707" w:name="rl%252525252525252525252525252525252521y"/>
      <w:bookmarkStart w:id="708" w:name="_Toc187327114"/>
      <w:bookmarkStart w:id="709" w:name="_Toc178761383"/>
      <w:bookmarkEnd w:id="702"/>
      <w:bookmarkEnd w:id="707"/>
      <w:r>
        <w:rPr>
          <w:shd w:fill="EEEEEE" w:val="clear"/>
          <w:lang w:val="de-DE"/>
        </w:rPr>
        <w:t>Fernzugang</w:t>
      </w:r>
      <w:bookmarkEnd w:id="703"/>
      <w:bookmarkEnd w:id="704"/>
      <w:bookmarkEnd w:id="705"/>
      <w:bookmarkEnd w:id="706"/>
      <w:bookmarkEnd w:id="708"/>
      <w:bookmarkEnd w:id="709"/>
    </w:p>
    <w:p>
      <w:pPr>
        <w:pStyle w:val="10000-DefaultParagraph"/>
        <w:rPr>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shd w:fill="EEEEEE" w:val="clear"/>
        </w:rPr>
      </w:pPr>
      <w:r>
        <w:rPr>
          <w:shd w:fill="EEEEEE" w:val="clear"/>
          <w:lang w:val="de-DE"/>
        </w:rPr>
        <w:t>Dabei MÜSSEN folgende Anforderungen erfüllt werden:</w:t>
      </w:r>
    </w:p>
    <w:p>
      <w:pPr>
        <w:pStyle w:val="10000-DefaultParagraph"/>
        <w:numPr>
          <w:ilvl w:val="0"/>
          <w:numId w:val="397"/>
        </w:numPr>
        <w:rPr>
          <w:shd w:fill="EEEEEE" w:val="clear"/>
        </w:rPr>
      </w:pPr>
      <w:r>
        <w:rPr>
          <w:shd w:fill="EEEEEE" w:val="clear"/>
          <w:lang w:val="de-DE"/>
        </w:rPr>
        <w:t>Die Vertraulichkeit, Integrität und Authentizität der übertragenen Informationen wird geschützt.</w:t>
      </w:r>
    </w:p>
    <w:p>
      <w:pPr>
        <w:pStyle w:val="Empfehlung"/>
        <w:ind w:hanging="0" w:left="360"/>
        <w:rPr>
          <w:lang w:val="de-DE"/>
        </w:rPr>
      </w:pPr>
      <w:commentRangeStart w:id="25"/>
      <w:r>
        <w:rPr>
          <w:lang w:val="de-DE"/>
        </w:rPr>
        <w:t>Dies KANN durch den Einsatz von anerkannt sicheren kryptografischen Maßnahmen sichergestellt werden, wie sie z. B. in BSI TR-02102-1 verzeichnet sind.</w:t>
      </w:r>
      <w:commentRangeEnd w:id="25"/>
      <w:r>
        <w:commentReference w:id="25"/>
      </w:r>
      <w:r>
        <w:rPr/>
      </w:r>
    </w:p>
    <w:p>
      <w:pPr>
        <w:pStyle w:val="10000-DefaultParagraph"/>
        <w:numPr>
          <w:ilvl w:val="0"/>
          <w:numId w:val="398"/>
        </w:numPr>
        <w:rPr>
          <w:shd w:fill="EEEEEE" w:val="clear"/>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399"/>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Empfehlung"/>
        <w:rPr/>
      </w:pPr>
      <w:r>
        <w:rPr>
          <w:rStyle w:val="Emphasis"/>
          <w:i/>
          <w:shd w:fill="EEEEEE" w:val="clear"/>
          <w:lang w:val="de-DE"/>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shd w:fill="EEEEEE" w:val="clear"/>
        </w:rPr>
      </w:pPr>
      <w:bookmarkStart w:id="710" w:name="__RefHeading___netzwerkkopplung_84"/>
      <w:bookmarkStart w:id="711" w:name="netzwerkkopplung"/>
      <w:bookmarkStart w:id="712" w:name="_Toc530662951"/>
      <w:bookmarkStart w:id="713" w:name="rl%252525252525252525252525252525252521z"/>
      <w:bookmarkStart w:id="714" w:name="_Toc187327115"/>
      <w:bookmarkStart w:id="715" w:name="_Toc531165086"/>
      <w:bookmarkStart w:id="716" w:name="_Toc178761384"/>
      <w:bookmarkEnd w:id="710"/>
      <w:bookmarkEnd w:id="713"/>
      <w:r>
        <w:rPr>
          <w:shd w:fill="EEEEEE" w:val="clear"/>
          <w:lang w:val="de-DE"/>
        </w:rPr>
        <w:t>Netzwerkkopplung</w:t>
      </w:r>
      <w:bookmarkEnd w:id="711"/>
      <w:bookmarkEnd w:id="712"/>
      <w:bookmarkEnd w:id="714"/>
      <w:bookmarkEnd w:id="715"/>
      <w:bookmarkEnd w:id="716"/>
    </w:p>
    <w:p>
      <w:pPr>
        <w:pStyle w:val="10000-DefaultParagraph"/>
        <w:rPr>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shd w:fill="EEEEEE" w:val="clear"/>
        </w:rPr>
      </w:pPr>
      <w:r>
        <w:rPr>
          <w:shd w:fill="EEEEEE" w:val="clear"/>
          <w:lang w:val="de-DE"/>
        </w:rPr>
        <w:t>Dabei MÜSSEN die Vertraulichkeit, Integrität und Authentizität der übertragenen Informationen gewährleistet werden.</w:t>
      </w:r>
    </w:p>
    <w:p>
      <w:pPr>
        <w:pStyle w:val="Normal"/>
        <w:rPr>
          <w:i/>
          <w:i/>
          <w:iCs/>
        </w:rPr>
      </w:pPr>
      <w:r>
        <w:rPr>
          <w:i/>
          <w:iCs/>
          <w:lang w:val="de-DE"/>
        </w:rPr>
        <w:t>Dies KANN durch den Einsatz von anerkannt sicheren kryptografischen Maßnahmen sichergestellt werden, wie sie z. B. in BSI TR-02102-1 verzeichnet sind.</w:t>
      </w:r>
    </w:p>
    <w:p>
      <w:pPr>
        <w:pStyle w:val="Heading2"/>
        <w:ind w:hanging="0" w:left="0"/>
        <w:rPr>
          <w:lang w:val="de-DE"/>
        </w:rPr>
      </w:pPr>
      <w:bookmarkStart w:id="717" w:name="__RefHeading___Toc32054_2021121348"/>
      <w:bookmarkStart w:id="718" w:name="_Toc178761385"/>
      <w:bookmarkStart w:id="719" w:name="rl%2525252525252525252525252525252525220"/>
      <w:bookmarkStart w:id="720" w:name="_Toc530662952"/>
      <w:bookmarkStart w:id="721" w:name="_Toc531165087"/>
      <w:bookmarkStart w:id="722" w:name="_Toc178588092"/>
      <w:bookmarkStart w:id="723" w:name="zusaetzliche_massnahmen_fuer_kritische_v"/>
      <w:bookmarkStart w:id="724" w:name="_Toc187327116"/>
      <w:bookmarkEnd w:id="717"/>
      <w:bookmarkEnd w:id="719"/>
      <w:r>
        <w:rPr>
          <w:lang w:val="de-DE"/>
        </w:rPr>
        <w:t>Zusätzliche Maßnahmen für wichtige Verbindungen</w:t>
      </w:r>
      <w:bookmarkEnd w:id="718"/>
      <w:bookmarkEnd w:id="720"/>
      <w:bookmarkEnd w:id="721"/>
      <w:bookmarkEnd w:id="722"/>
      <w:bookmarkEnd w:id="723"/>
      <w:bookmarkEnd w:id="724"/>
    </w:p>
    <w:p>
      <w:pPr>
        <w:pStyle w:val="10000-DefaultParagraph"/>
        <w:rPr/>
      </w:pPr>
      <w:commentRangeStart w:id="26"/>
      <w:r>
        <w:rPr>
          <w:lang w:val="de-DE"/>
        </w:rPr>
        <w:t xml:space="preserve">Für alle </w:t>
      </w:r>
      <w:r>
        <w:rPr>
          <w:shd w:fill="auto" w:val="clear"/>
          <w:lang w:val="de-DE"/>
        </w:rPr>
        <w:t xml:space="preserve">wichtigen </w:t>
      </w:r>
      <w:r>
        <w:rPr>
          <w:lang w:val="de-DE"/>
        </w:rPr>
        <w:t>Verbindungen MUSS eine Risikoidentifikation, -analyse und -behandlung (siehe</w:t>
      </w:r>
      <w:r>
        <w:rPr>
          <w:spacing w:val="-2"/>
          <w:lang w:val="de-DE"/>
        </w:rPr>
        <w:t xml:space="preserve"> Anhang</w:t>
      </w:r>
      <w:r>
        <w:rPr>
          <w:lang w:val="de-DE"/>
        </w:rPr>
        <w:t xml:space="preserve"> </w:t>
      </w:r>
      <w:r>
        <w:rPr>
          <w:lang w:val="de-DE"/>
        </w:rPr>
        <w:fldChar w:fldCharType="begin"/>
      </w:r>
      <w:r>
        <w:rPr>
          <w:lang w:val="de-DE"/>
        </w:rPr>
        <w:instrText xml:space="preserve"> REF _Ref179187843 \n \n \h </w:instrText>
      </w:r>
      <w:r>
        <w:rPr>
          <w:lang w:val="de-DE"/>
        </w:rPr>
        <w:fldChar w:fldCharType="separate"/>
      </w:r>
      <w:r>
        <w:rPr>
          <w:lang w:val="de-DE"/>
        </w:rPr>
        <w:t>A.2</w:t>
      </w:r>
      <w:r>
        <w:rPr>
          <w:lang w:val="de-DE"/>
        </w:rPr>
        <w:fldChar w:fldCharType="end"/>
      </w:r>
      <w:hyperlink r:id="rId5">
        <w:r>
          <w:rPr>
            <w:rStyle w:val="Style"/>
            <w:lang w:val="en-US"/>
          </w:rPr>
          <w:t>) etabliert werden.</w:t>
        </w:r>
        <w:commentRangeEnd w:id="26"/>
        <w:r>
          <w:commentReference w:id="26"/>
        </w:r>
        <w:r>
          <w:rPr>
            <w:rStyle w:val="Style"/>
          </w:rPr>
        </w:r>
      </w:hyperlink>
    </w:p>
    <w:p>
      <w:pPr>
        <w:pStyle w:val="Normal"/>
        <w:rPr>
          <w:strike/>
        </w:rPr>
      </w:pPr>
      <w:r>
        <w:rPr>
          <w:lang w:val="de-DE"/>
        </w:rPr>
        <w:t>Dabei MUSS festgelegt werden, welche Verbindungen, insbesondere welche wichtige Sprach-, Video- und Textkommunikation, durch kryptografische Maßnahmen geschützt werden.</w:t>
      </w:r>
    </w:p>
    <w:p>
      <w:pPr>
        <w:pStyle w:val="Normal"/>
        <w:rPr>
          <w:strike/>
        </w:rPr>
      </w:pPr>
      <w:commentRangeStart w:id="27"/>
      <w:r>
        <w:rPr>
          <w:lang w:val="de-DE"/>
        </w:rPr>
        <w:t>Die dabei eingesetzten kryptografischen Maßnahmen MÜSSEN auf anerkannt sicheren technischen Verfahren basieren, wie sie z. B. in BSI TR-02102-1 aufgeführt sind.</w:t>
      </w:r>
      <w:commentRangeEnd w:id="27"/>
      <w:r>
        <w:commentReference w:id="27"/>
      </w:r>
      <w:r>
        <w:rPr/>
      </w:r>
    </w:p>
    <w:p>
      <w:pPr>
        <w:pStyle w:val="Heading1"/>
        <w:ind w:hanging="0" w:left="0"/>
        <w:rPr>
          <w:shd w:fill="EEEEEE" w:val="clear"/>
        </w:rPr>
      </w:pPr>
      <w:bookmarkStart w:id="725" w:name="__RefHeading___Toc32056_2021121348"/>
      <w:bookmarkStart w:id="726" w:name="_Toc187327117"/>
      <w:bookmarkStart w:id="727" w:name="_Ref178761888"/>
      <w:bookmarkStart w:id="728" w:name="_Toc178588093"/>
      <w:bookmarkStart w:id="729" w:name="_Toc531165088"/>
      <w:bookmarkStart w:id="730" w:name="_Toc178761386"/>
      <w:bookmarkStart w:id="731" w:name="mobile_datentraeger"/>
      <w:bookmarkStart w:id="732" w:name="rl%2525252525252525252525252525252525221"/>
      <w:bookmarkStart w:id="733" w:name="_Toc530662953"/>
      <w:bookmarkEnd w:id="725"/>
      <w:bookmarkEnd w:id="732"/>
      <w:r>
        <w:rPr>
          <w:shd w:fill="EEEEEE" w:val="clear"/>
          <w:lang w:val="de-DE"/>
        </w:rPr>
        <w:t>Mobile Datenträger</w:t>
      </w:r>
      <w:bookmarkEnd w:id="726"/>
      <w:bookmarkEnd w:id="727"/>
      <w:bookmarkEnd w:id="728"/>
      <w:bookmarkEnd w:id="729"/>
      <w:bookmarkEnd w:id="730"/>
      <w:bookmarkEnd w:id="731"/>
      <w:bookmarkEnd w:id="733"/>
    </w:p>
    <w:p>
      <w:pPr>
        <w:pStyle w:val="Heading2"/>
        <w:ind w:hanging="0" w:left="0"/>
        <w:rPr>
          <w:shd w:fill="EEEEEE" w:val="clear"/>
        </w:rPr>
      </w:pPr>
      <w:bookmarkStart w:id="734" w:name="__RefHeading___Toc32058_2021121348"/>
      <w:bookmarkStart w:id="735" w:name="_Toc187327118"/>
      <w:bookmarkEnd w:id="734"/>
      <w:r>
        <w:rPr>
          <w:shd w:fill="EEEEEE" w:val="clear"/>
          <w:lang w:val="de-DE"/>
        </w:rPr>
        <w:t>Grundlagen</w:t>
      </w:r>
      <w:bookmarkEnd w:id="735"/>
    </w:p>
    <w:p>
      <w:pPr>
        <w:pStyle w:val="10000-DefaultParagraph"/>
        <w:rPr>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shd w:fill="EEEEEE" w:val="clear"/>
        </w:rPr>
      </w:pPr>
      <w:bookmarkStart w:id="736" w:name="__RefHeading___Toc32060_2021121348"/>
      <w:bookmarkStart w:id="737" w:name="_Toc187327119"/>
      <w:bookmarkStart w:id="738" w:name="is-richtlinie1"/>
      <w:bookmarkStart w:id="739" w:name="_Toc531165089"/>
      <w:bookmarkStart w:id="740" w:name="_Toc178588094"/>
      <w:bookmarkStart w:id="741" w:name="rl%2525252525252525252525252525252525222"/>
      <w:bookmarkStart w:id="742" w:name="_Toc530662954"/>
      <w:bookmarkStart w:id="743" w:name="_Toc178761387"/>
      <w:bookmarkEnd w:id="736"/>
      <w:bookmarkEnd w:id="741"/>
      <w:r>
        <w:rPr>
          <w:shd w:fill="EEEEEE" w:val="clear"/>
          <w:lang w:val="de-DE"/>
        </w:rPr>
        <w:t>IS-Richtlinie</w:t>
      </w:r>
      <w:bookmarkEnd w:id="737"/>
      <w:bookmarkEnd w:id="738"/>
      <w:bookmarkEnd w:id="739"/>
      <w:bookmarkEnd w:id="740"/>
      <w:bookmarkEnd w:id="742"/>
      <w:bookmarkEnd w:id="743"/>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_Ref179187911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Datenträgern die folgenden Maßnahmen umgesetzt werden:</w:t>
      </w:r>
    </w:p>
    <w:p>
      <w:pPr>
        <w:pStyle w:val="Liste1"/>
        <w:numPr>
          <w:ilvl w:val="0"/>
          <w:numId w:val="400"/>
        </w:numPr>
        <w:spacing w:lineRule="auto" w:line="250"/>
        <w:rPr>
          <w:shd w:fill="EEEEEE" w:val="clear"/>
        </w:rPr>
      </w:pPr>
      <w:r>
        <w:rPr>
          <w:shd w:fill="EEEEEE" w:val="clear"/>
        </w:rPr>
        <w:t>Es wird festgelegt, welche Informationen der Organisation auf mobilen Datenträgern gespeichert werden dürfen.</w:t>
      </w:r>
    </w:p>
    <w:p>
      <w:pPr>
        <w:pStyle w:val="Liste1"/>
        <w:numPr>
          <w:ilvl w:val="0"/>
          <w:numId w:val="401"/>
        </w:numPr>
        <w:spacing w:lineRule="auto" w:line="250"/>
        <w:rPr>
          <w:shd w:fill="EEEEEE" w:val="clear"/>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402"/>
        </w:numPr>
        <w:spacing w:lineRule="auto" w:line="250"/>
        <w:rPr>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rPr>
      </w:pPr>
      <w:bookmarkStart w:id="744" w:name="__RefHeading___Toc32062_2021121348"/>
      <w:bookmarkStart w:id="745" w:name="_Toc531165090"/>
      <w:bookmarkStart w:id="746" w:name="_Toc530662955"/>
      <w:bookmarkStart w:id="747" w:name="_Toc178588095"/>
      <w:bookmarkStart w:id="748" w:name="_Toc187327120"/>
      <w:bookmarkStart w:id="749" w:name="zusaetzliche_massnahmen_fuer_kritische_m"/>
      <w:bookmarkStart w:id="750" w:name="rl%2525252525252525252525252525252525223"/>
      <w:bookmarkStart w:id="751" w:name="_Toc178761388"/>
      <w:bookmarkEnd w:id="744"/>
      <w:bookmarkEnd w:id="749"/>
      <w:bookmarkEnd w:id="750"/>
      <w:r>
        <w:rPr>
          <w:lang w:val="de-DE"/>
        </w:rPr>
        <w:t>Schutz der Informationen</w:t>
      </w:r>
      <w:bookmarkEnd w:id="745"/>
      <w:bookmarkEnd w:id="746"/>
      <w:bookmarkEnd w:id="747"/>
      <w:bookmarkEnd w:id="748"/>
      <w:bookmarkEnd w:id="751"/>
    </w:p>
    <w:p>
      <w:pPr>
        <w:pStyle w:val="10000-Empfehlung"/>
        <w:rPr/>
      </w:pPr>
      <w:r>
        <w:rPr>
          <w:rStyle w:val="Emphasis"/>
          <w:i w:val="false"/>
          <w:iCs w:val="false"/>
          <w:shd w:fill="auto" w:val="clear"/>
          <w:lang w:val="de-DE"/>
        </w:rPr>
        <w:t>Es MUSS mit Hilfe einer Risikoanalyse und -behandlung (siehe Anhang A 2) festgelegt werden, welche Informationen auf mobilen Datenträgern durch kryptografische Maßnahmen vor dem Verlust ihrer Vertraulichkeit und Integrität geschützt werden.</w:t>
      </w:r>
    </w:p>
    <w:p>
      <w:pPr>
        <w:pStyle w:val="Normal"/>
        <w:rPr/>
      </w:pPr>
      <w:commentRangeStart w:id="28"/>
      <w:r>
        <w:rPr>
          <w:rStyle w:val="Emphasis"/>
          <w:i w:val="false"/>
          <w:iCs w:val="false"/>
          <w:lang w:val="de-DE"/>
        </w:rPr>
        <w:t>Die dabei eingesetzten kryptografischen Maßnahmen MÜSSEN auf anerkannt sicheren technischen Verfahren basieren, wie sie z. B. in BSI TR-02102-1 aufgeführt sind.</w:t>
      </w:r>
      <w:commentRangeEnd w:id="28"/>
      <w:r>
        <w:commentReference w:id="28"/>
      </w:r>
      <w:r>
        <w:rPr/>
      </w:r>
    </w:p>
    <w:p>
      <w:pPr>
        <w:pStyle w:val="Heading2"/>
        <w:ind w:hanging="0" w:left="0"/>
        <w:rPr>
          <w:lang w:val="de-DE"/>
        </w:rPr>
      </w:pPr>
      <w:bookmarkStart w:id="752" w:name="__RefHeading___Toc32064_2021121348"/>
      <w:bookmarkStart w:id="753" w:name="_Toc531165091"/>
      <w:bookmarkStart w:id="754" w:name="_Toc530662956"/>
      <w:bookmarkStart w:id="755" w:name="_Toc187327121"/>
      <w:bookmarkStart w:id="756" w:name="_Toc178761389"/>
      <w:bookmarkStart w:id="757" w:name="_Toc178588096"/>
      <w:bookmarkStart w:id="758" w:name="zusaetzliche_massnahmen_fuer_kritische_1"/>
      <w:bookmarkEnd w:id="752"/>
      <w:bookmarkEnd w:id="758"/>
      <w:r>
        <w:rPr>
          <w:lang w:val="de-DE"/>
        </w:rPr>
        <w:t>Zusätzliche Maßnahmen für wichtige mobile Datenträger</w:t>
      </w:r>
      <w:bookmarkEnd w:id="753"/>
      <w:bookmarkEnd w:id="754"/>
      <w:bookmarkEnd w:id="755"/>
      <w:bookmarkEnd w:id="756"/>
      <w:bookmarkEnd w:id="757"/>
    </w:p>
    <w:p>
      <w:pPr>
        <w:pStyle w:val="10000-DefaultParagraph"/>
        <w:rPr>
          <w:lang w:val="de-DE"/>
        </w:rPr>
      </w:pPr>
      <w:r>
        <w:rPr>
          <w:lang w:val="de-DE"/>
        </w:rPr>
        <w:t xml:space="preserve">Für alle </w:t>
      </w:r>
      <w:r>
        <w:rPr>
          <w:shd w:fill="auto" w:val="clear"/>
          <w:lang w:val="de-DE"/>
        </w:rPr>
        <w:t xml:space="preserve">wichtigen </w:t>
      </w:r>
      <w:r>
        <w:rPr>
          <w:lang w:val="de-DE"/>
        </w:rPr>
        <w:t>mobilen Datenträger MUSS eine Risikoidentifikation, -analyse und -behandlung (siehe</w:t>
      </w:r>
      <w:r>
        <w:rPr>
          <w:lang w:val="de-DE"/>
        </w:rPr>
        <w:fldChar w:fldCharType="begin"/>
      </w:r>
      <w:r>
        <w:rPr>
          <w:lang w:val="de-DE"/>
        </w:rPr>
        <w:instrText xml:space="preserve"> REF _Ref179187943 \n \n \h </w:instrText>
      </w:r>
      <w:r>
        <w:rPr>
          <w:lang w:val="de-DE"/>
        </w:rPr>
        <w:fldChar w:fldCharType="separate"/>
      </w:r>
      <w:r>
        <w:rPr>
          <w:lang w:val="de-DE"/>
        </w:rPr>
        <w:t>A.2</w:t>
      </w:r>
      <w:r>
        <w:rPr>
          <w:lang w:val="de-DE"/>
        </w:rPr>
        <w:fldChar w:fldCharType="end"/>
      </w:r>
      <w:r>
        <w:rPr>
          <w:lang w:val="de-DE"/>
        </w:rPr>
        <w:t>) etabliert werden.</w:t>
      </w:r>
    </w:p>
    <w:p>
      <w:pPr>
        <w:pStyle w:val="Heading1"/>
        <w:ind w:hanging="0" w:left="0"/>
        <w:rPr>
          <w:shd w:fill="EEEEEE" w:val="clear"/>
        </w:rPr>
      </w:pPr>
      <w:bookmarkStart w:id="759" w:name="__RefHeading___Toc32066_2021121348"/>
      <w:bookmarkStart w:id="760" w:name="_Toc178588097"/>
      <w:bookmarkStart w:id="761" w:name="umgebung"/>
      <w:bookmarkStart w:id="762" w:name="_Toc530662957"/>
      <w:bookmarkStart w:id="763" w:name="_Toc187327122"/>
      <w:bookmarkStart w:id="764" w:name="rl%2525252525252525252525252525252525224"/>
      <w:bookmarkStart w:id="765" w:name="_Toc531165092"/>
      <w:bookmarkStart w:id="766" w:name="_Toc178761390"/>
      <w:bookmarkEnd w:id="759"/>
      <w:bookmarkEnd w:id="764"/>
      <w:r>
        <w:rPr>
          <w:shd w:fill="EEEEEE" w:val="clear"/>
          <w:lang w:val="de-DE"/>
        </w:rPr>
        <w:t>Umgebung</w:t>
      </w:r>
      <w:bookmarkEnd w:id="760"/>
      <w:bookmarkEnd w:id="761"/>
      <w:bookmarkEnd w:id="762"/>
      <w:bookmarkEnd w:id="763"/>
      <w:bookmarkEnd w:id="765"/>
      <w:bookmarkEnd w:id="766"/>
    </w:p>
    <w:p>
      <w:pPr>
        <w:pStyle w:val="Heading2"/>
        <w:ind w:hanging="0" w:left="0"/>
        <w:rPr>
          <w:shd w:fill="EEEEEE" w:val="clear"/>
        </w:rPr>
      </w:pPr>
      <w:bookmarkStart w:id="767" w:name="__RefHeading___Toc32068_2021121348"/>
      <w:bookmarkStart w:id="768" w:name="_Toc187327123"/>
      <w:bookmarkEnd w:id="767"/>
      <w:r>
        <w:rPr>
          <w:shd w:fill="EEEEEE" w:val="clear"/>
          <w:lang w:val="de-DE"/>
        </w:rPr>
        <w:t>Grundlagen</w:t>
      </w:r>
      <w:bookmarkEnd w:id="768"/>
    </w:p>
    <w:p>
      <w:pPr>
        <w:pStyle w:val="Normal"/>
        <w:rPr>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shd w:fill="EEEEEE" w:val="clear"/>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rPr>
      </w:pPr>
      <w:bookmarkStart w:id="769" w:name="__RefHeading___Toc32070_2021121348"/>
      <w:bookmarkStart w:id="770" w:name="rl%2525252525252525252525252525252525225"/>
      <w:bookmarkStart w:id="771" w:name="_Toc531165093"/>
      <w:bookmarkStart w:id="772" w:name="_Toc178588098"/>
      <w:bookmarkStart w:id="773" w:name="_Toc530662958"/>
      <w:bookmarkStart w:id="774" w:name="server_aktive_netzwerkkomponenten_und_ne"/>
      <w:bookmarkStart w:id="775" w:name="_Toc187327124"/>
      <w:bookmarkStart w:id="776" w:name="_Toc178761391"/>
      <w:bookmarkEnd w:id="769"/>
      <w:bookmarkEnd w:id="770"/>
      <w:r>
        <w:rPr>
          <w:shd w:fill="EEEEEE" w:val="clear"/>
          <w:lang w:val="de-DE"/>
        </w:rPr>
        <w:t>Server, aktive Netzwerkkomponenten und Netzwerkverteilstellen</w:t>
      </w:r>
      <w:bookmarkEnd w:id="771"/>
      <w:bookmarkEnd w:id="772"/>
      <w:bookmarkEnd w:id="773"/>
      <w:bookmarkEnd w:id="774"/>
      <w:bookmarkEnd w:id="775"/>
      <w:bookmarkEnd w:id="776"/>
    </w:p>
    <w:p>
      <w:pPr>
        <w:pStyle w:val="Normal"/>
        <w:rPr>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403"/>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404"/>
        </w:numPr>
        <w:spacing w:lineRule="auto" w:line="250"/>
        <w:rPr/>
      </w:pPr>
      <w:r>
        <w:rPr>
          <w:rStyle w:val="Emphasis"/>
          <w:shd w:fill="EEEEEE" w:val="clear"/>
        </w:rPr>
        <w:t>negative Umwelteinflüsse (wie z. B. Feuer, Wasser, Blitzschlag)</w:t>
      </w:r>
    </w:p>
    <w:p>
      <w:pPr>
        <w:pStyle w:val="Liste1"/>
        <w:numPr>
          <w:ilvl w:val="0"/>
          <w:numId w:val="405"/>
        </w:numPr>
        <w:spacing w:lineRule="auto" w:line="250"/>
        <w:rPr/>
      </w:pPr>
      <w:r>
        <w:rPr>
          <w:rStyle w:val="Emphasis"/>
          <w:shd w:fill="EEEEEE" w:val="clear"/>
        </w:rPr>
        <w:t>unzuverlässige Stromversorgung (wie z. B. Unter- oder Überspannung, Spannungs</w:t>
        <w:softHyphen/>
        <w:t>spitzen, Unterbrechung)</w:t>
      </w:r>
    </w:p>
    <w:p>
      <w:pPr>
        <w:pStyle w:val="Liste1"/>
        <w:spacing w:lineRule="auto" w:line="250"/>
        <w:ind w:hanging="0" w:left="360"/>
        <w:rPr/>
      </w:pPr>
      <w:r>
        <w:rPr>
          <w:rStyle w:val="Emphasis"/>
          <w:shd w:fill="EEEEEE" w:val="clear"/>
        </w:rPr>
        <w:t>Fest installierte Niederspannungsanlagen SOLLTEN gemäß gängiger Normen und Standards wie z. B. der DIN VDE 0100-Reihe errichtet sein.</w:t>
      </w:r>
    </w:p>
    <w:p>
      <w:pPr>
        <w:pStyle w:val="Liste1"/>
        <w:numPr>
          <w:ilvl w:val="0"/>
          <w:numId w:val="406"/>
        </w:numPr>
        <w:spacing w:lineRule="auto" w:line="250"/>
        <w:rPr/>
      </w:pPr>
      <w:r>
        <w:rPr>
          <w:rStyle w:val="Emphasis"/>
          <w:shd w:fill="EEEEEE" w:val="clear"/>
          <w:lang w:val="de-DE"/>
        </w:rPr>
        <w:t>Beschädigung und Verlust (z. B. durch Löschmittel, Vandalismus, Diebstahl)</w:t>
      </w:r>
    </w:p>
    <w:p>
      <w:pPr>
        <w:pStyle w:val="Heading2"/>
        <w:ind w:hanging="0" w:left="0"/>
        <w:rPr>
          <w:shd w:fill="EEEEEE" w:val="clear"/>
        </w:rPr>
      </w:pPr>
      <w:bookmarkStart w:id="777" w:name="__RefHeading___Toc32072_2021121348"/>
      <w:bookmarkStart w:id="778" w:name="_Toc187327125"/>
      <w:bookmarkStart w:id="779" w:name="_Toc530662959"/>
      <w:bookmarkStart w:id="780" w:name="_Toc178588099"/>
      <w:bookmarkStart w:id="781" w:name="rl%2525252525252525252525252525252525226"/>
      <w:bookmarkStart w:id="782" w:name="datenleitungen"/>
      <w:bookmarkStart w:id="783" w:name="_Toc178761392"/>
      <w:bookmarkStart w:id="784" w:name="_Toc531165094"/>
      <w:bookmarkEnd w:id="777"/>
      <w:bookmarkEnd w:id="781"/>
      <w:r>
        <w:rPr>
          <w:shd w:fill="EEEEEE" w:val="clear"/>
          <w:lang w:val="de-DE"/>
        </w:rPr>
        <w:t>Datenleitungen</w:t>
      </w:r>
      <w:bookmarkEnd w:id="778"/>
      <w:bookmarkEnd w:id="779"/>
      <w:bookmarkEnd w:id="780"/>
      <w:bookmarkEnd w:id="782"/>
      <w:bookmarkEnd w:id="783"/>
      <w:bookmarkEnd w:id="784"/>
    </w:p>
    <w:p>
      <w:pPr>
        <w:pStyle w:val="Normal"/>
        <w:rPr/>
      </w:pPr>
      <w:r>
        <w:rPr>
          <w:rStyle w:val="Emphasis"/>
          <w:shd w:fill="EEEEEE" w:val="clear"/>
        </w:rPr>
        <w:t>Sämtliche Datenleitungen SOLLTEN gemäß einschlägiger Normen und Standards, z. B. DIN EN 50173/4-Reihe installiert werden.</w:t>
      </w:r>
    </w:p>
    <w:p>
      <w:pPr>
        <w:pStyle w:val="Normal"/>
        <w:rPr>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785" w:name="__RefHeading___Toc32074_2021121348"/>
      <w:bookmarkStart w:id="786" w:name="_Toc187327126"/>
      <w:bookmarkStart w:id="787" w:name="_Toc178588100"/>
      <w:bookmarkStart w:id="788" w:name="_Toc531165095"/>
      <w:bookmarkStart w:id="789" w:name="_Toc530662960"/>
      <w:bookmarkStart w:id="790" w:name="_Toc178761393"/>
      <w:bookmarkStart w:id="791" w:name="rl%2525252525252525252525252525252525227"/>
      <w:bookmarkEnd w:id="785"/>
      <w:bookmarkEnd w:id="791"/>
      <w:r>
        <w:rPr>
          <w:lang w:val="de-DE"/>
        </w:rPr>
        <w:t>Zusätzliche Maßnahmen für wichtige IT-Systeme</w:t>
      </w:r>
      <w:bookmarkEnd w:id="786"/>
      <w:bookmarkEnd w:id="787"/>
      <w:bookmarkEnd w:id="788"/>
      <w:bookmarkEnd w:id="789"/>
      <w:bookmarkEnd w:id="790"/>
    </w:p>
    <w:p>
      <w:pPr>
        <w:pStyle w:val="10000-DefaultParagraph"/>
        <w:rPr>
          <w:lang w:val="de-DE"/>
        </w:rPr>
      </w:pPr>
      <w:r>
        <w:rPr>
          <w:lang w:val="de-DE"/>
        </w:rPr>
        <w:t xml:space="preserve">Im Zuge der Risikoidentifikation, -analyse und -behandlung (siehe Abschnitt &lt;FIXME&gt;) MÜSSEN für alle </w:t>
      </w:r>
      <w:r>
        <w:rPr>
          <w:shd w:fill="auto" w:val="clear"/>
          <w:lang w:val="de-DE"/>
        </w:rPr>
        <w:t xml:space="preserve">wichtigen </w:t>
      </w:r>
      <w:r>
        <w:rPr>
          <w:lang w:val="de-DE"/>
        </w:rPr>
        <w:t>IT-Systeme folgende Bedrohungen berücksichtigt werden:</w:t>
      </w:r>
    </w:p>
    <w:p>
      <w:pPr>
        <w:pStyle w:val="10000-DefaultParagraph"/>
        <w:numPr>
          <w:ilvl w:val="0"/>
          <w:numId w:val="407"/>
        </w:numPr>
        <w:rPr>
          <w:lang w:val="de-DE"/>
        </w:rPr>
      </w:pPr>
      <w:r>
        <w:rPr>
          <w:lang w:val="de-DE"/>
        </w:rPr>
        <w:t>ungeeignete Umgebungsbedingungen (wie z. B. ungeeignete Temperatur oder Luftfeuchtigkeit, Staub oder Rauch)</w:t>
      </w:r>
    </w:p>
    <w:p>
      <w:pPr>
        <w:pStyle w:val="10000-DefaultParagraph"/>
        <w:numPr>
          <w:ilvl w:val="0"/>
          <w:numId w:val="408"/>
        </w:numPr>
        <w:rPr>
          <w:lang w:val="de-DE"/>
        </w:rPr>
      </w:pPr>
      <w:r>
        <w:rPr>
          <w:lang w:val="de-DE"/>
        </w:rPr>
        <w:t>negative Umwelteinflüsse (wie z. B. Feuer, Wasser, Blitzschlag)</w:t>
      </w:r>
    </w:p>
    <w:p>
      <w:pPr>
        <w:pStyle w:val="10000-DefaultParagraph"/>
        <w:numPr>
          <w:ilvl w:val="0"/>
          <w:numId w:val="409"/>
        </w:numPr>
        <w:rPr>
          <w:lang w:val="de-DE"/>
        </w:rPr>
      </w:pPr>
      <w:r>
        <w:rPr>
          <w:lang w:val="de-DE"/>
        </w:rPr>
        <w:t>unzuverlässige Stromversorgung (wie z. B. Unter- oder Überspannung, Spannungsspitzen, Unterbrechung)</w:t>
      </w:r>
    </w:p>
    <w:p>
      <w:pPr>
        <w:pStyle w:val="10000-DefaultParagraph"/>
        <w:numPr>
          <w:ilvl w:val="0"/>
          <w:numId w:val="410"/>
        </w:numPr>
        <w:rPr>
          <w:lang w:val="de-DE"/>
        </w:rPr>
      </w:pPr>
      <w:r>
        <w:rPr>
          <w:lang w:val="de-DE"/>
        </w:rPr>
        <w:t>Beschädigung und Verlust (wie z. B. Löschmittel, Vandalismus, Diebstahl)</w:t>
      </w:r>
    </w:p>
    <w:p>
      <w:pPr>
        <w:pStyle w:val="10000-DefaultParagraph"/>
        <w:numPr>
          <w:ilvl w:val="0"/>
          <w:numId w:val="411"/>
        </w:numPr>
        <w:rPr>
          <w:lang w:val="de-DE"/>
        </w:rPr>
      </w:pPr>
      <w:r>
        <w:rPr>
          <w:lang w:val="de-DE"/>
        </w:rPr>
        <w:t>unautorisierter Zutritt</w:t>
      </w:r>
    </w:p>
    <w:p>
      <w:pPr>
        <w:pStyle w:val="10000-DefaultParagraph"/>
        <w:numPr>
          <w:ilvl w:val="0"/>
          <w:numId w:val="412"/>
        </w:numPr>
        <w:rPr>
          <w:lang w:val="de-DE"/>
        </w:rPr>
      </w:pPr>
      <w:r>
        <w:rPr>
          <w:lang w:val="de-DE"/>
        </w:rPr>
        <w:t>Ausspähen vertraulicher Informationen</w:t>
      </w:r>
    </w:p>
    <w:p>
      <w:pPr>
        <w:pStyle w:val="Normal"/>
        <w:numPr>
          <w:ilvl w:val="0"/>
          <w:numId w:val="413"/>
        </w:numPr>
        <w:rPr>
          <w:lang w:val="de-DE"/>
        </w:rPr>
      </w:pPr>
      <w:r>
        <w:rPr>
          <w:lang w:val="de-DE"/>
        </w:rPr>
        <w:t>Sabotage</w:t>
      </w:r>
    </w:p>
    <w:p>
      <w:pPr>
        <w:pStyle w:val="10000-Empfehlung"/>
        <w:rPr>
          <w:i/>
          <w:i/>
        </w:rPr>
      </w:pPr>
      <w:r>
        <w:rPr>
          <w:lang w:val="de-DE"/>
        </w:rPr>
        <w:t xml:space="preserve">Insbesondere SOLLTE geprüft werden, </w:t>
      </w:r>
      <w:r>
        <w:rPr>
          <w:shd w:fill="auto" w:val="clear"/>
          <w:lang w:val="de-DE"/>
        </w:rPr>
        <w:t xml:space="preserve">wichtige </w:t>
      </w:r>
      <w:r>
        <w:rPr>
          <w:lang w:val="de-DE"/>
        </w:rPr>
        <w:t>IT-Systeme in zusätzlich abgesicherten Gebäuden oder Gebäudeteilen unterzubringen (Sicherheitszonen).</w:t>
      </w:r>
    </w:p>
    <w:p>
      <w:pPr>
        <w:pStyle w:val="Heading1"/>
        <w:ind w:hanging="0" w:left="0"/>
        <w:rPr>
          <w:strike w:val="false"/>
          <w:dstrike w:val="false"/>
          <w:shd w:fill="auto" w:val="clear"/>
          <w:lang w:val="de-DE"/>
        </w:rPr>
      </w:pPr>
      <w:bookmarkStart w:id="792" w:name="__RefHeading___Toc18489_3449274495"/>
      <w:bookmarkEnd w:id="792"/>
      <w:commentRangeStart w:id="29"/>
      <w:r>
        <w:rPr>
          <w:strike w:val="false"/>
          <w:dstrike w:val="false"/>
          <w:shd w:fill="auto" w:val="clear"/>
          <w:lang w:val="de-DE"/>
        </w:rPr>
        <w:t>Lieferkette</w:t>
      </w:r>
      <w:commentRangeEnd w:id="29"/>
      <w:r>
        <w:commentReference w:id="29"/>
      </w:r>
      <w:r>
        <w:rPr/>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3" name="0 Copy 1 Copy 1 Copy 1 Copy 1 Copy 1 Copy 2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Copy 1 Copy 1 Copy 1 Copy 1 Copy 1 Copy 2 Copy 1" descr=""/>
                          <pic:cNvPicPr>
                            <a:picLocks noChangeAspect="1" noChangeArrowheads="1"/>
                          </pic:cNvPicPr>
                        </pic:nvPicPr>
                        <pic:blipFill>
                          <a:blip r:embed="rId6"/>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4</w:t>
            </w:r>
            <w:r>
              <w:rPr/>
              <w:t>. (...) Sicherheit der Lieferkette einschließlich sicherheitsbezogener Aspekte der Beziehungen zu unmittelbaren Anbietern oder Diensteanbietern,</w:t>
            </w:r>
          </w:p>
        </w:tc>
      </w:tr>
    </w:tbl>
    <w:p>
      <w:pPr>
        <w:pStyle w:val="Normal"/>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4" name="0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 Copy 1 Copy 1 Copy 1 Copy 1" descr=""/>
                          <pic:cNvPicPr>
                            <a:picLocks noChangeAspect="1" noChangeArrowheads="1"/>
                          </pic:cNvPicPr>
                        </pic:nvPicPr>
                        <pic:blipFill>
                          <a:blip r:embed="rId7"/>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Tabelleninhalt"/>
              <w:numPr>
                <w:ilvl w:val="0"/>
                <w:numId w:val="2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Aus der Begründung zu § 30 BSIG:</w:t>
              <w:br/>
              <w:t>„Die hier genannten Vorgaben insbesondere im Bereich der Sicherheit der Lieferkette können auch die Durchführung von External Attack Surface (EAS) Scans beinhalten.“ (Seite 160)</w:t>
            </w:r>
          </w:p>
          <w:p>
            <w:pPr>
              <w:pStyle w:val="Tabelleninhalt"/>
              <w:bidi w:val="0"/>
              <w:jc w:val="left"/>
              <w:rPr>
                <w:rFonts w:ascii="Arial" w:hAnsi="Arial"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 xml:space="preserve">Unter Maßnahmen zur Sicherheit der Lieferkette sind beispielsweise </w:t>
            </w:r>
            <w:r>
              <w:rPr>
                <w:rFonts w:eastAsia="Bitstream Vera Sans" w:cs="Bitstream Vera Sans"/>
                <w:color w:val="auto"/>
                <w:kern w:val="0"/>
                <w:sz w:val="20"/>
                <w:szCs w:val="24"/>
                <w:u w:val="single"/>
                <w:lang w:val="de-DE" w:eastAsia="en-US" w:bidi="en-US"/>
              </w:rPr>
              <w:t>vertragliche Vereinbarungen</w:t>
            </w:r>
            <w:r>
              <w:rPr>
                <w:rFonts w:eastAsia="Bitstream Vera Sans" w:cs="Bitstream Vera Sans"/>
                <w:color w:val="auto"/>
                <w:kern w:val="0"/>
                <w:sz w:val="20"/>
                <w:szCs w:val="24"/>
                <w:lang w:val="de-DE" w:eastAsia="en-US" w:bidi="en-US"/>
              </w:rPr>
              <w:t xml:space="preserve"> mit Zulieferern und Dienstleistern zu Risikomanagementmaßnahmen, Bewältigung von Cybersicherheitsvorfällen, Patchmanagement, sowie der Berücksichtigung von Empfehlungen des Bundesamt in Bezug auf deren Produkten und Dienstleistungen zu nennen.</w:t>
            </w:r>
          </w:p>
          <w:p>
            <w:pPr>
              <w:pStyle w:val="Tabelleninhalt"/>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Ebenfalls kann dies beinhalten, Zulieferer und Dienstleister zur Beachtung von grundsätzlichen Prinzipien wie Security by Design oder Security by Default anzuhalten. Hierbei Bei der Erwägung geeigneter Maßnahmen nach Absatz 4 Nummer 4 sind durch die Einrichtung die spezifischen Schwachstellen der einzelnen unmittelbaren Anbieter und Diensteanbieter sowie die Gesamtqualität der Produkte und der Cybersicherheitspraxis ihrer Anbieter und Diensteanbieter, einschließlich der Sicherheit ihrer Entwicklungsprozesse zu berücksichtigen. Einrichtungen müssen bei der Erwägung geeigneter Maßnahmen nach Satz 1 die Ergebnisse der gemäß Artikel 22 Absatz 1 der NIS-2-Richtlinie durchgeführten koordinierten Risikobewertungen kritischer Lieferketten berücksichtigen.“ (Seite 161)</w:t>
            </w:r>
          </w:p>
        </w:tc>
      </w:tr>
    </w:tbl>
    <w:p>
      <w:pPr>
        <w:pStyle w:val="Heading2"/>
        <w:ind w:hanging="0" w:left="0"/>
        <w:rPr>
          <w:shd w:fill="EEEEEE" w:val="clear"/>
        </w:rPr>
      </w:pPr>
      <w:bookmarkStart w:id="793" w:name="__RefHeading___Toc32078_2021121348_Copy_"/>
      <w:bookmarkStart w:id="794" w:name="_Toc187327128_Copy_1"/>
      <w:bookmarkEnd w:id="793"/>
      <w:r>
        <w:rPr>
          <w:shd w:fill="EEEEEE" w:val="clear"/>
          <w:lang w:val="de-DE"/>
        </w:rPr>
        <w:t>Grundlagen</w:t>
      </w:r>
      <w:bookmarkEnd w:id="794"/>
    </w:p>
    <w:p>
      <w:pPr>
        <w:pStyle w:val="10000-DefaultParagraph"/>
        <w:rPr>
          <w:shd w:fill="auto" w:val="clear"/>
        </w:rPr>
      </w:pPr>
      <w:r>
        <w:rPr>
          <w:shd w:fill="auto" w:val="clear"/>
          <w:lang w:val="de-DE"/>
        </w:rPr>
        <w:t>Wenn Güter für die Informationsverarbeitung eingekauft werden, ist es notwendig, die Sicherheitsinteressen der Organisation angemessen zu berücksichtigen. Bei den eingekauften Gütern kann es sich um Leistungen wie das Nutzen von Cloud-Computing-Diensten, Zugänge zum Internet, dem Hosting von IT-Systemen oder dem Outsourcing von IT-Ressourcen oder um Sachgüter wie z. B. IT-Systeme oder Software handeln.</w:t>
      </w:r>
    </w:p>
    <w:p>
      <w:pPr>
        <w:pStyle w:val="Heading2"/>
        <w:ind w:hanging="0" w:left="0"/>
        <w:rPr>
          <w:shd w:fill="EEEEEE" w:val="clear"/>
        </w:rPr>
      </w:pPr>
      <w:bookmarkStart w:id="795" w:name="__RefHeading___Toc32080_2021121348_Copy_"/>
      <w:bookmarkStart w:id="796" w:name="_Toc531165097_Copy_1"/>
      <w:bookmarkStart w:id="797" w:name="_Toc530662962_Copy_1"/>
      <w:bookmarkStart w:id="798" w:name="_Toc187327129_Copy_1"/>
      <w:bookmarkStart w:id="799" w:name="is-richtlinie2_Copy_1"/>
      <w:bookmarkStart w:id="800" w:name="rl%2525252525252525252525252525252525228"/>
      <w:bookmarkStart w:id="801" w:name="_Toc178761395_Copy_1"/>
      <w:bookmarkStart w:id="802" w:name="_Toc178588102_Copy_1"/>
      <w:bookmarkEnd w:id="795"/>
      <w:bookmarkEnd w:id="800"/>
      <w:r>
        <w:rPr>
          <w:shd w:fill="EEEEEE" w:val="clear"/>
          <w:lang w:val="de-DE"/>
        </w:rPr>
        <w:t>IS-Richtlinie</w:t>
      </w:r>
      <w:bookmarkEnd w:id="796"/>
      <w:bookmarkEnd w:id="797"/>
      <w:bookmarkEnd w:id="798"/>
      <w:bookmarkEnd w:id="799"/>
      <w:bookmarkEnd w:id="801"/>
      <w:bookmarkEnd w:id="802"/>
    </w:p>
    <w:p>
      <w:pPr>
        <w:pStyle w:val="10000-DefaultParagraph"/>
        <w:rPr>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inhalte1 \n \n \h </w:instrText>
      </w:r>
      <w:r>
        <w:rPr>
          <w:shd w:fill="auto" w:val="clear"/>
          <w:lang w:val="de-DE"/>
        </w:rPr>
        <w:fldChar w:fldCharType="separate"/>
      </w:r>
      <w:r>
        <w:rPr>
          <w:shd w:fill="auto" w:val="clear"/>
          <w:lang w:val="de-DE"/>
        </w:rPr>
        <w:t>6.3</w:t>
      </w:r>
      <w:r>
        <w:rPr>
          <w:shd w:fill="auto" w:val="clear"/>
          <w:lang w:val="de-DE"/>
        </w:rPr>
        <w:fldChar w:fldCharType="end"/>
      </w:r>
      <w:r>
        <w:rPr>
          <w:shd w:fill="auto" w:val="clear"/>
          <w:lang w:val="de-DE"/>
        </w:rPr>
        <w:t xml:space="preserve"> MÜSSEN in einer IT-Richtlinie die Rahmenbedingungen für den Einkauf von Gütern für die Informationsverarbeitung festgelegt werden.</w:t>
      </w:r>
    </w:p>
    <w:p>
      <w:pPr>
        <w:pStyle w:val="Heading2"/>
        <w:ind w:hanging="0" w:left="0"/>
        <w:rPr/>
      </w:pPr>
      <w:bookmarkStart w:id="803" w:name="__RefHeading___Toc29773_3572532615"/>
      <w:bookmarkEnd w:id="803"/>
      <w:r>
        <w:rPr/>
        <w:t>Vertragsgestaltung</w:t>
      </w:r>
    </w:p>
    <w:p>
      <w:pPr>
        <w:pStyle w:val="Normal"/>
        <w:tabs>
          <w:tab w:val="clear" w:pos="720"/>
          <w:tab w:val="left" w:pos="0" w:leader="none"/>
        </w:tabs>
        <w:bidi w:val="0"/>
        <w:ind w:hanging="0" w:left="0"/>
        <w:jc w:val="left"/>
        <w:rPr>
          <w:lang w:val="de-DE"/>
        </w:rPr>
      </w:pPr>
      <w:r>
        <w:rPr>
          <w:lang w:val="de-DE"/>
        </w:rPr>
        <w:t>Mit jedem Lieferanten muss ein Vertrag geschlossen sein, der die eingekauften Güter spezifiziert und den Lieferanten zur Erfüllung der vereinbarten Leistungen verpflichtet.</w:t>
      </w:r>
    </w:p>
    <w:p>
      <w:pPr>
        <w:pStyle w:val="Normal"/>
        <w:tabs>
          <w:tab w:val="clear" w:pos="720"/>
          <w:tab w:val="left" w:pos="0" w:leader="none"/>
        </w:tabs>
        <w:bidi w:val="0"/>
        <w:ind w:hanging="0" w:left="0"/>
        <w:jc w:val="left"/>
        <w:rPr>
          <w:i/>
          <w:i/>
          <w:iCs/>
          <w:lang w:val="de-DE"/>
        </w:rPr>
      </w:pPr>
      <w:r>
        <w:rPr>
          <w:i/>
          <w:iCs/>
          <w:lang w:val="de-DE"/>
        </w:rPr>
        <w:t>In jedem Vertrag SOLLTEN zusätzlich die folgenden Punkte vereinbart sein:</w:t>
      </w:r>
    </w:p>
    <w:p>
      <w:pPr>
        <w:pStyle w:val="Liste1"/>
        <w:widowControl/>
        <w:numPr>
          <w:ilvl w:val="0"/>
          <w:numId w:val="39"/>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Betriebliche, gesetzliche und vertragliche Anforderungen an die Informationssicherheit des Lieferanten</w:t>
      </w:r>
    </w:p>
    <w:p>
      <w:pPr>
        <w:pStyle w:val="Liste1"/>
        <w:widowControl/>
        <w:numPr>
          <w:ilvl w:val="0"/>
          <w:numId w:val="39"/>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Mitwirkungspflichten des Lieferanten bei Vertragsauflösung, sowie bei Geschäftsaufgabe oder Insolvenz des Lieferanten, insbesondere die vollständige Herausgabe der IT-Ressourcen der Organisation sowie die aktive Unterstützung des Migrations</w:t>
        <w:softHyphen/>
        <w:t>prozesses durch den Lieferanten.</w:t>
      </w:r>
    </w:p>
    <w:p>
      <w:pPr>
        <w:pStyle w:val="Liste1"/>
        <w:widowControl/>
        <w:numPr>
          <w:ilvl w:val="0"/>
          <w:numId w:val="39"/>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Reaktions- und Servicezeiten</w:t>
      </w:r>
    </w:p>
    <w:p>
      <w:pPr>
        <w:pStyle w:val="Liste1"/>
        <w:widowControl/>
        <w:numPr>
          <w:ilvl w:val="0"/>
          <w:numId w:val="39"/>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Dokumentationspflichten</w:t>
      </w:r>
    </w:p>
    <w:p>
      <w:pPr>
        <w:pStyle w:val="Liste1"/>
        <w:widowControl/>
        <w:numPr>
          <w:ilvl w:val="0"/>
          <w:numId w:val="39"/>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Verpflichtung zur Einhaltung grundlegender Maßnahmen für die Informationssicherheit (z. B. gemäß VdS 10000 oder VdS 10005)</w:t>
      </w:r>
    </w:p>
    <w:p>
      <w:pPr>
        <w:pStyle w:val="Normal"/>
        <w:spacing w:before="0" w:after="240"/>
        <w:rPr/>
      </w:pPr>
      <w:r>
        <w:rPr>
          <w:rStyle w:val="Emphasis"/>
          <w:shd w:fill="auto" w:val="clear"/>
        </w:rPr>
        <w:t>Darüber hinaus SOLLTE sichergestellt sein, dass Ansprüche aus Vertragsverletzungen durchgesetzt werden können, auch wenn sich der Anbieter nicht in demselben Rechtsraum wie die Organisation befindet.</w:t>
      </w:r>
    </w:p>
    <w:p>
      <w:pPr>
        <w:pStyle w:val="Heading2"/>
        <w:ind w:hanging="0" w:left="0"/>
        <w:rPr>
          <w:lang w:val="de-DE"/>
        </w:rPr>
      </w:pPr>
      <w:bookmarkStart w:id="804" w:name="__RefHeading___Toc32082_2021121348_Copy_"/>
      <w:bookmarkEnd w:id="804"/>
      <w:r>
        <w:rPr>
          <w:lang w:val="de-DE"/>
        </w:rPr>
        <w:t>Zusätzliche Maßnahmen für wichtige Güter</w:t>
      </w:r>
    </w:p>
    <w:p>
      <w:pPr>
        <w:pStyle w:val="Normal"/>
        <w:ind w:hanging="0" w:left="0"/>
        <w:rPr>
          <w:lang w:val="de-DE"/>
        </w:rPr>
      </w:pPr>
      <w:commentRangeStart w:id="30"/>
      <w:r>
        <w:rPr>
          <w:lang w:val="de-DE"/>
        </w:rPr>
        <w:t>Wichtige Güter werden für den Betrieb eines zentralen Prozesses oder eines Prozesses mit hohem Schadenspotential (siehe Abschnitt 9.2) zwingend benötigt. Wenn wichtige Güter eingekauft werden ist es wichtig, die Sicherheitsanforderungen an sie strukturiert zu ermitteln und vertraglich mit dem Anbieter zu vereinbaren.</w:t>
      </w:r>
      <w:commentRangeEnd w:id="30"/>
      <w:r>
        <w:commentReference w:id="30"/>
      </w:r>
      <w:r>
        <w:rPr/>
      </w:r>
    </w:p>
    <w:p>
      <w:pPr>
        <w:pStyle w:val="Heading3"/>
        <w:ind w:hanging="0" w:left="0"/>
        <w:rPr/>
      </w:pPr>
      <w:bookmarkStart w:id="805" w:name="__RefHeading___Toc18491_3449274495"/>
      <w:bookmarkEnd w:id="805"/>
      <w:r>
        <w:rPr/>
        <w:t>Vorbereitung</w:t>
      </w:r>
    </w:p>
    <w:p>
      <w:pPr>
        <w:pStyle w:val="10000-DefaultParagraph"/>
        <w:rPr>
          <w:shd w:fill="auto" w:val="clear"/>
        </w:rPr>
      </w:pPr>
      <w:r>
        <w:rPr>
          <w:spacing w:val="-2"/>
          <w:shd w:fill="auto" w:val="clear"/>
          <w:lang w:val="de-DE"/>
        </w:rPr>
        <w:t xml:space="preserve">Wenn wichtige Güter für die Informationsverarbeitung eingekauft werden, </w:t>
      </w:r>
      <w:r>
        <w:rPr>
          <w:shd w:fill="auto" w:val="clear"/>
          <w:lang w:val="de-DE"/>
        </w:rPr>
        <w:t>MÜSSEN</w:t>
      </w:r>
      <w:r>
        <w:rPr>
          <w:spacing w:val="-2"/>
          <w:shd w:fill="auto" w:val="clear"/>
          <w:lang w:val="de-DE"/>
        </w:rPr>
        <w:t xml:space="preserve"> die Anforderungen an deren Informationssicherheit im Rahmen einer Risikoidentifikation und -analyse (siehe Anhang A.2</w:t>
      </w:r>
      <w:r>
        <w:rPr>
          <w:shd w:fill="auto" w:val="clear"/>
          <w:lang w:val="de-DE"/>
        </w:rPr>
        <w:t>)</w:t>
      </w:r>
      <w:r>
        <w:rPr>
          <w:spacing w:val="-2"/>
          <w:shd w:fill="auto" w:val="clear"/>
          <w:lang w:val="de-DE"/>
        </w:rPr>
        <w:t xml:space="preserve"> ermittelt werden.</w:t>
      </w:r>
    </w:p>
    <w:p>
      <w:pPr>
        <w:pStyle w:val="10000-DefaultParagraph"/>
        <w:rPr>
          <w:shd w:fill="auto" w:val="clear"/>
        </w:rPr>
      </w:pPr>
      <w:r>
        <w:rPr>
          <w:shd w:fill="auto" w:val="clear"/>
          <w:lang w:val="de-DE"/>
        </w:rPr>
        <w:t>Die Organisation MUSS auf die Nutzung der Güter vorbereitet werden:</w:t>
      </w:r>
    </w:p>
    <w:p>
      <w:pPr>
        <w:pStyle w:val="10000-DefaultParagraph"/>
        <w:numPr>
          <w:ilvl w:val="0"/>
          <w:numId w:val="414"/>
        </w:numPr>
        <w:rPr>
          <w:shd w:fill="auto" w:val="clear"/>
        </w:rPr>
      </w:pPr>
      <w:r>
        <w:rPr>
          <w:shd w:fill="auto" w:val="clear"/>
          <w:lang w:val="de-DE"/>
        </w:rPr>
        <w:t>Kompetenzen für die Steuerung der Güter werden aufgebaut.</w:t>
      </w:r>
    </w:p>
    <w:p>
      <w:pPr>
        <w:pStyle w:val="10000-DefaultParagraph"/>
        <w:numPr>
          <w:ilvl w:val="0"/>
          <w:numId w:val="415"/>
        </w:numPr>
        <w:rPr>
          <w:shd w:fill="auto" w:val="clear"/>
        </w:rPr>
      </w:pPr>
      <w:r>
        <w:rPr>
          <w:shd w:fill="auto" w:val="clear"/>
        </w:rPr>
        <w:t>Die IT-Infrastruktur wird auf das Zusammenspiel mit den Gütern vorbereitet.</w:t>
      </w:r>
    </w:p>
    <w:p>
      <w:pPr>
        <w:pStyle w:val="Heading3"/>
        <w:ind w:hanging="0" w:left="0"/>
        <w:rPr/>
      </w:pPr>
      <w:bookmarkStart w:id="806" w:name="__RefHeading___Toc18493_3449274495"/>
      <w:bookmarkEnd w:id="806"/>
      <w:r>
        <w:rPr/>
        <w:t>Vertragsgestaltung</w:t>
      </w:r>
    </w:p>
    <w:p>
      <w:pPr>
        <w:pStyle w:val="10000-DefaultParagraph"/>
        <w:rPr>
          <w:shd w:fill="auto" w:val="clear"/>
        </w:rPr>
      </w:pPr>
      <w:r>
        <w:rPr>
          <w:spacing w:val="-2"/>
          <w:shd w:fill="auto" w:val="clear"/>
          <w:lang w:val="de-DE"/>
        </w:rPr>
        <w:t xml:space="preserve">Wenn wichtige Güter für die Informationsverarbeitung eingekauft werden, MÜSSEN folgende Punkte vertraglich geregelt werden: </w:t>
      </w:r>
    </w:p>
    <w:p>
      <w:pPr>
        <w:pStyle w:val="10000-DefaultParagraph"/>
        <w:numPr>
          <w:ilvl w:val="0"/>
          <w:numId w:val="416"/>
        </w:numPr>
        <w:rPr>
          <w:shd w:fill="auto" w:val="clear"/>
        </w:rPr>
      </w:pPr>
      <w:r>
        <w:rPr>
          <w:shd w:fill="auto" w:val="clear"/>
          <w:lang w:val="de-DE"/>
        </w:rPr>
        <w:t>Leistungen</w:t>
      </w:r>
    </w:p>
    <w:p>
      <w:pPr>
        <w:pStyle w:val="10000-DefaultParagraph"/>
        <w:numPr>
          <w:ilvl w:val="1"/>
          <w:numId w:val="417"/>
        </w:numPr>
        <w:rPr>
          <w:shd w:fill="auto" w:val="clear"/>
        </w:rPr>
      </w:pPr>
      <w:r>
        <w:rPr>
          <w:shd w:fill="auto" w:val="clear"/>
          <w:lang w:val="de-DE"/>
        </w:rPr>
        <w:t>Die vom Anbieter zu erbringenden Leistungen werden definiert und deren Messung und Überwachung werden vereinbart.</w:t>
      </w:r>
    </w:p>
    <w:p>
      <w:pPr>
        <w:pStyle w:val="10000-DefaultParagraph"/>
        <w:numPr>
          <w:ilvl w:val="1"/>
          <w:numId w:val="26"/>
        </w:numPr>
        <w:rPr>
          <w:shd w:fill="auto" w:val="clear"/>
        </w:rPr>
      </w:pPr>
      <w:r>
        <w:rPr>
          <w:shd w:fill="auto" w:val="clear"/>
          <w:lang w:val="de-DE"/>
        </w:rPr>
        <w:t>Die Standorte, an denen Leistungen erbracht werden, werden festgelegt.</w:t>
      </w:r>
    </w:p>
    <w:p>
      <w:pPr>
        <w:pStyle w:val="10000-DefaultParagraph"/>
        <w:numPr>
          <w:ilvl w:val="1"/>
          <w:numId w:val="26"/>
        </w:numPr>
        <w:rPr>
          <w:shd w:fill="auto" w:val="clear"/>
        </w:rPr>
      </w:pPr>
      <w:r>
        <w:rPr>
          <w:shd w:fill="auto" w:val="clear"/>
          <w:lang w:val="de-DE"/>
        </w:rPr>
        <w:t>Eine Beschreibung der Schnittstellen zwischen der IT-Infrastruktur der Organisation und den ausgelagerten IT-Ressourcen wird definiert.</w:t>
      </w:r>
    </w:p>
    <w:p>
      <w:pPr>
        <w:pStyle w:val="10000-Empfehlung"/>
        <w:widowControl/>
        <w:suppressAutoHyphens w:val="false"/>
        <w:bidi w:val="0"/>
        <w:spacing w:lineRule="auto" w:line="247" w:before="0" w:after="120"/>
        <w:ind w:hanging="0" w:left="397" w:right="0"/>
        <w:jc w:val="both"/>
        <w:rPr/>
      </w:pPr>
      <w:r>
        <w:rPr>
          <w:rStyle w:val="Emphasis"/>
          <w:i/>
          <w:shd w:fill="auto" w:val="clear"/>
          <w:lang w:val="de-DE"/>
        </w:rPr>
        <w:t>Es SOLLTEN Konsequenzen bei Nichteinhaltung der vertraglich vereinbarten Leistungen vereinbart werden.</w:t>
      </w:r>
    </w:p>
    <w:p>
      <w:pPr>
        <w:pStyle w:val="10000-DefaultParagraph"/>
        <w:numPr>
          <w:ilvl w:val="0"/>
          <w:numId w:val="418"/>
        </w:numPr>
        <w:rPr>
          <w:shd w:fill="auto" w:val="clear"/>
          <w:lang w:val="de-DE"/>
        </w:rPr>
      </w:pPr>
      <w:r>
        <w:rPr>
          <w:shd w:fill="auto" w:val="clear"/>
          <w:lang w:val="de-DE"/>
        </w:rPr>
        <w:t>Sicherheitsmaßnahmen</w:t>
      </w:r>
    </w:p>
    <w:p>
      <w:pPr>
        <w:pStyle w:val="10000-DefaultParagraph"/>
        <w:widowControl/>
        <w:numPr>
          <w:ilvl w:val="1"/>
          <w:numId w:val="419"/>
        </w:numPr>
        <w:suppressAutoHyphens w:val="false"/>
        <w:overflowPunct w:val="true"/>
        <w:bidi w:val="0"/>
        <w:spacing w:lineRule="auto" w:line="247" w:before="0" w:after="120"/>
        <w:jc w:val="both"/>
        <w:rPr>
          <w:rFonts w:ascii="Arial" w:hAnsi="Arial" w:eastAsia="Arial" w:cs="DejaVu Sans"/>
          <w:color w:val="auto"/>
          <w:kern w:val="0"/>
          <w:sz w:val="20"/>
          <w:szCs w:val="22"/>
          <w:shd w:fill="auto" w:val="clear"/>
          <w:lang w:val="de-DE" w:eastAsia="en-US" w:bidi="ar-SA"/>
        </w:rPr>
      </w:pPr>
      <w:r>
        <w:rPr>
          <w:rFonts w:eastAsia="Arial" w:cs="DejaVu Sans"/>
          <w:color w:val="000000"/>
          <w:kern w:val="0"/>
          <w:sz w:val="20"/>
          <w:szCs w:val="22"/>
          <w:shd w:fill="auto" w:val="clear"/>
          <w:lang w:val="de-DE" w:eastAsia="en-US" w:bidi="ar-SA"/>
        </w:rPr>
        <w:t>Es werden die Sicherheitsmaßnahmen vereinbart, die der Lieferant zur Erfüllung der Anforderungen an die Verfügbarkeit, Vertraulichkeit und Integrität treffen muss.</w:t>
      </w:r>
    </w:p>
    <w:p>
      <w:pPr>
        <w:pStyle w:val="10000-DefaultParagraph"/>
        <w:widowControl/>
        <w:suppressAutoHyphens w:val="false"/>
        <w:overflowPunct w:val="true"/>
        <w:bidi w:val="0"/>
        <w:spacing w:lineRule="auto" w:line="247" w:before="0" w:after="120"/>
        <w:ind w:hanging="0" w:left="397" w:right="0"/>
        <w:jc w:val="both"/>
        <w:rPr>
          <w:rFonts w:ascii="Arial" w:hAnsi="Arial" w:eastAsia="Arial" w:cs="DejaVu Sans"/>
          <w:i/>
          <w:i/>
          <w:iCs/>
          <w:color w:val="auto"/>
          <w:kern w:val="0"/>
          <w:sz w:val="20"/>
          <w:szCs w:val="22"/>
          <w:shd w:fill="auto" w:val="clear"/>
          <w:lang w:val="de-DE" w:eastAsia="en-US" w:bidi="ar-SA"/>
        </w:rPr>
      </w:pPr>
      <w:r>
        <w:rPr>
          <w:rFonts w:eastAsia="Arial" w:cs="DejaVu Sans"/>
          <w:i/>
          <w:iCs/>
          <w:color w:val="000000"/>
          <w:kern w:val="0"/>
          <w:sz w:val="20"/>
          <w:szCs w:val="22"/>
          <w:shd w:fill="auto" w:val="clear"/>
          <w:lang w:val="de-DE" w:eastAsia="en-US" w:bidi="ar-SA"/>
        </w:rPr>
        <w:t>Dies KÖNNEN z. B. Risikomanagementmaßnahmen, Maßnahmen zur Bewältigung von Sicherheitsvorfällen, Patchmanagement, sowie die Berücksichtigung oder Sicherheitsmaßnahmen gemäß eines anerkannten Standards, die Durchführung von automatisierten oder händischen Sicherheitsuntersuchungen und/oder die Beachtung von grundsätzlichen Prinzipien wie Security by Design oder Security by Default sein.</w:t>
      </w:r>
    </w:p>
    <w:p>
      <w:pPr>
        <w:pStyle w:val="10000-DefaultParagraph"/>
        <w:numPr>
          <w:ilvl w:val="0"/>
          <w:numId w:val="420"/>
        </w:numPr>
        <w:rPr>
          <w:shd w:fill="auto" w:val="clear"/>
          <w:lang w:val="de-DE"/>
        </w:rPr>
      </w:pPr>
      <w:r>
        <w:rPr>
          <w:shd w:fill="auto" w:val="clear"/>
          <w:lang w:val="de-DE"/>
        </w:rPr>
        <w:t xml:space="preserve">Kommunikation </w:t>
      </w:r>
    </w:p>
    <w:p>
      <w:pPr>
        <w:pStyle w:val="10000-DefaultParagraph"/>
        <w:numPr>
          <w:ilvl w:val="1"/>
          <w:numId w:val="421"/>
        </w:numPr>
        <w:rPr>
          <w:shd w:fill="auto" w:val="clear"/>
        </w:rPr>
      </w:pPr>
      <w:r>
        <w:rPr>
          <w:shd w:fill="auto" w:val="clear"/>
          <w:lang w:val="de-DE"/>
        </w:rPr>
        <w:t>Die Ansprechpartner auf Seiten der Organisation und des Anbieters werden benannt.</w:t>
      </w:r>
    </w:p>
    <w:p>
      <w:pPr>
        <w:pStyle w:val="10000-DefaultParagraph"/>
        <w:numPr>
          <w:ilvl w:val="1"/>
          <w:numId w:val="26"/>
        </w:numPr>
        <w:rPr>
          <w:shd w:fill="auto" w:val="clear"/>
        </w:rPr>
      </w:pPr>
      <w:r>
        <w:rPr>
          <w:shd w:fill="auto" w:val="clear"/>
          <w:lang w:val="de-DE"/>
        </w:rPr>
        <w:t>Eine Vertraulichkeitsvereinbarung wird getroffen.</w:t>
      </w:r>
    </w:p>
    <w:p>
      <w:pPr>
        <w:pStyle w:val="10000-DefaultParagraph"/>
        <w:numPr>
          <w:ilvl w:val="1"/>
          <w:numId w:val="26"/>
        </w:numPr>
        <w:rPr>
          <w:shd w:fill="auto" w:val="clear"/>
        </w:rPr>
      </w:pPr>
      <w:r>
        <w:rPr>
          <w:shd w:fill="auto" w:val="clear"/>
          <w:lang w:val="de-DE"/>
        </w:rPr>
        <w:t>Es wird vereinbart, ob und unter welchen Bedingungen der Anbieter dazu berechtigt ist, Daten an Dritte weiterzugeben.</w:t>
      </w:r>
    </w:p>
    <w:p>
      <w:pPr>
        <w:pStyle w:val="10000-DefaultParagraph"/>
        <w:numPr>
          <w:ilvl w:val="1"/>
          <w:numId w:val="26"/>
        </w:numPr>
        <w:rPr>
          <w:shd w:fill="auto" w:val="clear"/>
        </w:rPr>
      </w:pPr>
      <w:r>
        <w:rPr>
          <w:shd w:fill="auto" w:val="clear"/>
          <w:lang w:val="de-DE"/>
        </w:rPr>
        <w:t>Eine Informationspflicht des Anbieters bei Sicherheitsvorfällen, die die erbrachten Leistungen betreffen oder die sich auf die Sicherheit der IT-Infrastruktur der Organisation ausgelagerten IT-Ressourcen auswirken können, wird vereinbart.</w:t>
      </w:r>
    </w:p>
    <w:p>
      <w:pPr>
        <w:pStyle w:val="10000-DefaultParagraph"/>
        <w:numPr>
          <w:ilvl w:val="0"/>
          <w:numId w:val="26"/>
        </w:numPr>
        <w:rPr>
          <w:shd w:fill="auto" w:val="clear"/>
        </w:rPr>
      </w:pPr>
      <w:r>
        <w:rPr>
          <w:shd w:fill="auto" w:val="clear"/>
          <w:lang w:val="de-DE"/>
        </w:rPr>
        <w:t xml:space="preserve">Leistungsänderungen und Vertragsauflösung </w:t>
      </w:r>
    </w:p>
    <w:p>
      <w:pPr>
        <w:pStyle w:val="10000-DefaultParagraph"/>
        <w:numPr>
          <w:ilvl w:val="1"/>
          <w:numId w:val="422"/>
        </w:numPr>
        <w:rPr>
          <w:shd w:fill="auto" w:val="clear"/>
        </w:rPr>
      </w:pPr>
      <w:r>
        <w:rPr>
          <w:shd w:fill="auto" w:val="clear"/>
          <w:lang w:val="de-DE"/>
        </w:rPr>
        <w:t>Die Mitwirkungspflichten des Anbieters im Falle einer Vertragsauflösung oder Insolvenz werden vereinbart, insbesondere die vollständige Herausgabe der IT-Ressourcen der Organisation sowie die aktive Unterstützung des Migrationsprozesses durch den Anbieter.</w:t>
      </w:r>
    </w:p>
    <w:p>
      <w:pPr>
        <w:pStyle w:val="10000-DefaultParagraph"/>
        <w:rPr>
          <w:shd w:fill="auto" w:val="clear"/>
        </w:rPr>
      </w:pPr>
      <w:r>
        <w:rPr>
          <w:shd w:fill="auto" w:val="clear"/>
          <w:lang w:val="de-DE"/>
        </w:rPr>
        <w:t>Eine schriftliche Dokumentation und Meldung bei Änderungen an einem der oben genannten Punkte MUSS vereinbart werden.</w:t>
      </w:r>
    </w:p>
    <w:p>
      <w:pPr>
        <w:pStyle w:val="10000-DefaultParagraph"/>
        <w:rPr>
          <w:shd w:fill="auto" w:val="clear"/>
        </w:rPr>
      </w:pPr>
      <w:r>
        <w:rPr>
          <w:shd w:fill="auto" w:val="clear"/>
        </w:rPr>
        <w:t>Es MUSS sichergestellt sein, dass Ansprüche aus Vertragsverletzungen durchgesetzt werden können, auch wenn sich der Anbieter nicht im gleichen Rechtsraum wie die Organisation befindet.</w:t>
      </w:r>
    </w:p>
    <w:p>
      <w:pPr>
        <w:pStyle w:val="10000-DefaultParagraph"/>
        <w:bidi w:val="0"/>
        <w:spacing w:before="0" w:after="120"/>
        <w:jc w:val="left"/>
        <w:rPr>
          <w:rFonts w:eastAsia="Bitstream Vera Sans" w:cs="Bitstream Vera Sans"/>
          <w:color w:val="auto"/>
          <w:kern w:val="0"/>
          <w:sz w:val="20"/>
          <w:szCs w:val="24"/>
          <w:lang w:val="de-DE" w:eastAsia="en-US" w:bidi="en-US"/>
        </w:rPr>
      </w:pPr>
      <w:r>
        <w:rPr>
          <w:rStyle w:val="Emphasis"/>
          <w:rFonts w:eastAsia="Bitstream Vera Sans" w:cs="Bitstream Vera Sans"/>
          <w:i w:val="false"/>
          <w:iCs w:val="false"/>
          <w:color w:val="000000"/>
          <w:kern w:val="0"/>
          <w:sz w:val="20"/>
          <w:szCs w:val="24"/>
          <w:shd w:fill="EEEEEE" w:val="clear"/>
          <w:lang w:val="de-DE" w:eastAsia="en-US" w:bidi="en-US"/>
        </w:rPr>
        <w:t>Wenn Maßnahmen dieses Abschnitts nicht umgesetzt werden, MÜSSEN die dadurch entstehenden Risiken identifiziert, analysiert und behandelt werden (siehe</w:t>
      </w:r>
      <w:r>
        <w:rPr>
          <w:rFonts w:eastAsia="Bitstream Vera Sans" w:cs="Bitstream Vera Sans"/>
          <w:color w:val="000000"/>
          <w:spacing w:val="-2"/>
          <w:kern w:val="0"/>
          <w:sz w:val="20"/>
          <w:szCs w:val="24"/>
          <w:shd w:fill="EEEEEE" w:val="clear"/>
          <w:lang w:val="de-DE" w:eastAsia="en-US" w:bidi="en-US"/>
        </w:rPr>
        <w:t xml:space="preserve"> Anhang</w:t>
      </w:r>
      <w:r>
        <w:rPr>
          <w:rStyle w:val="Emphasis"/>
          <w:rFonts w:eastAsia="Bitstream Vera Sans" w:cs="Bitstream Vera Sans"/>
          <w:i w:val="false"/>
          <w:color w:val="000000"/>
          <w:kern w:val="0"/>
          <w:sz w:val="20"/>
          <w:szCs w:val="24"/>
          <w:shd w:fill="EEEEEE" w:val="clear"/>
          <w:lang w:val="de-DE" w:eastAsia="en-US" w:bidi="en-US"/>
        </w:rPr>
        <w:t xml:space="preserve"> </w:t>
      </w:r>
      <w:r>
        <w:rPr>
          <w:rStyle w:val="Emphasis"/>
          <w:rFonts w:eastAsia="Bitstream Vera Sans" w:cs="Bitstream Vera Sans"/>
          <w:i w:val="false"/>
          <w:iCs w:val="false"/>
          <w:color w:val="000000"/>
          <w:kern w:val="0"/>
          <w:sz w:val="20"/>
          <w:szCs w:val="24"/>
          <w:shd w:fill="EEEEEE" w:val="clear"/>
          <w:lang w:val="de-DE" w:eastAsia="en-US" w:bidi="en-US"/>
        </w:rPr>
        <w:fldChar w:fldCharType="begin"/>
      </w:r>
      <w:r>
        <w:rPr>
          <w:rStyle w:val="Emphasis"/>
          <w:sz w:val="20"/>
          <w:i w:val="false"/>
          <w:kern w:val="0"/>
          <w:shd w:fill="EEEEEE"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EEEEEE" w:val="clear"/>
          <w:szCs w:val="24"/>
          <w:iCs w:val="false"/>
          <w:rFonts w:eastAsia="Bitstream Vera Sans" w:cs="Bitstream Vera Sans"/>
          <w:color w:val="000000"/>
          <w:lang w:val="de-DE" w:eastAsia="en-US" w:bidi="en-US"/>
        </w:rPr>
        <w:fldChar w:fldCharType="separate"/>
      </w:r>
      <w:r>
        <w:rPr>
          <w:rStyle w:val="Emphasis"/>
          <w:sz w:val="20"/>
          <w:i w:val="false"/>
          <w:kern w:val="0"/>
          <w:shd w:fill="EEEEEE" w:val="clear"/>
          <w:szCs w:val="24"/>
          <w:iCs w:val="false"/>
          <w:rFonts w:eastAsia="Bitstream Vera Sans" w:cs="Bitstream Vera Sans"/>
          <w:color w:val="000000"/>
          <w:lang w:val="de-DE" w:eastAsia="en-US" w:bidi="en-US"/>
        </w:rPr>
        <w:t>A.2</w:t>
      </w:r>
      <w:r>
        <w:rPr>
          <w:rStyle w:val="Emphasis"/>
          <w:sz w:val="20"/>
          <w:i w:val="false"/>
          <w:kern w:val="0"/>
          <w:shd w:fill="EEEEEE"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EEEEEE" w:val="clear"/>
          <w:lang w:val="de-DE" w:eastAsia="en-US" w:bidi="en-US"/>
        </w:rPr>
        <w:t>).</w:t>
      </w:r>
    </w:p>
    <w:p>
      <w:pPr>
        <w:pStyle w:val="Heading1"/>
        <w:ind w:hanging="0" w:left="0"/>
        <w:rPr>
          <w:shd w:fill="EEEEEE" w:val="clear"/>
        </w:rPr>
      </w:pPr>
      <w:bookmarkStart w:id="807" w:name="__RefHeading___Toc32088_2021121348"/>
      <w:bookmarkStart w:id="808" w:name="rl%2525252525252525252525252525252525229"/>
      <w:bookmarkStart w:id="809" w:name="_Toc178761399"/>
      <w:bookmarkStart w:id="810" w:name="_Toc530662966"/>
      <w:bookmarkStart w:id="811" w:name="_Ref179186593"/>
      <w:bookmarkStart w:id="812" w:name="_Toc531165101"/>
      <w:bookmarkStart w:id="813" w:name="_Ref184204681"/>
      <w:bookmarkStart w:id="814" w:name="_Toc187327133"/>
      <w:bookmarkStart w:id="815" w:name="_Toc178588106"/>
      <w:bookmarkStart w:id="816" w:name="zugaenge_und_zugriffsrechte"/>
      <w:bookmarkEnd w:id="807"/>
      <w:bookmarkEnd w:id="808"/>
      <w:r>
        <w:rPr>
          <w:shd w:fill="EEEEEE" w:val="clear"/>
          <w:lang w:val="de-DE"/>
        </w:rPr>
        <w:t xml:space="preserve">Zugänge, Zugriffs- und </w:t>
      </w:r>
      <w:bookmarkEnd w:id="810"/>
      <w:bookmarkEnd w:id="812"/>
      <w:bookmarkEnd w:id="816"/>
      <w:r>
        <w:rPr>
          <w:shd w:fill="EEEEEE" w:val="clear"/>
          <w:lang w:val="de-DE"/>
        </w:rPr>
        <w:t>Zutrittsrechte</w:t>
      </w:r>
      <w:bookmarkEnd w:id="809"/>
      <w:bookmarkEnd w:id="811"/>
      <w:bookmarkEnd w:id="813"/>
      <w:bookmarkEnd w:id="814"/>
      <w:bookmarkEnd w:id="815"/>
    </w:p>
    <w:p>
      <w:pPr>
        <w:pStyle w:val="Heading2"/>
        <w:ind w:hanging="0" w:left="0"/>
        <w:rPr>
          <w:shd w:fill="EEEEEE" w:val="clear"/>
        </w:rPr>
      </w:pPr>
      <w:bookmarkStart w:id="817" w:name="__RefHeading___Toc32090_2021121348"/>
      <w:bookmarkStart w:id="818" w:name="_Toc187327134"/>
      <w:bookmarkEnd w:id="817"/>
      <w:r>
        <w:rPr>
          <w:shd w:fill="EEEEEE" w:val="clear"/>
          <w:lang w:val="de-DE"/>
        </w:rPr>
        <w:t>Grundlagen</w:t>
      </w:r>
      <w:bookmarkEnd w:id="818"/>
    </w:p>
    <w:p>
      <w:pPr>
        <w:pStyle w:val="Normal"/>
        <w:rPr>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shd w:fill="EEEEEE" w:val="clear"/>
        </w:rPr>
      </w:pPr>
      <w:bookmarkStart w:id="819" w:name="__RefHeading___Toc32092_2021121348"/>
      <w:bookmarkStart w:id="820" w:name="_Toc530662967"/>
      <w:bookmarkStart w:id="821" w:name="_Ref184204689"/>
      <w:bookmarkStart w:id="822" w:name="_Toc187327135"/>
      <w:bookmarkStart w:id="823" w:name="verwaltung"/>
      <w:bookmarkStart w:id="824" w:name="_Toc531165102"/>
      <w:bookmarkStart w:id="825" w:name="_Toc178761400"/>
      <w:bookmarkStart w:id="826" w:name="rl%252525252525252525252525252525252522a"/>
      <w:bookmarkStart w:id="827" w:name="_Toc178588107"/>
      <w:bookmarkEnd w:id="819"/>
      <w:bookmarkEnd w:id="826"/>
      <w:r>
        <w:rPr>
          <w:shd w:fill="EEEEEE" w:val="clear"/>
          <w:lang w:val="de-DE"/>
        </w:rPr>
        <w:t>Verwaltung</w:t>
      </w:r>
      <w:bookmarkEnd w:id="820"/>
      <w:bookmarkEnd w:id="821"/>
      <w:bookmarkEnd w:id="822"/>
      <w:bookmarkEnd w:id="823"/>
      <w:bookmarkEnd w:id="824"/>
      <w:bookmarkEnd w:id="825"/>
      <w:bookmarkEnd w:id="827"/>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merkmalen implementiert werden, die folgende Punkte sicherstellen:</w:t>
      </w:r>
    </w:p>
    <w:p>
      <w:pPr>
        <w:pStyle w:val="Liste1"/>
        <w:numPr>
          <w:ilvl w:val="0"/>
          <w:numId w:val="423"/>
        </w:numPr>
        <w:spacing w:lineRule="auto" w:line="250"/>
        <w:rPr>
          <w:shd w:fill="EEEEEE" w:val="clear"/>
        </w:rPr>
      </w:pPr>
      <w:r>
        <w:rPr>
          <w:spacing w:val="-3"/>
          <w:shd w:fill="EEEEEE" w:val="clear"/>
        </w:rPr>
        <w:t>Die jeweiligen Vorgänge werden vor ihrer Umsetzung beantragt, geprüft und genehmigt.</w:t>
      </w:r>
    </w:p>
    <w:p>
      <w:pPr>
        <w:pStyle w:val="Liste1"/>
        <w:numPr>
          <w:ilvl w:val="0"/>
          <w:numId w:val="424"/>
        </w:numPr>
        <w:spacing w:lineRule="auto" w:line="250"/>
        <w:rPr>
          <w:shd w:fill="EEEEEE" w:val="clear"/>
        </w:rPr>
      </w:pPr>
      <w:r>
        <w:rPr>
          <w:shd w:fill="EEEEEE" w:val="clear"/>
        </w:rPr>
        <w:t>Zugänge und Zugriffsrechte sowie Zutrittsrechte zu Serverräumen, Server- oder Netzwerkschränken oder zu kritischen IT-Systemen werden nur genehmigt, wenn sie für die Aufgabenerfüllung des jeweiligen Nutzers notwendig sind.</w:t>
      </w:r>
    </w:p>
    <w:p>
      <w:pPr>
        <w:pStyle w:val="Liste1"/>
        <w:numPr>
          <w:ilvl w:val="0"/>
          <w:numId w:val="425"/>
        </w:numPr>
        <w:spacing w:lineRule="auto" w:line="250"/>
        <w:rPr>
          <w:shd w:fill="EEEEEE" w:val="clear"/>
        </w:rPr>
      </w:pPr>
      <w:r>
        <w:rPr>
          <w:shd w:fill="EEEEEE" w:val="clear"/>
        </w:rPr>
        <w:t>Wenn ein Nutzer administrative Zugänge oder Zugriffsrechte oder Zutrittsrechte zu Serverräumen, Server- oder Netzwerkschränken oder zu kritischen IT-Systemen erhalten soll, wird dies besonders begründet und vom IT-Verantwortlichen entschieden.</w:t>
      </w:r>
    </w:p>
    <w:p>
      <w:pPr>
        <w:pStyle w:val="Liste1"/>
        <w:numPr>
          <w:ilvl w:val="0"/>
          <w:numId w:val="426"/>
        </w:numPr>
        <w:spacing w:lineRule="auto" w:line="250"/>
        <w:rPr>
          <w:shd w:fill="EEEEEE" w:val="clear"/>
        </w:rPr>
      </w:pPr>
      <w:r>
        <w:rPr>
          <w:shd w:fill="EEEEEE" w:val="clear"/>
        </w:rPr>
        <w:t>Antragssteller und Nutzer werden zeitnah über die erfolgte Durchführung informiert.</w:t>
      </w:r>
    </w:p>
    <w:p>
      <w:pPr>
        <w:pStyle w:val="Liste1"/>
        <w:ind w:hanging="0" w:left="360"/>
        <w:rPr>
          <w:shd w:fill="EEEEEE" w:val="clear"/>
        </w:rPr>
      </w:pPr>
      <w:r>
        <w:rPr>
          <w:i/>
          <w:shd w:fill="EEEEEE" w:val="clear"/>
        </w:rPr>
        <w:t>Wenn Zugänge, Zugriffsrechte oder Zutrittsrechte entzogen werden, KANN auf das Informieren des Nutzers verzichtet werden.</w:t>
      </w:r>
    </w:p>
    <w:p>
      <w:pPr>
        <w:pStyle w:val="Liste1"/>
        <w:numPr>
          <w:ilvl w:val="0"/>
          <w:numId w:val="427"/>
        </w:numPr>
        <w:spacing w:lineRule="auto" w:line="250"/>
        <w:rPr>
          <w:shd w:fill="EEEEEE" w:val="clear"/>
        </w:rPr>
      </w:pPr>
      <w:r>
        <w:rPr>
          <w:shd w:fill="EEEEEE" w:val="clear"/>
        </w:rPr>
        <w:t>Vor dem Löschen eines Zugangs werden die Daten, die mit ihm verknüpft sind, weitergegeben, gelöscht oder gesichert bzw. archiviert.</w:t>
      </w:r>
    </w:p>
    <w:p>
      <w:pPr>
        <w:pStyle w:val="Liste1"/>
        <w:numPr>
          <w:ilvl w:val="0"/>
          <w:numId w:val="428"/>
        </w:numPr>
        <w:spacing w:lineRule="auto" w:line="250"/>
        <w:rPr>
          <w:shd w:fill="EEEEEE" w:val="clear"/>
        </w:rPr>
      </w:pPr>
      <w:r>
        <w:rPr>
          <w:shd w:fill="EEEEEE" w:val="clear"/>
          <w:lang w:val="de-DE"/>
        </w:rPr>
        <w:t>Die jeweiligen Vorgänge werden dokumentiert.</w:t>
      </w:r>
    </w:p>
    <w:p>
      <w:pPr>
        <w:pStyle w:val="Heading2"/>
        <w:ind w:hanging="0" w:left="0"/>
        <w:jc w:val="left"/>
        <w:rPr>
          <w:shd w:fill="EEEEEE" w:val="clear"/>
        </w:rPr>
      </w:pPr>
      <w:bookmarkStart w:id="828" w:name="__RefHeading___Toc32094_2021121348"/>
      <w:bookmarkStart w:id="829" w:name="_Ref184204700"/>
      <w:bookmarkStart w:id="830" w:name="_Toc178588108"/>
      <w:bookmarkStart w:id="831" w:name="_Toc187327136"/>
      <w:bookmarkStart w:id="832" w:name="rl%252525252525252525252525252525252522b"/>
      <w:bookmarkStart w:id="833" w:name="_Toc531165103"/>
      <w:bookmarkStart w:id="834" w:name="_Toc530662968"/>
      <w:bookmarkStart w:id="835" w:name="_Toc178761401"/>
      <w:bookmarkEnd w:id="828"/>
      <w:bookmarkEnd w:id="832"/>
      <w:r>
        <w:rPr>
          <w:shd w:fill="EEEEEE" w:val="clear"/>
          <w:lang w:val="de-DE"/>
        </w:rPr>
        <w:t>Zusätzliche Maßnahmen für kritische IT-Systeme und Informationen</w:t>
      </w:r>
      <w:bookmarkEnd w:id="829"/>
      <w:bookmarkEnd w:id="830"/>
      <w:bookmarkEnd w:id="831"/>
      <w:bookmarkEnd w:id="833"/>
      <w:bookmarkEnd w:id="834"/>
      <w:bookmarkEnd w:id="835"/>
    </w:p>
    <w:p>
      <w:pPr>
        <w:pStyle w:val="Normal"/>
        <w:rPr>
          <w:shd w:fill="EEEEEE" w:val="clear"/>
        </w:rPr>
      </w:pPr>
      <w:commentRangeStart w:id="31"/>
      <w:r>
        <w:rPr>
          <w:shd w:fill="EEEEEE" w:val="clear"/>
        </w:rPr>
        <w:t xml:space="preserve">Alle Zugänge zu kritischen IT-Systemen, sämtliche Zugriffsrechte auf kritische Informationen sowie sämtliche Zutrittsrechte zu kritischen IT-Systemen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commentRangeEnd w:id="31"/>
      <w:r>
        <w:commentReference w:id="31"/>
      </w:r>
      <w:r>
        <w:rPr/>
      </w:r>
    </w:p>
    <w:p>
      <w:pPr>
        <w:pStyle w:val="Normal"/>
        <w:rPr>
          <w:shd w:fill="EEEEEE" w:val="clear"/>
        </w:rPr>
      </w:pPr>
      <w:r>
        <w:rPr>
          <w:shd w:fill="EEEEEE" w:val="clear"/>
          <w:lang w:val="de-DE"/>
        </w:rPr>
        <w:t xml:space="preserve">Nicht ordnungsgemäß angelegte 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shd w:fill="EEEEEE" w:val="clear"/>
        </w:rPr>
      </w:pPr>
      <w:bookmarkStart w:id="836" w:name="__RefHeading___Toc32096_2021121348"/>
      <w:bookmarkStart w:id="837" w:name="_Toc178588109"/>
      <w:bookmarkStart w:id="838" w:name="datensicherung_und_archivierung"/>
      <w:bookmarkStart w:id="839" w:name="_Ref178761950"/>
      <w:bookmarkStart w:id="840" w:name="_Ref179378707"/>
      <w:bookmarkStart w:id="841" w:name="_Ref179378737"/>
      <w:bookmarkStart w:id="842" w:name="_Ref179187414"/>
      <w:bookmarkStart w:id="843" w:name="_Ref179378716"/>
      <w:bookmarkStart w:id="844" w:name="_Toc530662969"/>
      <w:bookmarkStart w:id="845" w:name="_Toc531165104"/>
      <w:bookmarkStart w:id="846" w:name="_Toc178761402"/>
      <w:bookmarkStart w:id="847" w:name="_Ref179378700"/>
      <w:bookmarkStart w:id="848" w:name="rl%252525252525252525252525252525252522c"/>
      <w:bookmarkStart w:id="849" w:name="_Toc187327137"/>
      <w:bookmarkEnd w:id="836"/>
      <w:bookmarkEnd w:id="848"/>
      <w:r>
        <w:rPr>
          <w:shd w:fill="EEEEEE" w:val="clear"/>
          <w:lang w:val="de-DE"/>
        </w:rPr>
        <w:t>Datensicherung</w:t>
      </w:r>
      <w:bookmarkEnd w:id="837"/>
      <w:bookmarkEnd w:id="838"/>
      <w:bookmarkEnd w:id="839"/>
      <w:bookmarkEnd w:id="840"/>
      <w:bookmarkEnd w:id="841"/>
      <w:bookmarkEnd w:id="842"/>
      <w:bookmarkEnd w:id="843"/>
      <w:bookmarkEnd w:id="844"/>
      <w:bookmarkEnd w:id="845"/>
      <w:bookmarkEnd w:id="846"/>
      <w:bookmarkEnd w:id="847"/>
      <w:bookmarkEnd w:id="849"/>
    </w:p>
    <w:p>
      <w:pPr>
        <w:pStyle w:val="Heading2"/>
        <w:ind w:hanging="0" w:left="0"/>
        <w:rPr>
          <w:shd w:fill="EEEEEE" w:val="clear"/>
        </w:rPr>
      </w:pPr>
      <w:bookmarkStart w:id="850" w:name="__RefHeading___Toc32098_2021121348"/>
      <w:bookmarkStart w:id="851" w:name="_Toc187327138"/>
      <w:bookmarkEnd w:id="850"/>
      <w:r>
        <w:rPr>
          <w:shd w:fill="EEEEEE" w:val="clear"/>
          <w:lang w:val="de-DE"/>
        </w:rPr>
        <w:t>Grundlagen</w:t>
      </w:r>
      <w:bookmarkEnd w:id="851"/>
    </w:p>
    <w:p>
      <w:pPr>
        <w:pStyle w:val="Normal"/>
        <w:rPr>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8">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shd w:fill="EEEEEE" w:val="clear"/>
        </w:rPr>
      </w:pPr>
      <w:bookmarkStart w:id="852" w:name="__RefHeading___Toc32100_2021121348"/>
      <w:bookmarkStart w:id="853" w:name="rl%252525252525252525252525252525252522d"/>
      <w:bookmarkStart w:id="854" w:name="_Toc178761403"/>
      <w:bookmarkStart w:id="855" w:name="is-richtlinie3"/>
      <w:bookmarkStart w:id="856" w:name="_Toc530662970"/>
      <w:bookmarkStart w:id="857" w:name="_Toc531165105"/>
      <w:bookmarkStart w:id="858" w:name="_Toc187327139"/>
      <w:bookmarkStart w:id="859" w:name="_Toc178588110"/>
      <w:bookmarkStart w:id="860" w:name="_Ref179188907"/>
      <w:bookmarkEnd w:id="852"/>
      <w:bookmarkEnd w:id="853"/>
      <w:r>
        <w:rPr>
          <w:shd w:fill="EEEEEE" w:val="clear"/>
          <w:lang w:val="de-DE"/>
        </w:rPr>
        <w:t>IS-Richtlinie</w:t>
      </w:r>
      <w:bookmarkEnd w:id="854"/>
      <w:bookmarkEnd w:id="855"/>
      <w:bookmarkEnd w:id="856"/>
      <w:bookmarkEnd w:id="857"/>
      <w:bookmarkEnd w:id="858"/>
      <w:bookmarkEnd w:id="859"/>
      <w:bookmarkEnd w:id="860"/>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Heading2"/>
        <w:ind w:hanging="0" w:left="0"/>
        <w:rPr>
          <w:lang w:val="de-DE"/>
        </w:rPr>
      </w:pPr>
      <w:bookmarkStart w:id="861" w:name="__RefHeading___Toc32102_2021121348"/>
      <w:bookmarkStart w:id="862" w:name="verfahren"/>
      <w:bookmarkStart w:id="863" w:name="_Toc178588111"/>
      <w:bookmarkStart w:id="864" w:name="_Toc531165107"/>
      <w:bookmarkStart w:id="865" w:name="_Toc187327140"/>
      <w:bookmarkStart w:id="866" w:name="_Ref184204724"/>
      <w:bookmarkStart w:id="867" w:name="_Toc530662972"/>
      <w:bookmarkStart w:id="868" w:name="rl%252525252525252525252525252525252522e"/>
      <w:bookmarkStart w:id="869" w:name="_Toc178761404"/>
      <w:bookmarkEnd w:id="861"/>
      <w:bookmarkEnd w:id="868"/>
      <w:r>
        <w:rPr>
          <w:lang w:val="de-DE"/>
        </w:rPr>
        <w:t>Verfahren</w:t>
      </w:r>
      <w:bookmarkEnd w:id="862"/>
      <w:bookmarkEnd w:id="863"/>
      <w:bookmarkEnd w:id="864"/>
      <w:bookmarkEnd w:id="865"/>
      <w:bookmarkEnd w:id="866"/>
      <w:bookmarkEnd w:id="867"/>
      <w:bookmarkEnd w:id="869"/>
    </w:p>
    <w:p>
      <w:pPr>
        <w:pStyle w:val="10000-DefaultParagraph"/>
        <w:rPr>
          <w:lang w:val="de-DE"/>
        </w:rPr>
      </w:pPr>
      <w:r>
        <w:rPr>
          <w:lang w:val="de-DE"/>
        </w:rPr>
        <w:t>Für die Datensicherung und -wiederherstellung MÜSSEN Verfahren (siehe</w:t>
      </w:r>
      <w:r>
        <w:rPr>
          <w:spacing w:val="-2"/>
          <w:lang w:val="de-DE"/>
        </w:rPr>
        <w:t xml:space="preserve"> Anhang</w:t>
      </w:r>
      <w:r>
        <w:rPr>
          <w:lang w:val="de-DE"/>
        </w:rPr>
        <w:t xml:space="preserve"> </w:t>
      </w:r>
      <w:r>
        <w:rPr>
          <w:lang w:val="de-DE"/>
        </w:rPr>
        <w:fldChar w:fldCharType="begin"/>
      </w:r>
      <w:r>
        <w:rPr>
          <w:lang w:val="de-DE"/>
        </w:rPr>
        <w:instrText xml:space="preserve"> REF _Ref179188814 \n \n \h </w:instrText>
      </w:r>
      <w:r>
        <w:rPr>
          <w:lang w:val="de-DE"/>
        </w:rPr>
        <w:fldChar w:fldCharType="separate"/>
      </w:r>
      <w:r>
        <w:rPr>
          <w:lang w:val="de-DE"/>
        </w:rPr>
        <w:t>A.1</w:t>
      </w:r>
      <w:r>
        <w:rPr>
          <w:lang w:val="de-DE"/>
        </w:rPr>
        <w:fldChar w:fldCharType="end"/>
      </w:r>
      <w:r>
        <w:rPr>
          <w:lang w:val="de-DE"/>
        </w:rPr>
        <w:t>) implementiert werden, die die folgenden Punkte sicherstellen:</w:t>
      </w:r>
    </w:p>
    <w:p>
      <w:pPr>
        <w:pStyle w:val="10000-DefaultParagraph"/>
        <w:numPr>
          <w:ilvl w:val="0"/>
          <w:numId w:val="27"/>
        </w:numPr>
        <w:rPr>
          <w:lang w:val="de-DE"/>
        </w:rPr>
      </w:pPr>
      <w:r>
        <w:rPr>
          <w:lang w:val="de-DE"/>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340" w:right="0"/>
        <w:jc w:val="both"/>
        <w:rPr>
          <w:i/>
          <w:i/>
          <w:iCs/>
        </w:rPr>
      </w:pPr>
      <w:r>
        <w:rPr>
          <w:rStyle w:val="Emphasis"/>
          <w:i/>
          <w:lang w:val="de-DE"/>
        </w:rPr>
        <w:t>Der Schutz der Vertraulichkeit KANN z. B. durch eine Verschlüsselung der Daten oder der Sicherungsmedien erreicht werden.</w:t>
      </w:r>
    </w:p>
    <w:p>
      <w:pPr>
        <w:pStyle w:val="10000-DefaultParagraph"/>
        <w:numPr>
          <w:ilvl w:val="0"/>
          <w:numId w:val="27"/>
        </w:numPr>
        <w:rPr>
          <w:lang w:val="de-DE"/>
        </w:rPr>
      </w:pPr>
      <w:r>
        <w:rPr>
          <w:lang w:val="de-DE"/>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340" w:right="0"/>
        <w:jc w:val="both"/>
        <w:rPr>
          <w:i/>
          <w:i/>
        </w:rPr>
      </w:pPr>
      <w:r>
        <w:rP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27"/>
        </w:numPr>
        <w:rPr>
          <w:lang w:val="de-DE"/>
        </w:rPr>
      </w:pPr>
      <w:r>
        <w:rP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27"/>
        </w:numPr>
        <w:rPr>
          <w:lang w:val="de-DE"/>
        </w:rPr>
      </w:pPr>
      <w:r>
        <w:rPr>
          <w:lang w:val="de-DE"/>
        </w:rPr>
        <w:t>Datensicherungen werden an mehreren Orten gelagert, damit die gesicherten Daten auch bei größeren Schadenereignissen verfügbar bleiben.</w:t>
      </w:r>
    </w:p>
    <w:p>
      <w:pPr>
        <w:pStyle w:val="10000-DefaultParagraph"/>
        <w:widowControl/>
        <w:suppressAutoHyphens w:val="false"/>
        <w:bidi w:val="0"/>
        <w:spacing w:lineRule="auto" w:line="247" w:before="0" w:after="120"/>
        <w:ind w:hanging="0" w:left="340" w:right="0"/>
        <w:jc w:val="both"/>
        <w:rPr>
          <w:lang w:val="de-DE"/>
        </w:rPr>
      </w:pPr>
      <w:r>
        <w:rPr>
          <w:lang w:val="de-DE"/>
        </w:rPr>
        <w:t>Dazu KANN eine vollständige Datensicherung in festen zeitlichen Abständen (z. B. wöchentlich) an einen entfernten Standort ausgelagert werden.</w:t>
      </w:r>
    </w:p>
    <w:p>
      <w:pPr>
        <w:pStyle w:val="10000-DefaultParagraph"/>
        <w:numPr>
          <w:ilvl w:val="0"/>
          <w:numId w:val="27"/>
        </w:numPr>
        <w:rPr>
          <w:lang w:val="de-DE"/>
        </w:rPr>
      </w:pPr>
      <w:r>
        <w:rPr>
          <w:lang w:val="de-DE"/>
        </w:rPr>
        <w:t>Für die Datensicherung werden mehrere Medien eingesetzt und dabei ist sichergestellt, dass der Ausfall eines Mediums nicht zum Verlust von wesentlichen Teilen der gesicherten Daten führt - wenn die Datensicherung ausschließlich über Cloud-Dienste erfolgt</w:t>
      </w:r>
      <w:commentRangeStart w:id="32"/>
      <w:r>
        <w:rPr>
          <w:lang w:val="de-DE"/>
        </w:rPr>
        <w:t xml:space="preserve"> ist sichergestellt</w:t>
      </w:r>
      <w:r>
        <w:rPr/>
      </w:r>
      <w:commentRangeEnd w:id="32"/>
      <w:r>
        <w:commentReference w:id="32"/>
      </w:r>
      <w:r>
        <w:rPr>
          <w:lang w:val="de-DE"/>
        </w:rPr>
        <w:t>,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27"/>
        </w:numPr>
        <w:rPr>
          <w:lang w:val="de-DE"/>
        </w:rPr>
      </w:pPr>
      <w:r>
        <w:rPr>
          <w:lang w:val="de-DE"/>
        </w:rPr>
        <w:t>Die Datensicherung und -wiederherstellung wird jährlich oder bei einer Änderung des Verfahrens getestet, indem ein betroffenes IT-System nach dem Zufallsprinzip ausgewählt, gesichert und in einer Testumgebung wiederhergestellt wird.</w:t>
      </w:r>
    </w:p>
    <w:p>
      <w:pPr>
        <w:pStyle w:val="10000-Empfehlung"/>
        <w:widowControl/>
        <w:suppressAutoHyphens w:val="false"/>
        <w:bidi w:val="0"/>
        <w:spacing w:lineRule="auto" w:line="247" w:before="0" w:after="120"/>
        <w:ind w:hanging="0" w:left="340" w:right="0"/>
        <w:jc w:val="both"/>
        <w:rPr/>
      </w:pPr>
      <w:r>
        <w:rPr>
          <w:rStyle w:val="Emphasis"/>
          <w:i/>
          <w:lang w:val="de-DE"/>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27"/>
        </w:numPr>
        <w:rPr>
          <w:lang w:val="de-DE"/>
        </w:rPr>
      </w:pPr>
      <w:r>
        <w:rPr>
          <w:lang w:val="de-DE"/>
        </w:rPr>
        <w:t>D</w:t>
      </w:r>
      <w:commentRangeStart w:id="33"/>
      <w:r>
        <w:rPr>
          <w:lang w:val="de-DE"/>
        </w:rPr>
        <w:t>ie Durchführung und die Ergebnisse der Tests werden dokumentiert.</w:t>
      </w:r>
      <w:commentRangeEnd w:id="33"/>
      <w:r>
        <w:commentReference w:id="33"/>
      </w:r>
      <w:r>
        <w:rPr/>
      </w:r>
    </w:p>
    <w:p>
      <w:pPr>
        <w:pStyle w:val="Heading2"/>
        <w:ind w:hanging="0" w:left="0"/>
        <w:rPr>
          <w:shd w:fill="EEEEEE" w:val="clear"/>
        </w:rPr>
      </w:pPr>
      <w:bookmarkStart w:id="870" w:name="__RefHeading___Toc32104_2021121348"/>
      <w:bookmarkStart w:id="871" w:name="_Toc178588112"/>
      <w:bookmarkStart w:id="872" w:name="weiterentwicklung"/>
      <w:bookmarkStart w:id="873" w:name="_Toc531165108"/>
      <w:bookmarkStart w:id="874" w:name="_Toc187327141"/>
      <w:bookmarkStart w:id="875" w:name="rl%252525252525252525252525252525252522f"/>
      <w:bookmarkStart w:id="876" w:name="_Toc530662973"/>
      <w:bookmarkStart w:id="877" w:name="_Ref179189000"/>
      <w:bookmarkStart w:id="878" w:name="_Toc178761405"/>
      <w:bookmarkEnd w:id="870"/>
      <w:bookmarkEnd w:id="875"/>
      <w:r>
        <w:rPr>
          <w:shd w:fill="EEEEEE" w:val="clear"/>
          <w:lang w:val="de-DE"/>
        </w:rPr>
        <w:t>Weiterentwicklung</w:t>
      </w:r>
      <w:bookmarkEnd w:id="871"/>
      <w:bookmarkEnd w:id="872"/>
      <w:bookmarkEnd w:id="873"/>
      <w:bookmarkEnd w:id="874"/>
      <w:bookmarkEnd w:id="876"/>
      <w:bookmarkEnd w:id="877"/>
      <w:bookmarkEnd w:id="878"/>
    </w:p>
    <w:p>
      <w:pPr>
        <w:pStyle w:val="Normal"/>
        <w:rPr>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shd w:fill="EEEEEE" w:val="clear"/>
        </w:rPr>
      </w:pPr>
      <w:r>
        <w:rPr>
          <w:shd w:fill="EEEEEE" w:val="clear"/>
          <w:lang w:val="de-DE"/>
        </w:rPr>
        <w:t>Notwendige Anpassungen MÜSSEN zeitnah implementiert werden.</w:t>
      </w:r>
    </w:p>
    <w:p>
      <w:pPr>
        <w:pStyle w:val="Heading2"/>
        <w:ind w:hanging="0" w:left="0"/>
        <w:rPr>
          <w:shd w:fill="EEEEEE" w:val="clear"/>
        </w:rPr>
      </w:pPr>
      <w:bookmarkStart w:id="879" w:name="__RefHeading___Toc32106_2021121348"/>
      <w:bookmarkStart w:id="880" w:name="rl%252525252525252525252525252525252522g"/>
      <w:bookmarkStart w:id="881" w:name="_Ref179379162"/>
      <w:bookmarkStart w:id="882" w:name="_Toc531165109"/>
      <w:bookmarkStart w:id="883" w:name="_Toc178588113"/>
      <w:bookmarkStart w:id="884" w:name="basisschutz2"/>
      <w:bookmarkStart w:id="885" w:name="_Toc530662974"/>
      <w:bookmarkStart w:id="886" w:name="_Toc187327142"/>
      <w:bookmarkStart w:id="887" w:name="_Toc178761406"/>
      <w:bookmarkEnd w:id="879"/>
      <w:bookmarkEnd w:id="880"/>
      <w:r>
        <w:rPr>
          <w:shd w:fill="EEEEEE" w:val="clear"/>
          <w:lang w:val="de-DE"/>
        </w:rPr>
        <w:t>Basisschutz</w:t>
      </w:r>
      <w:bookmarkEnd w:id="881"/>
      <w:bookmarkEnd w:id="882"/>
      <w:bookmarkEnd w:id="883"/>
      <w:bookmarkEnd w:id="884"/>
      <w:bookmarkEnd w:id="885"/>
      <w:bookmarkEnd w:id="886"/>
      <w:bookmarkEnd w:id="887"/>
    </w:p>
    <w:p>
      <w:pPr>
        <w:pStyle w:val="Heading3"/>
        <w:ind w:hanging="0" w:left="0"/>
        <w:rPr>
          <w:shd w:fill="EEEEEE" w:val="clear"/>
        </w:rPr>
      </w:pPr>
      <w:bookmarkStart w:id="888" w:name="__RefHeading___Toc32108_2021121348"/>
      <w:bookmarkStart w:id="889" w:name="_Toc187327143"/>
      <w:bookmarkEnd w:id="888"/>
      <w:r>
        <w:rPr>
          <w:shd w:fill="EEEEEE" w:val="clear"/>
          <w:lang w:val="de-DE"/>
        </w:rPr>
        <w:t>Basisschutz-Maßnahmen</w:t>
      </w:r>
      <w:bookmarkEnd w:id="889"/>
    </w:p>
    <w:p>
      <w:pPr>
        <w:pStyle w:val="Normal"/>
        <w:rPr>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_Ref179188907 \n \n \h </w:instrText>
      </w:r>
      <w:r>
        <w:rPr>
          <w:shd w:fill="EEEEEE" w:val="clear"/>
        </w:rPr>
        <w:fldChar w:fldCharType="separate"/>
      </w:r>
      <w:r>
        <w:rPr>
          <w:shd w:fill="EEEEEE" w:val="clear"/>
        </w:rPr>
        <w:t>16.2</w:t>
      </w:r>
      <w:r>
        <w:rPr>
          <w:shd w:fill="EEEEEE" w:val="clear"/>
        </w:rPr>
        <w:fldChar w:fldCharType="end"/>
      </w:r>
      <w:r>
        <w:rPr>
          <w:shd w:fill="EEEEEE" w:val="clear"/>
        </w:rPr>
        <w:t>), Server, aktive Netzwerkkomponenten und mobile IT-Systeme implementiert werden.</w:t>
      </w:r>
    </w:p>
    <w:p>
      <w:pPr>
        <w:pStyle w:val="Normal"/>
        <w:rPr>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rPr>
          <w:i/>
          <w:i/>
          <w:iCs/>
        </w:rPr>
      </w:pPr>
      <w:r>
        <w:rPr>
          <w:i/>
          <w:iCs/>
          <w:lang w:val="de-DE"/>
        </w:rPr>
        <w:t>Nachrangige Speicherorte, Server, aktive Netzwerkkomponenten und mobile IT-Systeme KÖNNEN von der Umsetzung der Maßnahmen des Basisschutzes generell ausgenommen werden.</w:t>
      </w:r>
    </w:p>
    <w:p>
      <w:pPr>
        <w:pStyle w:val="Heading3"/>
        <w:ind w:hanging="0" w:left="0"/>
        <w:rPr>
          <w:lang w:val="de-DE"/>
        </w:rPr>
      </w:pPr>
      <w:bookmarkStart w:id="890" w:name="__RefHeading___Toc32110_2021121348"/>
      <w:bookmarkStart w:id="891" w:name="_Toc187327144"/>
      <w:bookmarkStart w:id="892" w:name="_Ref184204739"/>
      <w:bookmarkStart w:id="893" w:name="_Toc178761407"/>
      <w:bookmarkEnd w:id="890"/>
      <w:r>
        <w:rPr>
          <w:lang w:val="de-DE"/>
        </w:rPr>
        <w:t>IT-Systeme für die Datensicherung und -wiederherstellung</w:t>
      </w:r>
      <w:bookmarkEnd w:id="891"/>
      <w:bookmarkEnd w:id="892"/>
      <w:bookmarkEnd w:id="893"/>
    </w:p>
    <w:p>
      <w:pPr>
        <w:pStyle w:val="10000-DefaultParagraph"/>
        <w:rPr>
          <w:lang w:val="de-DE"/>
        </w:rPr>
      </w:pPr>
      <w:r>
        <w:rPr>
          <w:lang w:val="de-DE"/>
        </w:rPr>
        <w:t>Die für die Datensicherung und -wiederherstellung eingesetzten IT-Systeme MÜSSEN besonders vor unbefugtem Zugang geschützt werden.</w:t>
      </w:r>
    </w:p>
    <w:p>
      <w:pPr>
        <w:pStyle w:val="10000-DefaultParagraph"/>
        <w:rPr>
          <w:shd w:fill="auto" w:val="clear"/>
        </w:rPr>
      </w:pPr>
      <w:r>
        <w:rPr>
          <w:shd w:fill="auto" w:val="clear"/>
          <w:lang w:val="de-DE"/>
        </w:rPr>
        <w:t>Dazu MÜSSEN die folgenden Punkte umgesetzt werden:</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Auf den IT-Systemen dürfen ausschließlich Zugänge für administrative Tätigkeiten vorhanden sein.</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Die Anzahl der administrativen Zugänge ist auf das für den Betrieb notwendige Minimum reduziert.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Der Netzwerkverkehr von und zu den IT-Systemen ist auf das für die Funktionsfähigkeit notwendige Minimum beschränkt.</w:t>
      </w:r>
    </w:p>
    <w:p>
      <w:pPr>
        <w:pStyle w:val="Heading3"/>
        <w:ind w:hanging="0" w:left="0"/>
        <w:rPr>
          <w:shd w:fill="EEEEEE" w:val="clear"/>
          <w:lang w:val="de-DE"/>
        </w:rPr>
      </w:pPr>
      <w:bookmarkStart w:id="894" w:name="__RefHeading___speicherorte_110"/>
      <w:bookmarkStart w:id="895" w:name="speicherorte"/>
      <w:bookmarkStart w:id="896" w:name="_Toc531165110"/>
      <w:bookmarkStart w:id="897" w:name="_Toc530662975"/>
      <w:bookmarkStart w:id="898" w:name="rl%252525252525252525252525252525252522h"/>
      <w:bookmarkStart w:id="899" w:name="_Toc178761408"/>
      <w:bookmarkStart w:id="900" w:name="_Toc187327145"/>
      <w:bookmarkEnd w:id="894"/>
      <w:bookmarkEnd w:id="898"/>
      <w:r>
        <w:rPr>
          <w:shd w:fill="EEEEEE" w:val="clear"/>
          <w:lang w:val="de-DE"/>
        </w:rPr>
        <w:t>Speicherorte</w:t>
      </w:r>
      <w:bookmarkEnd w:id="895"/>
      <w:bookmarkEnd w:id="896"/>
      <w:bookmarkEnd w:id="897"/>
      <w:bookmarkEnd w:id="899"/>
      <w:bookmarkEnd w:id="900"/>
    </w:p>
    <w:p>
      <w:pPr>
        <w:pStyle w:val="Normal"/>
        <w:rPr>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shd w:fill="EEEEEE" w:val="clear"/>
        </w:rPr>
      </w:pPr>
      <w:bookmarkStart w:id="901" w:name="__RefHeading___server_111"/>
      <w:bookmarkStart w:id="902" w:name="rl%252525252525252525252525252525252522i"/>
      <w:bookmarkStart w:id="903" w:name="_Toc187327146"/>
      <w:bookmarkStart w:id="904" w:name="_Toc178761409"/>
      <w:bookmarkStart w:id="905" w:name="_Toc531165111"/>
      <w:bookmarkStart w:id="906" w:name="_Toc530662976"/>
      <w:bookmarkStart w:id="907" w:name="server"/>
      <w:bookmarkEnd w:id="901"/>
      <w:bookmarkEnd w:id="902"/>
      <w:r>
        <w:rPr>
          <w:shd w:fill="EEEEEE" w:val="clear"/>
          <w:lang w:val="de-DE"/>
        </w:rPr>
        <w:t>Server</w:t>
      </w:r>
      <w:bookmarkEnd w:id="903"/>
      <w:bookmarkEnd w:id="904"/>
      <w:bookmarkEnd w:id="905"/>
      <w:bookmarkEnd w:id="906"/>
      <w:bookmarkEnd w:id="907"/>
    </w:p>
    <w:p>
      <w:pPr>
        <w:pStyle w:val="Normal"/>
        <w:rPr>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shd w:fill="EEEEEE" w:val="clear"/>
        </w:rPr>
      </w:pPr>
      <w:bookmarkStart w:id="908" w:name="__RefHeading___aktive_netzwerkkomponente"/>
      <w:bookmarkStart w:id="909" w:name="_Toc187327147"/>
      <w:bookmarkStart w:id="910" w:name="rl%252525252525252525252525252525252522j"/>
      <w:bookmarkStart w:id="911" w:name="_Toc531165112"/>
      <w:bookmarkStart w:id="912" w:name="_Toc530662977"/>
      <w:bookmarkStart w:id="913" w:name="aktive_netzwerkkomponenten1"/>
      <w:bookmarkStart w:id="914" w:name="_Toc178761410"/>
      <w:bookmarkEnd w:id="908"/>
      <w:bookmarkEnd w:id="910"/>
      <w:r>
        <w:rPr>
          <w:shd w:fill="EEEEEE" w:val="clear"/>
          <w:lang w:val="de-DE"/>
        </w:rPr>
        <w:t>Aktive Netzwerkkomponenten</w:t>
      </w:r>
      <w:bookmarkEnd w:id="909"/>
      <w:bookmarkEnd w:id="911"/>
      <w:bookmarkEnd w:id="912"/>
      <w:bookmarkEnd w:id="913"/>
      <w:bookmarkEnd w:id="914"/>
    </w:p>
    <w:p>
      <w:pPr>
        <w:pStyle w:val="Normal"/>
        <w:rPr>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shd w:fill="EEEEEE" w:val="clear"/>
        </w:rPr>
      </w:pPr>
      <w:bookmarkStart w:id="915" w:name="__RefHeading___mobile_it-systeme_113"/>
      <w:bookmarkStart w:id="916" w:name="_Toc178761411"/>
      <w:bookmarkStart w:id="917" w:name="rl%252525252525252525252525252525252522k"/>
      <w:bookmarkStart w:id="918" w:name="_Toc187327148"/>
      <w:bookmarkStart w:id="919" w:name="mobile_it-systeme"/>
      <w:bookmarkStart w:id="920" w:name="_Toc531165113"/>
      <w:bookmarkStart w:id="921" w:name="_Toc530662978"/>
      <w:bookmarkEnd w:id="915"/>
      <w:bookmarkEnd w:id="917"/>
      <w:r>
        <w:rPr>
          <w:shd w:fill="EEEEEE" w:val="clear"/>
          <w:lang w:val="de-DE"/>
        </w:rPr>
        <w:t>Mobile IT-Systeme</w:t>
      </w:r>
      <w:bookmarkEnd w:id="916"/>
      <w:bookmarkEnd w:id="918"/>
      <w:bookmarkEnd w:id="919"/>
      <w:bookmarkEnd w:id="920"/>
      <w:bookmarkEnd w:id="921"/>
    </w:p>
    <w:p>
      <w:pPr>
        <w:pStyle w:val="10000-DefaultParagraph"/>
        <w:rPr>
          <w:shd w:fill="EEEEEE" w:val="clear"/>
        </w:rPr>
      </w:pPr>
      <w:r>
        <w:rPr>
          <w:shd w:fill="EEEEEE" w:val="clear"/>
          <w:lang w:val="de-DE"/>
        </w:rPr>
        <w:t>Es MUSS eine Vorgehensweise für die Datensicherung von mobilen IT-Systemen von einem Administrator vorgegeben werden.</w:t>
      </w:r>
    </w:p>
    <w:p>
      <w:pPr>
        <w:pStyle w:val="Heading2"/>
        <w:ind w:hanging="0" w:left="0"/>
        <w:rPr>
          <w:lang w:val="de-DE"/>
        </w:rPr>
      </w:pPr>
      <w:bookmarkStart w:id="922" w:name="__RefHeading___Toc32112_2021121348"/>
      <w:bookmarkStart w:id="923" w:name="_Toc187327149"/>
      <w:bookmarkStart w:id="924" w:name="_Toc531165114"/>
      <w:bookmarkStart w:id="925" w:name="_Toc530662979"/>
      <w:bookmarkStart w:id="926" w:name="rl%252525252525252525252525252525252522l"/>
      <w:bookmarkStart w:id="927" w:name="_Toc178761412"/>
      <w:bookmarkStart w:id="928" w:name="_Toc178588114"/>
      <w:bookmarkEnd w:id="922"/>
      <w:bookmarkEnd w:id="926"/>
      <w:r>
        <w:rPr>
          <w:lang w:val="de-DE"/>
        </w:rPr>
        <w:t>Zusätzliche Maßnahmen für wichtige IT-Systeme</w:t>
      </w:r>
      <w:bookmarkEnd w:id="923"/>
      <w:bookmarkEnd w:id="924"/>
      <w:bookmarkEnd w:id="925"/>
      <w:bookmarkEnd w:id="927"/>
      <w:bookmarkEnd w:id="928"/>
    </w:p>
    <w:p>
      <w:pPr>
        <w:pStyle w:val="Heading3"/>
        <w:ind w:hanging="0" w:left="0"/>
        <w:rPr>
          <w:lang w:val="de-DE"/>
        </w:rPr>
      </w:pPr>
      <w:bookmarkStart w:id="929" w:name="__RefHeading___Toc32114_2021121348"/>
      <w:bookmarkStart w:id="930" w:name="_Ref179187386"/>
      <w:bookmarkStart w:id="931" w:name="_Toc187327150"/>
      <w:bookmarkEnd w:id="929"/>
      <w:r>
        <w:rPr>
          <w:lang w:val="de-DE"/>
        </w:rPr>
        <w:t>Datensicherung</w:t>
      </w:r>
      <w:bookmarkEnd w:id="930"/>
      <w:bookmarkEnd w:id="931"/>
    </w:p>
    <w:p>
      <w:pPr>
        <w:pStyle w:val="10000-DefaultParagraph"/>
        <w:rPr/>
      </w:pPr>
      <w:r>
        <w:rPr>
          <w:lang w:val="de-DE"/>
        </w:rPr>
        <w:t xml:space="preserve">Jedes </w:t>
      </w:r>
      <w:r>
        <w:rPr>
          <w:shd w:fill="auto" w:val="clear"/>
          <w:lang w:val="de-DE"/>
        </w:rPr>
        <w:t xml:space="preserve">wichtige </w:t>
      </w:r>
      <w:r>
        <w:rPr>
          <w:lang w:val="de-DE"/>
        </w:rPr>
        <w:t xml:space="preserve">IT-System MUSS über eine Datensicherung verfügen, die in Ergänzung zu </w:t>
      </w:r>
      <w:r>
        <w:rPr>
          <w:rStyle w:val="Hyperlink"/>
          <w:color w:val="auto"/>
          <w:u w:val="none"/>
          <w:lang w:val="de-DE"/>
        </w:rPr>
        <w:t xml:space="preserve">Abschnitt </w:t>
      </w:r>
      <w:r>
        <w:rPr>
          <w:lang w:val="de-DE"/>
        </w:rPr>
        <w:fldChar w:fldCharType="begin"/>
      </w:r>
      <w:r>
        <w:rPr>
          <w:lang w:val="de-DE"/>
        </w:rPr>
        <w:instrText xml:space="preserve"> REF _Ref179379162 \n \n \h </w:instrText>
      </w:r>
      <w:r>
        <w:rPr>
          <w:lang w:val="de-DE"/>
        </w:rPr>
        <w:fldChar w:fldCharType="separate"/>
      </w:r>
      <w:r>
        <w:rPr>
          <w:lang w:val="de-DE"/>
        </w:rPr>
        <w:t>16.5</w:t>
      </w:r>
      <w:r>
        <w:rPr>
          <w:lang w:val="de-DE"/>
        </w:rPr>
        <w:fldChar w:fldCharType="end"/>
      </w:r>
      <w:r>
        <w:rPr>
          <w:rStyle w:val="Hyperlink"/>
          <w:color w:val="auto"/>
          <w:u w:val="none"/>
          <w:lang w:val="de-DE"/>
        </w:rPr>
        <w:t xml:space="preserve"> </w:t>
      </w:r>
      <w:r>
        <w:rPr>
          <w:lang w:val="de-DE"/>
        </w:rPr>
        <w:t>folgende Anforderungen erfüllt.</w:t>
      </w:r>
    </w:p>
    <w:p>
      <w:pPr>
        <w:pStyle w:val="Heading3"/>
        <w:ind w:hanging="0" w:left="0"/>
        <w:rPr>
          <w:lang w:val="de-DE"/>
        </w:rPr>
      </w:pPr>
      <w:bookmarkStart w:id="932" w:name="__RefHeading___risikoanalyse_116"/>
      <w:bookmarkStart w:id="933" w:name="_Toc187327151"/>
      <w:bookmarkStart w:id="934" w:name="_Toc531165115"/>
      <w:bookmarkStart w:id="935" w:name="_Toc530662980"/>
      <w:bookmarkStart w:id="936" w:name="rl%252525252525252525252525252525252522m"/>
      <w:bookmarkStart w:id="937" w:name="risikoanalyse"/>
      <w:bookmarkStart w:id="938" w:name="_Toc178761413"/>
      <w:bookmarkEnd w:id="932"/>
      <w:bookmarkEnd w:id="936"/>
      <w:r>
        <w:rPr>
          <w:lang w:val="de-DE"/>
        </w:rPr>
        <w:t>Risikoanalyse</w:t>
      </w:r>
      <w:bookmarkEnd w:id="933"/>
      <w:bookmarkEnd w:id="934"/>
      <w:bookmarkEnd w:id="935"/>
      <w:bookmarkEnd w:id="937"/>
      <w:bookmarkEnd w:id="938"/>
    </w:p>
    <w:p>
      <w:pPr>
        <w:pStyle w:val="10000-DefaultParagraph"/>
        <w:rPr/>
      </w:pPr>
      <w:r>
        <w:rPr>
          <w:lang w:val="de-DE"/>
        </w:rPr>
        <w:t xml:space="preserve">Im Zuge der Risikoanalyse und -behandlung (siehe </w:t>
      </w:r>
      <w:r>
        <w:rPr>
          <w:rStyle w:val="Hyperlink"/>
          <w:color w:val="auto"/>
          <w:u w:val="none"/>
          <w:lang w:val="de-DE"/>
        </w:rPr>
        <w:t>Abschnitt &lt;FIXME&gt;</w:t>
      </w:r>
      <w:r>
        <w:rPr>
          <w:lang w:val="de-DE"/>
        </w:rPr>
        <w:t>) MÜSSEN die Folgen eines Datenverlusts analysiert und dabei der MTD bestimmt werden.</w:t>
      </w:r>
    </w:p>
    <w:p>
      <w:pPr>
        <w:pStyle w:val="Heading3"/>
        <w:ind w:hanging="0" w:left="0"/>
        <w:rPr>
          <w:lang w:val="de-DE"/>
        </w:rPr>
      </w:pPr>
      <w:bookmarkStart w:id="939" w:name="__RefHeading___verfahren_117"/>
      <w:bookmarkStart w:id="940" w:name="_Toc178761414"/>
      <w:bookmarkStart w:id="941" w:name="verfahren1"/>
      <w:bookmarkStart w:id="942" w:name="_Toc531165116"/>
      <w:bookmarkStart w:id="943" w:name="_Toc187327152"/>
      <w:bookmarkStart w:id="944" w:name="rl%252525252525252525252525252525252522n"/>
      <w:bookmarkStart w:id="945" w:name="_Toc530662981"/>
      <w:bookmarkEnd w:id="939"/>
      <w:bookmarkEnd w:id="944"/>
      <w:r>
        <w:rPr>
          <w:lang w:val="de-DE"/>
        </w:rPr>
        <w:t>Verfahren</w:t>
      </w:r>
      <w:bookmarkEnd w:id="940"/>
      <w:bookmarkEnd w:id="941"/>
      <w:bookmarkEnd w:id="942"/>
      <w:bookmarkEnd w:id="943"/>
      <w:bookmarkEnd w:id="945"/>
    </w:p>
    <w:p>
      <w:pPr>
        <w:pStyle w:val="10000-DefaultParagraph"/>
        <w:rPr>
          <w:lang w:val="de-DE"/>
        </w:rPr>
      </w:pPr>
      <w:r>
        <w:rPr>
          <w:lang w:val="de-DE"/>
        </w:rPr>
        <w:t xml:space="preserve">Die Verfahren zur Datensicherung und -wiederherstellung MÜSSEN in Ergänzung zu Abschnitt </w:t>
      </w:r>
      <w:r>
        <w:rPr>
          <w:lang w:val="de-DE"/>
        </w:rPr>
        <w:fldChar w:fldCharType="begin"/>
      </w:r>
      <w:r>
        <w:rPr>
          <w:lang w:val="de-DE"/>
        </w:rPr>
        <w:instrText xml:space="preserve"> REF _Ref179189000 \n \n \h </w:instrText>
      </w:r>
      <w:r>
        <w:rPr>
          <w:lang w:val="de-DE"/>
        </w:rPr>
        <w:fldChar w:fldCharType="separate"/>
      </w:r>
      <w:r>
        <w:rPr>
          <w:lang w:val="de-DE"/>
        </w:rPr>
        <w:t>16.4</w:t>
      </w:r>
      <w:r>
        <w:rPr>
          <w:lang w:val="de-DE"/>
        </w:rPr>
        <w:fldChar w:fldCharType="end"/>
      </w:r>
      <w:r>
        <w:rPr>
          <w:lang w:val="de-DE"/>
        </w:rPr>
        <w:t xml:space="preserve"> folgende Punkte sicherstellen:</w:t>
      </w:r>
    </w:p>
    <w:p>
      <w:pPr>
        <w:pStyle w:val="10000-DefaultParagraph"/>
        <w:numPr>
          <w:ilvl w:val="0"/>
          <w:numId w:val="429"/>
        </w:numPr>
        <w:rPr>
          <w:lang w:val="de-DE"/>
        </w:rPr>
      </w:pPr>
      <w:r>
        <w:rPr>
          <w:shd w:fill="auto" w:val="clear"/>
          <w:lang w:val="de-DE"/>
        </w:rPr>
        <w:t xml:space="preserve">Wichtige </w:t>
      </w:r>
      <w:r>
        <w:rPr>
          <w:lang w:val="de-DE"/>
        </w:rPr>
        <w:t>IT-Systeme werden vollständig gesichert (Systemsoftware, Konfigurationen, Anwendungssoftware, Anwendungs-, Logdaten usw.).</w:t>
      </w:r>
    </w:p>
    <w:p>
      <w:pPr>
        <w:pStyle w:val="10000-DefaultParagraph"/>
        <w:numPr>
          <w:ilvl w:val="0"/>
          <w:numId w:val="430"/>
        </w:numPr>
        <w:rPr>
          <w:lang w:val="de-DE"/>
        </w:rPr>
      </w:pPr>
      <w:r>
        <w:rPr>
          <w:lang w:val="de-DE"/>
        </w:rPr>
        <w:t>Der MTD wird nicht überschritten.</w:t>
      </w:r>
    </w:p>
    <w:p>
      <w:pPr>
        <w:pStyle w:val="10000-DefaultParagraph"/>
        <w:numPr>
          <w:ilvl w:val="0"/>
          <w:numId w:val="431"/>
        </w:numPr>
        <w:rPr/>
      </w:pPr>
      <w:r>
        <w:rPr>
          <w:lang w:val="de-DE"/>
        </w:rPr>
        <w:t xml:space="preserve">Die Wiederherstellung innerhalb der MTA wird gewährleistet, sofern keine Ersatzsysteme oder </w:t>
        <w:br/>
        <w:t xml:space="preserve">-verfahren verfügbar sind (siehe </w:t>
      </w:r>
      <w:r>
        <w:rPr>
          <w:rStyle w:val="Hyperlink"/>
          <w:color w:val="auto"/>
          <w:u w:val="none"/>
          <w:lang w:val="de-DE"/>
        </w:rPr>
        <w:t xml:space="preserve">Abschnitt </w:t>
      </w:r>
      <w:r>
        <w:rPr>
          <w:lang w:val="de-DE"/>
        </w:rPr>
        <w:fldChar w:fldCharType="begin"/>
      </w:r>
      <w:r>
        <w:rPr>
          <w:lang w:val="de-DE"/>
        </w:rPr>
        <w:instrText xml:space="preserve"> REF _Ref179189029 \n \n \h </w:instrText>
      </w:r>
      <w:r>
        <w:rPr>
          <w:lang w:val="de-DE"/>
        </w:rPr>
        <w:fldChar w:fldCharType="separate"/>
      </w:r>
      <w:r>
        <w:rPr>
          <w:lang w:val="de-DE"/>
        </w:rPr>
        <w:t>10.8.7</w:t>
      </w:r>
      <w:r>
        <w:rPr>
          <w:lang w:val="de-DE"/>
        </w:rPr>
        <w:fldChar w:fldCharType="end"/>
      </w:r>
      <w:r>
        <w:rPr>
          <w:lang w:val="de-DE"/>
        </w:rPr>
        <w:t>).</w:t>
      </w:r>
      <w:bookmarkStart w:id="946" w:name="del_testsdel1"/>
      <w:bookmarkEnd w:id="946"/>
    </w:p>
    <w:p>
      <w:pPr>
        <w:pStyle w:val="Heading1"/>
        <w:ind w:hanging="0" w:left="0"/>
        <w:rPr>
          <w:lang w:val="de-DE"/>
        </w:rPr>
      </w:pPr>
      <w:bookmarkStart w:id="947" w:name="__RefHeading___Toc32116_2021121348"/>
      <w:bookmarkStart w:id="948" w:name="_Toc178588115"/>
      <w:bookmarkStart w:id="949" w:name="_Toc187327153"/>
      <w:bookmarkStart w:id="950" w:name="stoerungen_und_ausfaelle_Copy_1_Copy_1_C"/>
      <w:bookmarkStart w:id="951" w:name="_Ref179186901"/>
      <w:bookmarkStart w:id="952" w:name="_Ref179187629"/>
      <w:bookmarkStart w:id="953" w:name="_Toc530662982_Copy_1_Copy_1_Copy_1_Copy_"/>
      <w:bookmarkStart w:id="954" w:name="_Ref179188750"/>
      <w:bookmarkStart w:id="955" w:name="_Toc531165117_Copy_1_Copy_1_Copy_1_Copy_"/>
      <w:bookmarkStart w:id="956" w:name="_Ref178761991"/>
      <w:bookmarkStart w:id="957" w:name="_Toc178761415"/>
      <w:bookmarkStart w:id="958" w:name="_Ref179378695"/>
      <w:bookmarkEnd w:id="947"/>
      <w:bookmarkEnd w:id="950"/>
      <w:bookmarkEnd w:id="953"/>
      <w:bookmarkEnd w:id="955"/>
      <w:r>
        <w:rPr>
          <w:lang w:val="de-DE"/>
        </w:rPr>
        <w:t>Sicherheitsvorfälle</w:t>
      </w:r>
      <w:bookmarkEnd w:id="948"/>
      <w:bookmarkEnd w:id="949"/>
      <w:bookmarkEnd w:id="951"/>
      <w:bookmarkEnd w:id="952"/>
      <w:bookmarkEnd w:id="954"/>
      <w:bookmarkEnd w:id="956"/>
      <w:bookmarkEnd w:id="957"/>
      <w:bookmarkEnd w:id="958"/>
    </w:p>
    <w:p>
      <w:pPr>
        <w:pStyle w:val="Heading2"/>
        <w:ind w:hanging="0" w:left="0"/>
        <w:rPr>
          <w:shd w:fill="EEEEEE" w:val="clear"/>
        </w:rPr>
      </w:pPr>
      <w:bookmarkStart w:id="959" w:name="__RefHeading___Toc32118_2021121348"/>
      <w:bookmarkStart w:id="960" w:name="_Toc187327154"/>
      <w:bookmarkEnd w:id="959"/>
      <w:r>
        <w:rPr>
          <w:shd w:fill="EEEEEE" w:val="clear"/>
          <w:lang w:val="de-DE"/>
        </w:rPr>
        <w:t>Vorbereitung auf Sicherheitsvorfälle</w:t>
      </w:r>
      <w:bookmarkEnd w:id="960"/>
    </w:p>
    <w:p>
      <w:pPr>
        <w:pStyle w:val="Normal"/>
        <w:rPr>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961" w:name="__RefHeading___Toc32120_2021121348"/>
      <w:bookmarkStart w:id="962" w:name="_Toc187327155"/>
      <w:bookmarkStart w:id="963" w:name="_Toc178761416"/>
      <w:bookmarkStart w:id="964" w:name="_Toc530662983"/>
      <w:bookmarkStart w:id="965" w:name="_Toc178588116"/>
      <w:bookmarkStart w:id="966" w:name="is-richtlinie4"/>
      <w:bookmarkStart w:id="967" w:name="rl%252525252525252525252525252525252522o"/>
      <w:bookmarkStart w:id="968" w:name="_Toc531165118"/>
      <w:bookmarkEnd w:id="961"/>
      <w:bookmarkEnd w:id="967"/>
      <w:r>
        <w:rPr>
          <w:lang w:val="de-DE"/>
        </w:rPr>
        <w:t>IS-Richtlinie</w:t>
      </w:r>
      <w:bookmarkEnd w:id="962"/>
      <w:bookmarkEnd w:id="963"/>
      <w:bookmarkEnd w:id="964"/>
      <w:bookmarkEnd w:id="965"/>
      <w:bookmarkEnd w:id="966"/>
      <w:bookmarkEnd w:id="968"/>
    </w:p>
    <w:p>
      <w:pPr>
        <w:pStyle w:val="10000-DefaultParagraph"/>
        <w:rPr>
          <w:lang w:val="de-DE"/>
        </w:rPr>
      </w:pPr>
      <w:r>
        <w:rPr>
          <w:lang w:val="de-DE"/>
        </w:rPr>
        <w:t xml:space="preserve">In Ergänzung zu Abschnitt </w:t>
      </w:r>
      <w:r>
        <w:rPr>
          <w:lang w:val="de-DE"/>
        </w:rPr>
        <w:fldChar w:fldCharType="begin"/>
      </w:r>
      <w:r>
        <w:rPr>
          <w:lang w:val="de-DE"/>
        </w:rPr>
        <w:instrText xml:space="preserve"> REF _Ref179189056 \n \n \h </w:instrText>
      </w:r>
      <w:r>
        <w:rPr>
          <w:lang w:val="de-DE"/>
        </w:rPr>
        <w:fldChar w:fldCharType="separate"/>
      </w:r>
      <w:r>
        <w:rPr>
          <w:lang w:val="de-DE"/>
        </w:rPr>
        <w:t>6.4</w:t>
      </w:r>
      <w:r>
        <w:rPr>
          <w:lang w:val="de-DE"/>
        </w:rPr>
        <w:fldChar w:fldCharType="end"/>
      </w:r>
      <w:r>
        <w:rPr>
          <w:lang w:val="de-DE"/>
        </w:rPr>
        <w:t xml:space="preserve"> MÜSSEN in einer IS-Richtlinie Regelungen für den Umgang mit Sicherheitsvorfällen getroffen werden:</w:t>
      </w:r>
    </w:p>
    <w:p>
      <w:pPr>
        <w:pStyle w:val="10000-DefaultParagraph"/>
        <w:numPr>
          <w:ilvl w:val="0"/>
          <w:numId w:val="432"/>
        </w:numPr>
        <w:rPr>
          <w:lang w:val="de-DE"/>
        </w:rPr>
      </w:pPr>
      <w:r>
        <w:rPr>
          <w:lang w:val="de-DE"/>
        </w:rPr>
        <w:t xml:space="preserve">Die Begriffe </w:t>
      </w:r>
      <w:r>
        <w:rPr>
          <w:i/>
          <w:iCs/>
          <w:lang w:val="de-DE"/>
        </w:rPr>
        <w:t>Sicherheitsvorfall</w:t>
      </w:r>
      <w:r>
        <w:rPr>
          <w:lang w:val="de-DE"/>
        </w:rPr>
        <w:t xml:space="preserve"> und „erheblicher Sicherheitsvorfall“ werden klar definiert.</w:t>
      </w:r>
    </w:p>
    <w:p>
      <w:pPr>
        <w:pStyle w:val="10000-Empfehlung"/>
        <w:widowControl/>
        <w:suppressAutoHyphens w:val="false"/>
        <w:bidi w:val="0"/>
        <w:spacing w:lineRule="auto" w:line="247" w:before="0" w:after="120"/>
        <w:ind w:hanging="0" w:left="340" w:right="0"/>
        <w:jc w:val="both"/>
        <w:rPr/>
      </w:pPr>
      <w:r>
        <w:rPr>
          <w:rStyle w:val="Emphasis"/>
          <w:i/>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lang w:val="de-DE"/>
        </w:rPr>
        <w:t>eingestuft wird.</w:t>
      </w:r>
    </w:p>
    <w:p>
      <w:pPr>
        <w:pStyle w:val="10000-DefaultParagraph"/>
        <w:numPr>
          <w:ilvl w:val="0"/>
          <w:numId w:val="433"/>
        </w:numPr>
        <w:rPr/>
      </w:pPr>
      <w:r>
        <w:rPr>
          <w:rStyle w:val="Emphasis"/>
          <w:i w:val="false"/>
          <w:iCs w:val="false"/>
          <w:shd w:fill="auto" w:val="clear"/>
          <w:lang w:val="de-DE"/>
        </w:rPr>
        <w:t>DNS-Diensteanbieter, TLD-Namenregister, Anbieter von Cloud-Computing-Diensten, Anbieter von Rechenzentrumsdiensten, Betreiber von Inhaltszustellnetzen, Anbieter verwalteter Dienste, Anbieter verwalteter Sicherheitsdienste, Anbieter von Online-Marktplätzen, Online-Suchmaschinen und Plattformen für Dienste sozialer Netzwerke und Vertrauensdiensteanbieter definieren erhebliche Sicherheitsvorfälle wie in der Durchführungsverordnung (EU) 2024/2690 beschrieben.</w:t>
      </w:r>
    </w:p>
    <w:p>
      <w:pPr>
        <w:pStyle w:val="10000-DefaultParagraph"/>
        <w:numPr>
          <w:ilvl w:val="0"/>
          <w:numId w:val="434"/>
        </w:numPr>
        <w:rPr>
          <w:lang w:val="de-DE"/>
        </w:rPr>
      </w:pPr>
      <w:r>
        <w:rPr>
          <w:lang w:val="de-DE"/>
        </w:rPr>
        <w:t>Jeder Mitarbeiter meldet mögliche Sicherheitsvorfälle über die dafür vorgesehenen Meldewege.</w:t>
      </w:r>
    </w:p>
    <w:p>
      <w:pPr>
        <w:pStyle w:val="10000-DefaultParagraph"/>
        <w:numPr>
          <w:ilvl w:val="0"/>
          <w:numId w:val="435"/>
        </w:numPr>
        <w:rPr>
          <w:lang w:val="de-DE"/>
        </w:rPr>
      </w:pPr>
      <w:r>
        <w:rPr>
          <w:lang w:val="de-DE"/>
        </w:rPr>
        <w:t>Administratoren untersuchen, ggf. in Zusammenarbeit mit den jeweiligen Prozessverantwortlichen, dem IT-Verantwortlichen und dem ISB, Sicherheitsvorfälle vordringlich.</w:t>
      </w:r>
    </w:p>
    <w:p>
      <w:pPr>
        <w:pStyle w:val="10000-DefaultParagraph"/>
        <w:numPr>
          <w:ilvl w:val="0"/>
          <w:numId w:val="436"/>
        </w:numPr>
        <w:rPr>
          <w:lang w:val="de-DE"/>
        </w:rPr>
      </w:pPr>
      <w:r>
        <w:rPr>
          <w:lang w:val="de-DE"/>
        </w:rPr>
        <w:t>Es wird definiert, in welchen Fällen das Topmanagement über Sicherheitsvorfälle informiert wird.</w:t>
      </w:r>
    </w:p>
    <w:p>
      <w:pPr>
        <w:pStyle w:val="10000-DefaultParagraph"/>
        <w:numPr>
          <w:ilvl w:val="0"/>
          <w:numId w:val="437"/>
        </w:numPr>
        <w:rPr>
          <w:lang w:val="de-DE"/>
        </w:rPr>
      </w:pPr>
      <w:r>
        <w:rPr>
          <w:lang w:val="de-DE"/>
        </w:rPr>
        <w:t>Es wird definiert, wie die Organisation intern und extern akute und bewältigte Sicherheitsvorfälle kommuniziert.</w:t>
      </w:r>
    </w:p>
    <w:p>
      <w:pPr>
        <w:pStyle w:val="Heading2"/>
        <w:ind w:hanging="0" w:left="0"/>
        <w:rPr>
          <w:shd w:fill="EEEEEE" w:val="clear"/>
        </w:rPr>
      </w:pPr>
      <w:bookmarkStart w:id="969" w:name="__RefHeading___Toc32122_2021121348"/>
      <w:bookmarkStart w:id="970" w:name="_Toc178761417"/>
      <w:bookmarkStart w:id="971" w:name="_Toc187327156"/>
      <w:bookmarkStart w:id="972" w:name="_Toc178588117"/>
      <w:bookmarkEnd w:id="969"/>
      <w:r>
        <w:rPr>
          <w:shd w:fill="EEEEEE" w:val="clear"/>
          <w:lang w:val="de-DE"/>
        </w:rPr>
        <w:t>Erkennen</w:t>
      </w:r>
      <w:bookmarkEnd w:id="970"/>
      <w:bookmarkEnd w:id="971"/>
      <w:bookmarkEnd w:id="972"/>
    </w:p>
    <w:p>
      <w:pPr>
        <w:pStyle w:val="10000-Empfehlung"/>
        <w:rPr>
          <w:shd w:fill="EEEEEE" w:val="clear"/>
        </w:rPr>
      </w:pPr>
      <w:r>
        <w:rPr>
          <w:shd w:fill="EEEEEE" w:val="clear"/>
          <w:lang w:val="de-DE"/>
        </w:rPr>
        <w:t>Es SOLLTEN Maßnahmen implementiert werden, die es ermöglichen, Sicherheitsvorfälle zu erkennen, wie z. B.:</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zum Erkennen und Verhindern von Angriffen (host- oder netzwerkbasierte IDS/IIPS-Systeme)</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zur Isolation und Analyse potenziell schädlicher Software (Sandboxing-Technologien)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Integritätsprüfungen auf Prüfsummenbasis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Sensor-Systeme (Honeypots)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Überwachen der Zugriffe auf besonders sensible Informationen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Erfassen und Auswerten von Logmeldungen</w:t>
      </w:r>
    </w:p>
    <w:p>
      <w:pPr>
        <w:pStyle w:val="10000-Empfehlung"/>
        <w:widowControl/>
        <w:numPr>
          <w:ilvl w:val="0"/>
          <w:numId w:val="21"/>
        </w:numPr>
        <w:suppressAutoHyphens w:val="false"/>
        <w:bidi w:val="0"/>
        <w:spacing w:lineRule="auto" w:line="247" w:before="0" w:after="120"/>
        <w:ind w:hanging="340" w:left="340" w:right="0"/>
        <w:jc w:val="both"/>
        <w:rPr>
          <w:shd w:fill="auto" w:val="clear"/>
          <w:lang w:val="de-DE"/>
        </w:rPr>
      </w:pPr>
      <w:r>
        <w:rPr>
          <w:shd w:fill="auto" w:val="clear"/>
          <w:lang w:val="de-DE"/>
        </w:rPr>
        <w:t>Durchführen von automatisierten oder händischen Untersuchungen der technischen und/oder organisatorischen Sicherheitsmaßnahmen</w:t>
      </w:r>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und/oder anonyme Meldewege gefördert werden.</w:t>
      </w:r>
    </w:p>
    <w:p>
      <w:pPr>
        <w:pStyle w:val="Heading2"/>
        <w:ind w:hanging="0" w:left="0"/>
        <w:rPr>
          <w:lang w:val="de-DE"/>
        </w:rPr>
      </w:pPr>
      <w:bookmarkStart w:id="973" w:name="__RefHeading___Toc32124_2021121348"/>
      <w:bookmarkStart w:id="974" w:name="_Toc187327157"/>
      <w:bookmarkStart w:id="975" w:name="_Toc178761418"/>
      <w:bookmarkStart w:id="976" w:name="rl%252525252525252525252525252525252522p"/>
      <w:bookmarkStart w:id="977" w:name="reaktion"/>
      <w:bookmarkStart w:id="978" w:name="_Toc531165119"/>
      <w:bookmarkStart w:id="979" w:name="_Toc178588118"/>
      <w:bookmarkStart w:id="980" w:name="_Toc530662984"/>
      <w:bookmarkEnd w:id="973"/>
      <w:bookmarkEnd w:id="976"/>
      <w:r>
        <w:rPr>
          <w:lang w:val="de-DE"/>
        </w:rPr>
        <w:t>Reaktion</w:t>
      </w:r>
      <w:bookmarkEnd w:id="974"/>
      <w:bookmarkEnd w:id="975"/>
      <w:bookmarkEnd w:id="977"/>
      <w:bookmarkEnd w:id="978"/>
      <w:bookmarkEnd w:id="979"/>
      <w:bookmarkEnd w:id="980"/>
    </w:p>
    <w:p>
      <w:pPr>
        <w:pStyle w:val="10000-DefaultParagraph"/>
        <w:rPr>
          <w:lang w:val="de-DE"/>
        </w:rPr>
      </w:pPr>
      <w:r>
        <w:rPr>
          <w:lang w:val="de-DE"/>
        </w:rPr>
        <w:t>Es MUSS ein Verfahren (siehe</w:t>
      </w:r>
      <w:r>
        <w:rPr>
          <w:spacing w:val="-2"/>
          <w:lang w:val="de-DE"/>
        </w:rPr>
        <w:t xml:space="preserve"> Anhang</w:t>
      </w:r>
      <w:r>
        <w:rPr>
          <w:lang w:val="de-DE"/>
        </w:rPr>
        <w:t xml:space="preserve"> </w:t>
      </w:r>
      <w:r>
        <w:rPr>
          <w:lang w:val="de-DE"/>
        </w:rPr>
        <w:fldChar w:fldCharType="begin"/>
      </w:r>
      <w:r>
        <w:rPr>
          <w:lang w:val="de-DE"/>
        </w:rPr>
        <w:instrText xml:space="preserve"> REF _Ref179379202 \n \n \h </w:instrText>
      </w:r>
      <w:r>
        <w:rPr>
          <w:lang w:val="de-DE"/>
        </w:rPr>
        <w:fldChar w:fldCharType="separate"/>
      </w:r>
      <w:r>
        <w:rPr>
          <w:lang w:val="de-DE"/>
        </w:rPr>
        <w:t>A.1</w:t>
      </w:r>
      <w:r>
        <w:rPr>
          <w:lang w:val="de-DE"/>
        </w:rPr>
        <w:fldChar w:fldCharType="end"/>
      </w:r>
      <w:r>
        <w:rPr>
          <w:lang w:val="de-DE"/>
        </w:rPr>
        <w:t>) implementiert werden, das beim Auftreten eines Sicherheitsvorfalls folgende Reaktionen zeitnah sicherstellt:</w:t>
      </w:r>
    </w:p>
    <w:p>
      <w:pPr>
        <w:pStyle w:val="10000-DefaultParagraph"/>
        <w:numPr>
          <w:ilvl w:val="0"/>
          <w:numId w:val="438"/>
        </w:numPr>
        <w:rPr>
          <w:lang w:val="de-DE"/>
        </w:rPr>
      </w:pPr>
      <w:r>
        <w:rPr>
          <w:lang w:val="de-DE"/>
        </w:rPr>
        <w:t>Es wird ein Überblick über die Situation gewonnen.</w:t>
      </w:r>
    </w:p>
    <w:p>
      <w:pPr>
        <w:pStyle w:val="10000-DefaultParagraph"/>
        <w:numPr>
          <w:ilvl w:val="0"/>
          <w:numId w:val="439"/>
        </w:numPr>
        <w:rPr>
          <w:lang w:val="de-DE"/>
        </w:rPr>
      </w:pPr>
      <w:r>
        <w:rPr>
          <w:lang w:val="de-DE"/>
        </w:rPr>
        <w:t>Es werden alle erforderlichen Maßnahmen getroffen, um Leib und Leben von Personen zu schützen.</w:t>
      </w:r>
    </w:p>
    <w:p>
      <w:pPr>
        <w:pStyle w:val="10000-DefaultParagraph"/>
        <w:numPr>
          <w:ilvl w:val="0"/>
          <w:numId w:val="440"/>
        </w:numPr>
        <w:rPr>
          <w:lang w:val="de-DE"/>
        </w:rPr>
      </w:pPr>
      <w:r>
        <w:rPr>
          <w:lang w:val="de-DE"/>
        </w:rPr>
        <w:t>Der Schaden wird durch Sofortmaßnahmen eingedämmt.</w:t>
      </w:r>
    </w:p>
    <w:p>
      <w:pPr>
        <w:pStyle w:val="10000-DefaultParagraph"/>
        <w:numPr>
          <w:ilvl w:val="0"/>
          <w:numId w:val="441"/>
        </w:numPr>
        <w:rPr>
          <w:lang w:val="de-DE"/>
        </w:rPr>
      </w:pPr>
      <w:r>
        <w:rPr>
          <w:lang w:val="de-DE"/>
        </w:rPr>
        <w:t>Der Sicherheitsvorfall und der Schaden werden so dokumentiert, dass die Organisation ihre Informationspflichten erfüllen kann.</w:t>
      </w:r>
    </w:p>
    <w:p>
      <w:pPr>
        <w:pStyle w:val="10000-DefaultParagraph"/>
        <w:numPr>
          <w:ilvl w:val="0"/>
          <w:numId w:val="442"/>
        </w:numPr>
        <w:rPr>
          <w:lang w:val="de-DE"/>
        </w:rPr>
      </w:pPr>
      <w:r>
        <w:rPr>
          <w:lang w:val="de-DE"/>
        </w:rPr>
        <w:t>Entsprechende Stellen wie Versicherungen und Aufsichtsbehörden werden zeitnah informiert.</w:t>
      </w:r>
    </w:p>
    <w:p>
      <w:pPr>
        <w:pStyle w:val="10000-DefaultParagraph"/>
        <w:numPr>
          <w:ilvl w:val="0"/>
          <w:numId w:val="443"/>
        </w:numPr>
        <w:rPr>
          <w:lang w:val="de-DE"/>
        </w:rPr>
      </w:pPr>
      <w:r>
        <w:rPr>
          <w:lang w:val="de-DE"/>
        </w:rPr>
        <w:t>Beweismittel werden gesichert.</w:t>
      </w:r>
    </w:p>
    <w:p>
      <w:pPr>
        <w:pStyle w:val="10000-DefaultParagraph"/>
        <w:numPr>
          <w:ilvl w:val="0"/>
          <w:numId w:val="444"/>
        </w:numPr>
        <w:rPr>
          <w:lang w:val="de-DE"/>
        </w:rPr>
      </w:pPr>
      <w:r>
        <w:rPr>
          <w:lang w:val="de-DE"/>
        </w:rPr>
        <w:t>Der Schaden wird behoben und der Regelbetrieb wieder aufgenommen.</w:t>
      </w:r>
    </w:p>
    <w:p>
      <w:pPr>
        <w:pStyle w:val="10000-DefaultParagraph"/>
        <w:numPr>
          <w:ilvl w:val="0"/>
          <w:numId w:val="445"/>
        </w:numPr>
        <w:rPr>
          <w:lang w:val="de-DE"/>
        </w:rPr>
      </w:pPr>
      <w:r>
        <w:rPr>
          <w:lang w:val="de-DE"/>
        </w:rPr>
        <w:t>Es findet eine Nachbereitung statt, bei der die Ursachen ermittelt und konkrete Verbesserungen erarbeitet werden.</w:t>
      </w:r>
    </w:p>
    <w:p>
      <w:pPr>
        <w:pStyle w:val="10000-Empfehlung"/>
        <w:rPr/>
      </w:pPr>
      <w:r>
        <w:rPr>
          <w:rStyle w:val="Emphasis"/>
          <w:i/>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446"/>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447"/>
        </w:numPr>
        <w:rPr/>
      </w:pPr>
      <w:r>
        <w:rPr>
          <w:rStyle w:val="Emphasis"/>
          <w:i w:val="false"/>
          <w:iCs w:val="false"/>
          <w:lang w:val="de-DE"/>
        </w:rPr>
        <w:t>Entsprechende interne Stellen (wie Topmanagement, Abteilungsleiter, Prozesseigentümer der betroffenen zentralen Prozesse bzw. der betroffenen Prozesse mit hohem Schadenspotential) und externe Stellen (wie Partner, Kunden, Versicherungen und Aufsichtsbehörden) werden zeitnah informiert; entsprechende Adresslisten und Inhalte sind vorbereitet.</w:t>
      </w:r>
    </w:p>
    <w:p>
      <w:pPr>
        <w:pStyle w:val="Normal"/>
        <w:numPr>
          <w:ilvl w:val="0"/>
          <w:numId w:val="448"/>
        </w:numPr>
        <w:rPr/>
      </w:pPr>
      <w:r>
        <w:rPr>
          <w:rStyle w:val="Emphasis"/>
          <w:i w:val="false"/>
          <w:iCs w:val="false"/>
          <w:lang w:val="de-DE"/>
        </w:rPr>
        <w:t>Einem Mitarbeiter mit entsprechender Fachkompetenz wird die Verantwortlichkeit zugeordnet, mit dem BSI zu kommunizieren.</w:t>
      </w:r>
    </w:p>
    <w:p>
      <w:pPr>
        <w:pStyle w:val="Empfehlung"/>
        <w:ind w:hanging="0" w:left="360"/>
        <w:rPr/>
      </w:pPr>
      <w:r>
        <w:rPr>
          <w:rStyle w:val="Emphasis"/>
          <w:i/>
          <w:lang w:val="de-DE"/>
        </w:rPr>
        <w:t>Diese Verantwortlichkeit KANN z. B. der ISB wahrnehmen.</w:t>
      </w:r>
    </w:p>
    <w:p>
      <w:pPr>
        <w:pStyle w:val="Normal"/>
        <w:numPr>
          <w:ilvl w:val="0"/>
          <w:numId w:val="449"/>
        </w:numPr>
        <w:rPr/>
      </w:pPr>
      <w:r>
        <w:rPr>
          <w:rStyle w:val="Emphasis"/>
          <w:i w:val="false"/>
          <w:iCs w:val="false"/>
          <w:lang w:val="de-DE"/>
        </w:rPr>
        <w:t>Die Informationspflichten gem. § 32 BSIG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450"/>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451"/>
        </w:numPr>
        <w:rPr/>
      </w:pPr>
      <w:r>
        <w:rPr>
          <w:rStyle w:val="Emphasis"/>
          <w:i w:val="false"/>
          <w:iCs w:val="false"/>
          <w:lang w:val="de-DE"/>
        </w:rPr>
        <w:t>Fällt die Organisation unter § 35 Abs. 2 BSIG,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Das BSI SOLLTE in besonderen Fällen hinzugezogen werden, z. B. wenn ein Angriff besonderer technischer Qualität vorliegt oder wenn die zügige Wiederherstellung der Sicherheit oder Funktionsfähigkeit der betroffenen IT-Ressourcen von besonderem öffentlichem Interesse ist.</w:t>
      </w:r>
    </w:p>
    <w:p>
      <w:pPr>
        <w:pStyle w:val="Heading2"/>
        <w:ind w:hanging="0" w:left="0"/>
        <w:rPr/>
      </w:pPr>
      <w:bookmarkStart w:id="981" w:name="__RefHeading___Toc42893_2021121348_Copy_"/>
      <w:bookmarkEnd w:id="981"/>
      <w:commentRangeStart w:id="34"/>
      <w:r>
        <w:rPr>
          <w:rStyle w:val="Emphasis"/>
          <w:lang w:val="de-DE"/>
        </w:rPr>
        <w:t>Vorbereiten auf spezifische Sicherheitsvorfälle</w:t>
      </w:r>
      <w:r>
        <w:rPr/>
        <w:commentReference w:id="35"/>
      </w:r>
      <w:commentRangeEnd w:id="34"/>
      <w:r>
        <w:commentReference w:id="34"/>
      </w:r>
      <w:r>
        <w:rPr/>
      </w:r>
    </w:p>
    <w:p>
      <w:pPr>
        <w:pStyle w:val="Normal"/>
        <w:rPr>
          <w:lang w:val="de-DE"/>
        </w:rPr>
      </w:pPr>
      <w:r>
        <w:rPr>
          <w:rStyle w:val="Emphasis"/>
          <w:i/>
          <w:lang w:val="de-DE"/>
        </w:rPr>
        <w:t xml:space="preserve">Es SOLLTE untersucht werden, ob es notwendig oder sinnvoll ist, dass sich die Organisation mit individuellen Vorgehensweisen auf spezifische Sicherheitsvorfälle vorbereitet. </w:t>
      </w:r>
    </w:p>
    <w:p>
      <w:pPr>
        <w:pStyle w:val="10000-DefaultParagraph"/>
        <w:rPr/>
      </w:pPr>
      <w:r>
        <w:rPr>
          <w:rStyle w:val="Emphasis"/>
          <w:i w:val="false"/>
          <w:iCs w:val="false"/>
          <w:color w:val="000000"/>
          <w:u w:val="none"/>
          <w:shd w:fill="auto" w:val="clear"/>
          <w:lang w:val="de-DE"/>
        </w:rPr>
        <w:t xml:space="preserve">Hierfür SOLLTEN die zentralen Prozesse und die Prozesse mit hohem Schadenspotential (siehe Abschnitt </w:t>
      </w:r>
      <w:r>
        <w:rPr>
          <w:rStyle w:val="Emphasis"/>
          <w:i w:val="false"/>
          <w:iCs w:val="false"/>
          <w:color w:val="000000"/>
          <w:u w:val="none"/>
          <w:shd w:fill="auto" w:val="clear"/>
          <w:lang w:val="de-DE"/>
        </w:rPr>
        <w:fldChar w:fldCharType="begin"/>
      </w:r>
      <w:r>
        <w:rPr>
          <w:rStyle w:val="Emphasis"/>
          <w:i w:val="false"/>
          <w:u w:val="none"/>
          <w:shd w:fill="auto" w:val="clear"/>
          <w:iCs w:val="false"/>
          <w:color w:val="000000"/>
          <w:lang w:val="de-DE"/>
        </w:rPr>
        <w:instrText xml:space="preserve"> REF prozesse \n \n \h </w:instrText>
      </w:r>
      <w:r>
        <w:rPr>
          <w:rStyle w:val="Emphasis"/>
          <w:i w:val="false"/>
          <w:u w:val="none"/>
          <w:shd w:fill="auto" w:val="clear"/>
          <w:iCs w:val="false"/>
          <w:color w:val="000000"/>
          <w:lang w:val="de-DE"/>
        </w:rPr>
        <w:fldChar w:fldCharType="separate"/>
      </w:r>
      <w:r>
        <w:rPr>
          <w:rStyle w:val="Emphasis"/>
          <w:i w:val="false"/>
          <w:u w:val="none"/>
          <w:shd w:fill="auto" w:val="clear"/>
          <w:iCs w:val="false"/>
          <w:color w:val="000000"/>
          <w:lang w:val="de-DE"/>
        </w:rPr>
        <w:t>9.2</w:t>
      </w:r>
      <w:r>
        <w:rPr>
          <w:rStyle w:val="Emphasis"/>
          <w:i w:val="false"/>
          <w:u w:val="none"/>
          <w:shd w:fill="auto" w:val="clear"/>
          <w:iCs w:val="false"/>
          <w:color w:val="000000"/>
          <w:lang w:val="de-DE"/>
        </w:rPr>
        <w:fldChar w:fldCharType="end"/>
      </w:r>
      <w:r>
        <w:rPr>
          <w:rStyle w:val="Emphasis"/>
          <w:i w:val="false"/>
          <w:iCs w:val="false"/>
          <w:color w:val="000000"/>
          <w:u w:val="none"/>
          <w:shd w:fill="auto" w:val="clear"/>
          <w:lang w:val="de-DE"/>
        </w:rPr>
        <w:t>) untersucht und Szenarien mit der höchsten Eintrittswahrscheinlichkeit und Schadenshöhe identifiziert werden.</w:t>
      </w:r>
    </w:p>
    <w:p>
      <w:pPr>
        <w:pStyle w:val="10000-DefaultParagraph"/>
        <w:rPr/>
      </w:pPr>
      <w:r>
        <w:rPr>
          <w:rStyle w:val="Emphasis"/>
          <w:i w:val="false"/>
          <w:iCs w:val="false"/>
          <w:color w:val="000000"/>
          <w:u w:val="none"/>
          <w:shd w:fill="auto" w:val="clear"/>
          <w:lang w:val="de-DE"/>
        </w:rPr>
        <w:t>Für jedes Szenario SOLLTE eine abgestimmte Vorgehensweise entwickelt werden, wobei ähnliche Szenarien zusammengefasst werden KÖNNEN.</w:t>
      </w:r>
    </w:p>
    <w:p>
      <w:pPr>
        <w:pStyle w:val="10000-DefaultParagraph"/>
        <w:rPr/>
      </w:pPr>
      <w:r>
        <w:rPr>
          <w:rStyle w:val="Emphasis"/>
          <w:i w:val="false"/>
          <w:iCs w:val="false"/>
          <w:color w:val="000000"/>
          <w:u w:val="none"/>
          <w:shd w:fill="auto" w:val="clear"/>
          <w:lang w:val="de-DE"/>
        </w:rPr>
        <w:t>Die Vorgehensweisen SOLLTEN in Form eines Verfahrens (siehe Anhang A.1) definiert werden.</w:t>
      </w:r>
    </w:p>
    <w:p>
      <w:pPr>
        <w:pStyle w:val="Heading2"/>
        <w:ind w:hanging="0" w:left="0"/>
        <w:rPr>
          <w:lang w:val="de-DE"/>
        </w:rPr>
      </w:pPr>
      <w:bookmarkStart w:id="982" w:name="__RefHeading___Toc32126_2021121348"/>
      <w:bookmarkStart w:id="983" w:name="zusaetzliche_massnahmen_fuer_kritische_i"/>
      <w:bookmarkStart w:id="984" w:name="rl%252525252525252525252525252525252522q"/>
      <w:bookmarkStart w:id="985" w:name="_Toc178588119"/>
      <w:bookmarkStart w:id="986" w:name="_Toc187327158"/>
      <w:bookmarkStart w:id="987" w:name="_Toc530662985"/>
      <w:bookmarkStart w:id="988" w:name="_Toc178761419"/>
      <w:bookmarkStart w:id="989" w:name="_Toc531165120"/>
      <w:bookmarkEnd w:id="982"/>
      <w:bookmarkEnd w:id="984"/>
      <w:r>
        <w:rPr>
          <w:lang w:val="de-DE"/>
        </w:rPr>
        <w:t>Zusätzliche Maßnahmen für wichtige IT-Systeme</w:t>
      </w:r>
      <w:bookmarkEnd w:id="983"/>
      <w:bookmarkEnd w:id="985"/>
      <w:bookmarkEnd w:id="986"/>
      <w:bookmarkEnd w:id="987"/>
      <w:bookmarkEnd w:id="988"/>
      <w:bookmarkEnd w:id="989"/>
    </w:p>
    <w:p>
      <w:pPr>
        <w:pStyle w:val="Heading3"/>
        <w:ind w:hanging="0" w:left="0"/>
        <w:rPr>
          <w:lang w:val="de-DE"/>
        </w:rPr>
      </w:pPr>
      <w:bookmarkStart w:id="990" w:name="__RefHeading___Toc32128_2021121348"/>
      <w:bookmarkStart w:id="991" w:name="_Toc187327159"/>
      <w:bookmarkEnd w:id="990"/>
      <w:r>
        <w:rPr>
          <w:lang w:val="de-DE"/>
        </w:rPr>
        <w:t>Anforderungen</w:t>
      </w:r>
      <w:bookmarkEnd w:id="991"/>
    </w:p>
    <w:p>
      <w:pPr>
        <w:pStyle w:val="10000-DefaultParagraph"/>
        <w:rPr>
          <w:lang w:val="de-DE"/>
        </w:rPr>
      </w:pPr>
      <w:r>
        <w:rPr>
          <w:lang w:val="de-DE"/>
        </w:rPr>
        <w:t xml:space="preserve">Die folgenden Maßnahmen MÜSSEN zusätzlich zu allen zuvor in diesem Kapitel genannten Punkten für alle </w:t>
      </w:r>
      <w:r>
        <w:rPr>
          <w:shd w:fill="auto" w:val="clear"/>
          <w:lang w:val="de-DE"/>
        </w:rPr>
        <w:t xml:space="preserve">wichtigen </w:t>
      </w:r>
      <w:r>
        <w:rPr>
          <w:lang w:val="de-DE"/>
        </w:rPr>
        <w:t>IT-Systeme umgesetzt werden.</w:t>
      </w:r>
    </w:p>
    <w:p>
      <w:pPr>
        <w:pStyle w:val="Heading3"/>
        <w:ind w:hanging="0" w:left="0"/>
        <w:rPr>
          <w:lang w:val="de-DE"/>
        </w:rPr>
      </w:pPr>
      <w:bookmarkStart w:id="992" w:name="__RefHeading___wiederanlaufplaene_123"/>
      <w:bookmarkStart w:id="993" w:name="wiederanlaufplaene"/>
      <w:bookmarkStart w:id="994" w:name="_Toc530662986"/>
      <w:bookmarkStart w:id="995" w:name="_Toc531165121"/>
      <w:bookmarkStart w:id="996" w:name="rl%252525252525252525252525252525252522r"/>
      <w:bookmarkStart w:id="997" w:name="_Toc178761420"/>
      <w:bookmarkStart w:id="998" w:name="_Toc187327160"/>
      <w:bookmarkEnd w:id="992"/>
      <w:bookmarkEnd w:id="996"/>
      <w:r>
        <w:rPr>
          <w:lang w:val="de-DE"/>
        </w:rPr>
        <w:t>Wiederanlaufpläne</w:t>
      </w:r>
      <w:bookmarkEnd w:id="993"/>
      <w:bookmarkEnd w:id="994"/>
      <w:bookmarkEnd w:id="995"/>
      <w:bookmarkEnd w:id="997"/>
      <w:bookmarkEnd w:id="998"/>
    </w:p>
    <w:p>
      <w:pPr>
        <w:pStyle w:val="10000-DefaultParagraph"/>
        <w:rPr>
          <w:lang w:val="de-DE"/>
        </w:rPr>
      </w:pPr>
      <w:r>
        <w:rPr>
          <w:lang w:val="de-DE"/>
        </w:rPr>
        <w:t xml:space="preserve">Für jedes </w:t>
      </w:r>
      <w:r>
        <w:rPr>
          <w:shd w:fill="auto" w:val="clear"/>
          <w:lang w:val="de-DE"/>
        </w:rPr>
        <w:t xml:space="preserve">wichtige </w:t>
      </w:r>
      <w:r>
        <w:rPr>
          <w:lang w:val="de-DE"/>
        </w:rPr>
        <w:t>IT-System MUSS ein Verfahren (siehe</w:t>
      </w:r>
      <w:r>
        <w:rPr>
          <w:spacing w:val="-2"/>
          <w:lang w:val="de-DE"/>
        </w:rPr>
        <w:t xml:space="preserve"> Anhang</w:t>
      </w:r>
      <w:r>
        <w:rPr>
          <w:lang w:val="de-DE"/>
        </w:rPr>
        <w:t xml:space="preserve"> </w:t>
      </w:r>
      <w:r>
        <w:rPr>
          <w:lang w:val="de-DE"/>
        </w:rPr>
        <w:fldChar w:fldCharType="begin"/>
      </w:r>
      <w:r>
        <w:rPr>
          <w:lang w:val="de-DE"/>
        </w:rPr>
        <w:instrText xml:space="preserve"> REF _Ref179189122 \n \n \h </w:instrText>
      </w:r>
      <w:r>
        <w:rPr>
          <w:lang w:val="de-DE"/>
        </w:rPr>
        <w:fldChar w:fldCharType="separate"/>
      </w:r>
      <w:r>
        <w:rPr>
          <w:lang w:val="de-DE"/>
        </w:rPr>
        <w:t>A.1</w:t>
      </w:r>
      <w:r>
        <w:rPr>
          <w:lang w:val="de-DE"/>
        </w:rPr>
        <w:fldChar w:fldCharType="end"/>
      </w:r>
      <w:r>
        <w:rPr>
          <w:lang w:val="de-DE"/>
        </w:rPr>
        <w:t>) für den Wiederanlauf implementiert werden (Wiederanlaufplan), das folgende Anforderungen erfüllt:</w:t>
      </w:r>
    </w:p>
    <w:p>
      <w:pPr>
        <w:pStyle w:val="10000-DefaultParagraph"/>
        <w:numPr>
          <w:ilvl w:val="0"/>
          <w:numId w:val="452"/>
        </w:numPr>
        <w:rPr>
          <w:lang w:val="de-DE"/>
        </w:rPr>
      </w:pPr>
      <w:r>
        <w:rPr>
          <w:lang w:val="de-DE"/>
        </w:rPr>
        <w:t>Das Verfahren enthält alle Informationen, Arbeitsschritte und deren Reihenfolge, die es fachlich versierten Personen ermöglichen, das IT-System innerhalb seiner MTA soweit wiederher</w:t>
        <w:softHyphen/>
        <w:t xml:space="preserve">zustellen, dass zumindest das Notbetriebsniveau (siehe Abschnitt </w:t>
      </w:r>
      <w:r>
        <w:rPr>
          <w:lang w:val="de-DE"/>
        </w:rPr>
        <w:fldChar w:fldCharType="begin"/>
      </w:r>
      <w:r>
        <w:rPr>
          <w:lang w:val="de-DE"/>
        </w:rPr>
        <w:instrText xml:space="preserve"> REF _Ref179189166 \n \n \h </w:instrText>
      </w:r>
      <w:r>
        <w:rPr>
          <w:lang w:val="de-DE"/>
        </w:rPr>
        <w:fldChar w:fldCharType="separate"/>
      </w:r>
      <w:r>
        <w:rPr>
          <w:lang w:val="de-DE"/>
        </w:rPr>
        <w:t>10.8.2</w:t>
      </w:r>
      <w:r>
        <w:rPr>
          <w:lang w:val="de-DE"/>
        </w:rPr>
        <w:fldChar w:fldCharType="end"/>
      </w:r>
      <w:r>
        <w:rPr>
          <w:lang w:val="de-DE"/>
        </w:rPr>
        <w:t>) erreicht ist.</w:t>
      </w:r>
    </w:p>
    <w:p>
      <w:pPr>
        <w:pStyle w:val="10000-DefaultParagraph"/>
        <w:numPr>
          <w:ilvl w:val="0"/>
          <w:numId w:val="453"/>
        </w:numPr>
        <w:rPr>
          <w:lang w:val="de-DE"/>
        </w:rPr>
      </w:pPr>
      <w:r>
        <w:rPr>
          <w:lang w:val="de-DE"/>
        </w:rPr>
        <w:t xml:space="preserve">Wenn das IT-System innerhalb seiner MTA nicht wiederhergestellt werden kann, enthält das Verfahren alle Informationen, Arbeitsschritte und deren Reihenfolge, die es fachlich versierten Personen ermöglichen, die entsprechenden Ersatzsysteme oder -verfahren (siehe Abschnitt </w:t>
      </w:r>
      <w:r>
        <w:rPr>
          <w:lang w:val="de-DE"/>
        </w:rPr>
        <w:fldChar w:fldCharType="begin"/>
      </w:r>
      <w:r>
        <w:rPr>
          <w:lang w:val="de-DE"/>
        </w:rPr>
        <w:instrText xml:space="preserve"> REF _Ref179189188 \n \n \h </w:instrText>
      </w:r>
      <w:r>
        <w:rPr>
          <w:lang w:val="de-DE"/>
        </w:rPr>
        <w:fldChar w:fldCharType="separate"/>
      </w:r>
      <w:r>
        <w:rPr>
          <w:lang w:val="de-DE"/>
        </w:rPr>
        <w:t>10.8.7</w:t>
      </w:r>
      <w:r>
        <w:rPr>
          <w:lang w:val="de-DE"/>
        </w:rPr>
        <w:fldChar w:fldCharType="end"/>
      </w:r>
      <w:r>
        <w:rPr>
          <w:lang w:val="de-DE"/>
        </w:rPr>
        <w:t>) so weit in Betrieb zu nehmen, dass die vom IT-System abhängigen zentralen Prozesse und Prozesse mit hohem Schadenspotential betrieben werden können.</w:t>
      </w:r>
    </w:p>
    <w:p>
      <w:pPr>
        <w:pStyle w:val="10000-DefaultParagraph"/>
        <w:numPr>
          <w:ilvl w:val="0"/>
          <w:numId w:val="454"/>
        </w:numPr>
        <w:rPr>
          <w:lang w:val="de-DE"/>
        </w:rPr>
      </w:pPr>
      <w:r>
        <w:rP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455"/>
        </w:numPr>
        <w:rPr>
          <w:lang w:val="de-DE"/>
        </w:rPr>
      </w:pPr>
      <w:r>
        <w:rPr>
          <w:lang w:val="de-DE"/>
        </w:rPr>
        <w:t>Es ist verständlich und übersichtlich strukturiert.</w:t>
      </w:r>
    </w:p>
    <w:p>
      <w:pPr>
        <w:pStyle w:val="10000-DefaultParagraph"/>
        <w:numPr>
          <w:ilvl w:val="0"/>
          <w:numId w:val="456"/>
        </w:numPr>
        <w:rPr>
          <w:lang w:val="de-DE"/>
        </w:rPr>
      </w:pPr>
      <w:r>
        <w:rPr>
          <w:lang w:val="de-DE"/>
        </w:rPr>
        <w:t>Es kann im Bedarfsfall schnell aktiviert werden.</w:t>
      </w:r>
    </w:p>
    <w:p>
      <w:pPr>
        <w:pStyle w:val="10000-DefaultParagraph"/>
        <w:numPr>
          <w:ilvl w:val="0"/>
          <w:numId w:val="457"/>
        </w:numPr>
        <w:rPr>
          <w:lang w:val="de-DE"/>
        </w:rPr>
      </w:pPr>
      <w:r>
        <w:rPr>
          <w:lang w:val="de-DE"/>
        </w:rPr>
        <w:t>Es wird in einem anderen Brandabschnitt als das betreffende IT-System aufbewahrt.</w:t>
      </w:r>
    </w:p>
    <w:p>
      <w:pPr>
        <w:pStyle w:val="Heading3"/>
        <w:ind w:hanging="0" w:left="0"/>
        <w:rPr>
          <w:shd w:fill="EEEEEE" w:val="clear"/>
        </w:rPr>
      </w:pPr>
      <w:bookmarkStart w:id="999" w:name="__RefHeading___abhaengigkeiten_124"/>
      <w:bookmarkStart w:id="1000" w:name="_Toc530662987"/>
      <w:bookmarkStart w:id="1001" w:name="abhaengigkeiten"/>
      <w:bookmarkStart w:id="1002" w:name="_Toc178761421"/>
      <w:bookmarkStart w:id="1003" w:name="_Toc187327161"/>
      <w:bookmarkStart w:id="1004" w:name="rl%252525252525252525252525252525252522s"/>
      <w:bookmarkStart w:id="1005" w:name="_Toc531165122"/>
      <w:bookmarkEnd w:id="999"/>
      <w:bookmarkEnd w:id="1004"/>
      <w:r>
        <w:rPr>
          <w:shd w:fill="EEEEEE" w:val="clear"/>
          <w:lang w:val="de-DE"/>
        </w:rPr>
        <w:t>Abhängigkeiten</w:t>
      </w:r>
      <w:bookmarkEnd w:id="1000"/>
      <w:bookmarkEnd w:id="1001"/>
      <w:bookmarkEnd w:id="1002"/>
      <w:bookmarkEnd w:id="1003"/>
      <w:bookmarkEnd w:id="1005"/>
    </w:p>
    <w:p>
      <w:pPr>
        <w:pStyle w:val="Normal"/>
        <w:rPr>
          <w:shd w:fill="EEEEEE" w:val="clear"/>
        </w:rPr>
      </w:pPr>
      <w:r>
        <w:rPr>
          <w:shd w:fill="EEEEEE" w:val="clear"/>
        </w:rPr>
        <w:t>Es MÜSSEN die Abhängigkeiten der wichtigen IT-Systeme untereinander dokumentiert werden.</w:t>
      </w:r>
    </w:p>
    <w:p>
      <w:pPr>
        <w:pStyle w:val="Normal"/>
        <w:rPr>
          <w:shd w:fill="EEEEEE" w:val="clear"/>
        </w:rPr>
      </w:pPr>
      <w:r>
        <w:rPr>
          <w:i/>
          <w:shd w:fill="EEEEEE" w:val="clear"/>
        </w:rPr>
        <w:t>Darüber hinaus SOLLTEN die Abhängigkeiten der wichtigen IT-Systeme von sämtlichen wichtigenn IT-Ressourcen dokumentiert und dabei die Notwendigkeit weiterer Wiederanlaufpläne geprüft werden.</w:t>
      </w:r>
    </w:p>
    <w:p>
      <w:pPr>
        <w:pStyle w:val="Normal"/>
        <w:rPr>
          <w:shd w:fill="EEEEEE" w:val="clear"/>
        </w:rPr>
      </w:pPr>
      <w:r>
        <w:rPr>
          <w:shd w:fill="EEEEEE" w:val="clear"/>
        </w:rPr>
        <w:t>Die Dokumentation MUSS folgende Anforderungen erfüllen:</w:t>
      </w:r>
    </w:p>
    <w:p>
      <w:pPr>
        <w:pStyle w:val="Liste1"/>
        <w:numPr>
          <w:ilvl w:val="0"/>
          <w:numId w:val="458"/>
        </w:numPr>
        <w:spacing w:lineRule="auto" w:line="250"/>
        <w:rPr>
          <w:shd w:fill="EEEEEE" w:val="clear"/>
        </w:rPr>
      </w:pPr>
      <w:r>
        <w:rPr>
          <w:shd w:fill="EEEEEE" w:val="clear"/>
        </w:rPr>
        <w:t>Aus ihr geht eindeutig hervor, in welcher Reihenfolge die wichtigen IT-Systeme wiederhergestellt werden müssen.</w:t>
      </w:r>
    </w:p>
    <w:p>
      <w:pPr>
        <w:pStyle w:val="Liste1"/>
        <w:numPr>
          <w:ilvl w:val="0"/>
          <w:numId w:val="459"/>
        </w:numPr>
        <w:spacing w:lineRule="auto" w:line="250"/>
        <w:rPr>
          <w:shd w:fill="EEEEEE" w:val="clear"/>
        </w:rPr>
      </w:pPr>
      <w:r>
        <w:rPr>
          <w:shd w:fill="EEEEEE" w:val="clear"/>
        </w:rPr>
        <w:t>Sie ist verständlich und übersichtlich strukturiert.</w:t>
      </w:r>
    </w:p>
    <w:p>
      <w:pPr>
        <w:pStyle w:val="Liste1"/>
        <w:numPr>
          <w:ilvl w:val="0"/>
          <w:numId w:val="460"/>
        </w:numPr>
        <w:spacing w:lineRule="auto" w:line="250"/>
        <w:rPr>
          <w:shd w:fill="EEEEEE" w:val="clear"/>
        </w:rPr>
      </w:pPr>
      <w:r>
        <w:rPr>
          <w:shd w:fill="EEEEEE" w:val="clear"/>
        </w:rPr>
        <w:t>Sie ist im Bedarfsfall schnell verfügbar.</w:t>
      </w:r>
    </w:p>
    <w:p>
      <w:pPr>
        <w:pStyle w:val="Liste1"/>
        <w:numPr>
          <w:ilvl w:val="0"/>
          <w:numId w:val="461"/>
        </w:numPr>
        <w:spacing w:lineRule="auto" w:line="250"/>
        <w:rPr>
          <w:shd w:fill="EEEEEE" w:val="clear"/>
        </w:rPr>
      </w:pPr>
      <w:r>
        <w:rPr>
          <w:shd w:fill="EEEEEE" w:val="clear"/>
          <w:lang w:val="de-DE"/>
        </w:rPr>
        <w:t>Sie wird in einem anderen Brandabschnitt als das betreffende IT-System aufbewahrt.</w:t>
      </w:r>
    </w:p>
    <w:p>
      <w:pPr>
        <w:pStyle w:val="Heading2"/>
        <w:ind w:hanging="0" w:left="0"/>
        <w:rPr/>
      </w:pPr>
      <w:bookmarkStart w:id="1006" w:name="__RefHeading___Toc32116_2021121348_Copy_"/>
      <w:bookmarkEnd w:id="1006"/>
      <w:r>
        <w:rPr/>
        <w:t>Krisenmanagement</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5" name="0 Copy 1 Copy 1 Copy 1 Copy 1 Copy 1 Copy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 Copy 1 Copy 1 Copy 1 Copy 1 Copy 1 Copy 2" descr=""/>
                          <pic:cNvPicPr>
                            <a:picLocks noChangeAspect="1" noChangeArrowheads="1"/>
                          </pic:cNvPicPr>
                        </pic:nvPicPr>
                        <pic:blipFill>
                          <a:blip r:embed="rId9"/>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r>
            <w:r>
              <w:rPr/>
              <w:t>3. (...) Krisenmanagement,</w:t>
            </w:r>
          </w:p>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t>(</w:t>
            </w:r>
            <w:r>
              <w:rPr>
                <w:rFonts w:eastAsia="Arial" w:cs="DejaVu Sans"/>
                <w:color w:val="auto"/>
                <w:kern w:val="0"/>
                <w:sz w:val="20"/>
                <w:szCs w:val="22"/>
                <w:lang w:val="de-DE" w:eastAsia="en-US" w:bidi="ar-SA"/>
              </w:rPr>
              <w:t>…</w:t>
            </w:r>
            <w:r>
              <w:rPr/>
              <w:t>)</w:t>
            </w:r>
          </w:p>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t>10. (</w:t>
            </w:r>
            <w:r>
              <w:rPr>
                <w:rFonts w:eastAsia="Arial" w:cs="DejaVu Sans"/>
                <w:color w:val="auto"/>
                <w:kern w:val="0"/>
                <w:sz w:val="20"/>
                <w:szCs w:val="22"/>
                <w:lang w:val="de-DE" w:eastAsia="en-US" w:bidi="ar-SA"/>
              </w:rPr>
              <w:t>…</w:t>
            </w:r>
            <w:r>
              <w:rPr/>
              <w:t>) gesicherte Sprach-, Video- und Textkommunikation sowie gegebenenfalls gesicherte Notfallkommunikationssysteme innerhalb der Einrichtung.</w:t>
            </w:r>
          </w:p>
        </w:tc>
      </w:tr>
    </w:tbl>
    <w:p>
      <w:pPr>
        <w:pStyle w:val="Normal"/>
        <w:rPr/>
      </w:pPr>
      <w:r>
        <w:rPr/>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6" name="0 Copy 1 Copy 1 Copy 1 Copy 1 Copy 1 Copy 2 Copy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 Copy 1 Copy 1 Copy 1 Copy 1 Copy 1 Copy 2 Copy 2" descr=""/>
                          <pic:cNvPicPr>
                            <a:picLocks noChangeAspect="1" noChangeArrowheads="1"/>
                          </pic:cNvPicPr>
                        </pic:nvPicPr>
                        <pic:blipFill>
                          <a:blip r:embed="rId10"/>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ind w:hanging="0" w:left="0"/>
              <w:rPr/>
            </w:pPr>
            <w:r>
              <w:rPr/>
              <w:t xml:space="preserve">Das BSI definiert den Begriff Krise wie folgt (siehe </w:t>
            </w:r>
            <w:hyperlink r:id="rId11">
              <w:r>
                <w:rPr>
                  <w:rStyle w:val="Hyperlink"/>
                </w:rPr>
                <w:t>Online-Kurs Notfallmanagement Kapitel 1: Einführung 1.5 Definitionen</w:t>
              </w:r>
            </w:hyperlink>
            <w:r>
              <w:rPr/>
              <w:t>) :</w:t>
            </w:r>
          </w:p>
          <w:p>
            <w:pPr>
              <w:pStyle w:val="Normal"/>
              <w:numPr>
                <w:ilvl w:val="0"/>
                <w:numId w:val="29"/>
              </w:numPr>
              <w:ind w:hanging="0" w:left="0"/>
              <w:rPr/>
            </w:pPr>
            <w:r>
              <w:rPr/>
              <w:t>„</w:t>
            </w:r>
            <w:r>
              <w:rPr/>
              <w:t>Im Wesentlichen auf die Institution begrenzter verschärfter Notfall, der die Existenz der Institution bedroht oder die Gesundheit oder das Leben von Personen beeinträchtigt.“</w:t>
            </w:r>
          </w:p>
          <w:p>
            <w:pPr>
              <w:pStyle w:val="Normal"/>
              <w:numPr>
                <w:ilvl w:val="0"/>
                <w:numId w:val="29"/>
              </w:numPr>
              <w:ind w:hanging="0" w:left="0"/>
              <w:rPr/>
            </w:pPr>
            <w:r>
              <w:rPr/>
              <w:t xml:space="preserve">Das </w:t>
            </w:r>
            <w:r>
              <w:rPr>
                <w:rFonts w:eastAsia="Arial"/>
                <w:sz w:val="20"/>
                <w:szCs w:val="22"/>
                <w:lang w:eastAsia="en-US"/>
              </w:rPr>
              <w:t>Bundesamt für Bevölkerungsschutz und Katastrophenhilfe definiert Krise wie folgt:</w:t>
            </w:r>
          </w:p>
          <w:p>
            <w:pPr>
              <w:pStyle w:val="Normal"/>
              <w:numPr>
                <w:ilvl w:val="0"/>
                <w:numId w:val="29"/>
              </w:numPr>
              <w:ind w:hanging="0" w:left="0"/>
              <w:rPr>
                <w:rFonts w:eastAsia="Arial"/>
                <w:sz w:val="20"/>
                <w:szCs w:val="22"/>
                <w:lang w:eastAsia="en-US"/>
              </w:rPr>
            </w:pPr>
            <w:r>
              <w:rPr>
                <w:rFonts w:eastAsia="Arial" w:cs="DejaVu Sans"/>
                <w:color w:val="auto"/>
                <w:kern w:val="0"/>
                <w:sz w:val="20"/>
                <w:szCs w:val="22"/>
                <w:lang w:val="de-DE" w:eastAsia="en-US" w:bidi="ar-SA"/>
              </w:rPr>
              <w:t>„</w:t>
            </w:r>
            <w:r>
              <w:rPr>
                <w:rFonts w:eastAsia="Arial" w:cs="DejaVu Sans"/>
                <w:color w:val="auto"/>
                <w:kern w:val="0"/>
                <w:sz w:val="20"/>
                <w:szCs w:val="22"/>
                <w:lang w:val="de-DE" w:eastAsia="en-US" w:bidi="ar-SA"/>
              </w:rPr>
              <w:t>Vom Normalzustand abweichende Situation mit dem Potenzial für oder mit bereits eingetretenen → Schäden an → Schutzgütern, die mit der normalen Aufbau- und Ablauforganisation nicht mehr bewältigt werden kann so dass eine → Besondere Aufbauorganisation (BAO) erforderlich ist.“</w:t>
            </w:r>
          </w:p>
          <w:p>
            <w:pPr>
              <w:pStyle w:val="Normal"/>
              <w:numPr>
                <w:ilvl w:val="0"/>
                <w:numId w:val="29"/>
              </w:numPr>
              <w:ind w:hanging="0" w:left="0"/>
              <w:rPr/>
            </w:pPr>
            <w:r>
              <w:rPr/>
              <w:t>Zum Krisenmanagement gehören u.a. folgende Punkte:</w:t>
            </w:r>
          </w:p>
          <w:p>
            <w:pPr>
              <w:pStyle w:val="Normal"/>
              <w:numPr>
                <w:ilvl w:val="0"/>
                <w:numId w:val="29"/>
              </w:numPr>
              <w:ind w:hanging="0" w:left="0"/>
              <w:rPr/>
            </w:pPr>
            <w:r>
              <w:rPr/>
              <w:t>Die Organisation muss untersuchen, durch welche Sicherheitsvorfälle in der Informationsverarbeitung eine Krise ausgelöst werden kann.</w:t>
            </w:r>
          </w:p>
          <w:p>
            <w:pPr>
              <w:pStyle w:val="Normal"/>
              <w:numPr>
                <w:ilvl w:val="0"/>
                <w:numId w:val="29"/>
              </w:numPr>
              <w:ind w:hanging="0" w:left="0"/>
              <w:rPr/>
            </w:pPr>
            <w:r>
              <w:rPr/>
              <w:t>Die Organisation muss sich auf die Bewältigung von derartigen Krisen vorbereiten.</w:t>
            </w:r>
          </w:p>
          <w:p>
            <w:pPr>
              <w:pStyle w:val="Normal"/>
              <w:numPr>
                <w:ilvl w:val="0"/>
                <w:numId w:val="29"/>
              </w:numPr>
              <w:ind w:hanging="0" w:left="0"/>
              <w:rPr/>
            </w:pPr>
            <w:r>
              <w:rPr/>
              <w:t>Dies sollte im Rahmen einer umfassenden BCM-Strategie geschehen.</w:t>
            </w:r>
          </w:p>
          <w:p>
            <w:pPr>
              <w:pStyle w:val="Normal"/>
              <w:numPr>
                <w:ilvl w:val="0"/>
                <w:numId w:val="29"/>
              </w:numPr>
              <w:ind w:hanging="0" w:left="0"/>
              <w:rPr/>
            </w:pPr>
            <w:r>
              <w:rPr/>
              <w:t>Verfahren: generelle Vorgehensweise zur Krisenbewältigung.</w:t>
            </w:r>
          </w:p>
          <w:p>
            <w:pPr>
              <w:pStyle w:val="Normal"/>
              <w:numPr>
                <w:ilvl w:val="0"/>
                <w:numId w:val="29"/>
              </w:numPr>
              <w:ind w:hanging="0" w:left="0"/>
              <w:rPr/>
            </w:pPr>
            <w:r>
              <w:rPr/>
              <w:t>Ggf. Konkrete Vorgehensweisen für die wahrscheinlichsten Krisenszenarien (Verfahren).</w:t>
            </w:r>
          </w:p>
          <w:p>
            <w:pPr>
              <w:pStyle w:val="Normal"/>
              <w:numPr>
                <w:ilvl w:val="0"/>
                <w:numId w:val="29"/>
              </w:numPr>
              <w:ind w:hanging="0" w:left="0"/>
              <w:rPr/>
            </w:pPr>
            <w:r>
              <w:rPr/>
              <w:t>Krisenmanagementplan mitsamt klarer Rollen und Verantwortlichkeiten</w:t>
            </w:r>
          </w:p>
          <w:p>
            <w:pPr>
              <w:pStyle w:val="Normal"/>
              <w:numPr>
                <w:ilvl w:val="0"/>
                <w:numId w:val="29"/>
              </w:numPr>
              <w:spacing w:before="0" w:after="120"/>
              <w:ind w:hanging="0" w:left="0"/>
              <w:rPr/>
            </w:pPr>
            <w:r>
              <w:rPr/>
              <w:t>Schaffung organisatorischer, personeller, sachlicher und infrastruktureller Voraussetzungen, um im Ernstfall strukturiert und handlungsfähig zu bleiben.</w:t>
            </w:r>
          </w:p>
        </w:tc>
      </w:tr>
    </w:tbl>
    <w:p>
      <w:pPr>
        <w:pStyle w:val="Heading3"/>
        <w:ind w:hanging="0" w:left="0"/>
        <w:rPr/>
      </w:pPr>
      <w:bookmarkStart w:id="1007" w:name="__RefHeading___Toc7665_3136084842"/>
      <w:bookmarkEnd w:id="1007"/>
      <w:r>
        <w:rPr/>
        <w:t>Analyse</w:t>
      </w:r>
    </w:p>
    <w:p>
      <w:pPr>
        <w:pStyle w:val="Normal"/>
        <w:rPr/>
      </w:pPr>
      <w:r>
        <w:rPr/>
        <w:t>Die Organisation MUSS mithilfe einer Risikoidentifizierung (siehe Anhang A.2) ermitteln, welche Sicherheitsvorfälle in der Informationsverarbeitung eine Krise auslösen können und wie sich diese voraussichtlich entwickeln werden.</w:t>
      </w:r>
    </w:p>
    <w:p>
      <w:pPr>
        <w:pStyle w:val="Normal"/>
        <w:rPr/>
      </w:pPr>
      <w:commentRangeStart w:id="36"/>
      <w:r>
        <w:rPr/>
        <w:t>Für die wahrscheinlichsten Krisenszenarien MÜSSEN Vorbereitungen getroffen werden...</w:t>
      </w:r>
      <w:commentRangeEnd w:id="36"/>
      <w:r>
        <w:commentReference w:id="36"/>
      </w:r>
      <w:r>
        <w:rPr/>
      </w:r>
    </w:p>
    <w:p>
      <w:pPr>
        <w:pStyle w:val="Heading3"/>
        <w:ind w:hanging="0" w:left="0"/>
        <w:rPr/>
      </w:pPr>
      <w:bookmarkStart w:id="1008" w:name="__RefHeading___Toc7667_3136084842"/>
      <w:bookmarkEnd w:id="1008"/>
      <w:r>
        <w:rPr/>
        <w:t>Krisenstab</w:t>
      </w:r>
    </w:p>
    <w:p>
      <w:pPr>
        <w:pStyle w:val="Normal"/>
        <w:rPr/>
      </w:pPr>
      <w:r>
        <w:rPr>
          <w:rFonts w:eastAsia="Arial" w:cs="DejaVu Sans"/>
          <w:color w:val="auto"/>
          <w:kern w:val="0"/>
          <w:sz w:val="20"/>
          <w:szCs w:val="22"/>
          <w:lang w:val="de-DE" w:eastAsia="en-US" w:bidi="ar-SA"/>
        </w:rPr>
        <w:t>→</w:t>
      </w:r>
      <w:r>
        <w:rPr/>
        <w:t xml:space="preserve"> </w:t>
      </w:r>
      <w:r>
        <w:rPr/>
        <w:t>In Analogie zum IST sollte ein Krisenstab berufen werden.</w:t>
      </w:r>
    </w:p>
    <w:p>
      <w:pPr>
        <w:pStyle w:val="Normal"/>
        <w:rPr/>
      </w:pPr>
      <w:r>
        <w:rPr>
          <w:rFonts w:eastAsia="Arial" w:cs="DejaVu Sans"/>
          <w:color w:val="auto"/>
          <w:kern w:val="0"/>
          <w:sz w:val="20"/>
          <w:szCs w:val="22"/>
          <w:lang w:val="de-DE" w:eastAsia="en-US" w:bidi="ar-SA"/>
        </w:rPr>
        <w:t>→</w:t>
      </w:r>
      <w:r>
        <w:rPr/>
        <w:t xml:space="preserve"> </w:t>
      </w:r>
      <w:r>
        <w:rPr/>
        <w:t>Er muss klare Kompetenzen erhalten (welche Ressourcen dürfen genutzt werden, über welche Ressourcen darf verfügt werden)</w:t>
      </w:r>
    </w:p>
    <w:p>
      <w:pPr>
        <w:pStyle w:val="Heading3"/>
        <w:ind w:hanging="0" w:left="0"/>
        <w:rPr/>
      </w:pPr>
      <w:bookmarkStart w:id="1009" w:name="__RefHeading___Toc29771_3572532615"/>
      <w:bookmarkEnd w:id="1009"/>
      <w:r>
        <w:rPr/>
        <w:t>Krisenkommunikation</w:t>
      </w:r>
    </w:p>
    <w:p>
      <w:pPr>
        <w:pStyle w:val="Normal"/>
        <w:rPr/>
      </w:pPr>
      <w:r>
        <w:rPr>
          <w:shd w:fill="auto" w:val="clear"/>
        </w:rPr>
        <w:t>Es MUSS ein Verfahren (siehe</w:t>
      </w:r>
      <w:r>
        <w:rPr>
          <w:spacing w:val="-2"/>
          <w:shd w:fill="auto" w:val="clear"/>
        </w:rPr>
        <w:t xml:space="preserve"> Anhang</w:t>
      </w:r>
      <w:r>
        <w:rPr>
          <w:shd w:fill="auto" w:val="clear"/>
        </w:rPr>
        <w:t xml:space="preserve"> </w:t>
      </w:r>
      <w:r>
        <w:rPr>
          <w:rStyle w:val="Hyperlink"/>
          <w:color w:themeColor="hyperlink" w:val="000000"/>
          <w:u w:val="none"/>
          <w:shd w:fill="auto" w:val="clear"/>
        </w:rPr>
        <w:fldChar w:fldCharType="begin"/>
      </w:r>
      <w:r>
        <w:rPr>
          <w:rStyle w:val="Hyperlink"/>
          <w:u w:val="none"/>
          <w:shd w:fill="auto" w:val="clear"/>
          <w:color w:themeColor="hyperlink" w:val="000000"/>
        </w:rPr>
        <w:instrText xml:space="preserve"> REF _Ref178762140 \n \n \h </w:instrText>
      </w:r>
      <w:r>
        <w:rPr>
          <w:rStyle w:val="Hyperlink"/>
          <w:u w:val="none"/>
          <w:shd w:fill="auto" w:val="clear"/>
          <w:color w:themeColor="hyperlink" w:val="000000"/>
        </w:rPr>
        <w:fldChar w:fldCharType="separate"/>
      </w:r>
      <w:r>
        <w:rPr>
          <w:rStyle w:val="Hyperlink"/>
          <w:u w:val="none"/>
          <w:shd w:fill="auto" w:val="clear"/>
          <w:color w:themeColor="hyperlink" w:val="000000"/>
        </w:rPr>
        <w:t>A.1</w:t>
      </w:r>
      <w:r>
        <w:rPr>
          <w:rStyle w:val="Hyperlink"/>
          <w:u w:val="none"/>
          <w:shd w:fill="auto" w:val="clear"/>
          <w:color w:themeColor="hyperlink" w:val="000000"/>
        </w:rPr>
        <w:fldChar w:fldCharType="end"/>
      </w:r>
      <w:r>
        <w:rPr>
          <w:shd w:fill="auto" w:val="clear"/>
        </w:rPr>
        <w:t>) implementiert werden, das definiert, wie im Falle einer Krise die relevanten Stellen der Organisation sowie ggf. relevante externe Stellen in geeigneter Weise miteinander kommunizieren können, um die notwendigen Maßnahmen zur Bewältigung der Krise  planen und umsetzen zu können.</w:t>
      </w:r>
    </w:p>
    <w:p>
      <w:pPr>
        <w:pStyle w:val="Normal"/>
        <w:rPr>
          <w:shd w:fill="auto" w:val="clear"/>
        </w:rPr>
      </w:pPr>
      <w:r>
        <w:rPr>
          <w:i w:val="false"/>
          <w:iCs w:val="false"/>
          <w:shd w:fill="auto" w:val="clear"/>
          <w:lang w:val="de-DE"/>
        </w:rPr>
        <w:t>Das Verfahren MUSS folgende Punkte sicherstellen:</w:t>
      </w:r>
    </w:p>
    <w:p>
      <w:pPr>
        <w:pStyle w:val="Liste1"/>
        <w:numPr>
          <w:ilvl w:val="0"/>
          <w:numId w:val="462"/>
        </w:numPr>
        <w:spacing w:lineRule="auto" w:line="250"/>
        <w:rPr>
          <w:shd w:fill="auto" w:val="clear"/>
        </w:rPr>
      </w:pPr>
      <w:r>
        <w:rPr>
          <w:shd w:fill="auto" w:val="clear"/>
        </w:rPr>
        <w:t xml:space="preserve">Es stehen Kommunikationskanäle zur Verfügung, die auch bei einer Störung oder einem Ausfall der IT-Infrastruktur </w:t>
      </w:r>
      <w:r>
        <w:rPr>
          <w:shd w:fill="auto" w:val="clear"/>
        </w:rPr>
        <w:t>zur Verfügung stehen</w:t>
      </w:r>
      <w:r>
        <w:rPr>
          <w:shd w:fill="auto" w:val="clear"/>
        </w:rPr>
        <w:t>.</w:t>
      </w:r>
    </w:p>
    <w:p>
      <w:pPr>
        <w:pStyle w:val="Liste1"/>
        <w:numPr>
          <w:ilvl w:val="0"/>
          <w:numId w:val="463"/>
        </w:numPr>
        <w:spacing w:lineRule="auto" w:line="250"/>
        <w:rPr>
          <w:shd w:fill="auto" w:val="clear"/>
        </w:rPr>
      </w:pPr>
      <w:r>
        <w:rPr>
          <w:shd w:fill="auto" w:val="clear"/>
        </w:rPr>
        <w:t>Die jeweils Verantwortlichen werden über relevante Entwicklungen zeitnah informiert.</w:t>
      </w:r>
    </w:p>
    <w:p>
      <w:pPr>
        <w:pStyle w:val="Heading1"/>
        <w:spacing w:before="0" w:after="240"/>
        <w:ind w:hanging="0" w:left="0"/>
        <w:rPr>
          <w:lang w:val="de-DE"/>
        </w:rPr>
      </w:pPr>
      <w:bookmarkStart w:id="1010" w:name="__RefHeading___Toc23186_2990485309"/>
      <w:bookmarkEnd w:id="1010"/>
      <w:commentRangeStart w:id="37"/>
      <w:r>
        <w:rPr>
          <w:lang w:val="de-DE"/>
        </w:rPr>
        <w:t>Überwachung und Steuerung</w:t>
      </w:r>
      <w:commentRangeEnd w:id="37"/>
      <w:r>
        <w:commentReference w:id="37"/>
      </w:r>
      <w:r>
        <w:rPr>
          <w:lang w:val="de-DE"/>
        </w:rPr>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7" name="0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 Copy 1 Copy 1 Copy 1 Copy 1 Copy 1" descr=""/>
                          <pic:cNvPicPr>
                            <a:picLocks noChangeAspect="1" noChangeArrowheads="1"/>
                          </pic:cNvPicPr>
                        </pic:nvPicPr>
                        <pic:blipFill>
                          <a:blip r:embed="rId12"/>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6. Konzepte und Verfahren zur Bewertung der Wirksamkeit von Risikomanagementmaßnahmen im Bereich der Sicherheit in der Informationstechnik</w:t>
            </w:r>
          </w:p>
        </w:tc>
      </w:tr>
    </w:tbl>
    <w:p>
      <w:pPr>
        <w:pStyle w:val="Normal"/>
        <w:rPr>
          <w:u w:val="none"/>
          <w:lang w:val="de-DE"/>
        </w:rPr>
      </w:pPr>
      <w:r>
        <w:rPr>
          <w:u w:val="none"/>
          <w:lang w:val="de-DE"/>
        </w:rPr>
        <w:t>Die Organisation MUSS nach einem implementieren Verfahren (siehe Anhang A.1) jährlich Kennzahlen erheben anhand derer sich ablesen lässt, ob die Ziele der Informationssicherheit erreicht wurden.</w:t>
      </w:r>
    </w:p>
    <w:p>
      <w:pPr>
        <w:pStyle w:val="Normal"/>
        <w:rPr>
          <w:i w:val="false"/>
          <w:i w:val="false"/>
          <w:iCs w:val="false"/>
          <w:u w:val="none"/>
          <w:lang w:val="de-DE"/>
        </w:rPr>
      </w:pPr>
      <w:r>
        <w:rPr>
          <w:i w:val="false"/>
          <w:iCs w:val="false"/>
          <w:u w:val="none"/>
          <w:lang w:val="de-DE"/>
        </w:rPr>
        <w:t>Die Kennzahlen MÜSSEN folgende Anforderungen erfüllen:</w:t>
      </w:r>
    </w:p>
    <w:p>
      <w:pPr>
        <w:pStyle w:val="Normal"/>
        <w:numPr>
          <w:ilvl w:val="0"/>
          <w:numId w:val="40"/>
        </w:numPr>
        <w:rPr>
          <w:i w:val="false"/>
          <w:i w:val="false"/>
          <w:iCs w:val="false"/>
          <w:u w:val="none"/>
          <w:lang w:val="de-DE"/>
        </w:rPr>
      </w:pPr>
      <w:r>
        <w:rPr>
          <w:i w:val="false"/>
          <w:iCs w:val="false"/>
          <w:u w:val="none"/>
          <w:lang w:val="de-DE"/>
        </w:rPr>
        <w:t>Sie basieren auf objektiv messbaren Fakten.</w:t>
      </w:r>
    </w:p>
    <w:p>
      <w:pPr>
        <w:pStyle w:val="Normal"/>
        <w:numPr>
          <w:ilvl w:val="0"/>
          <w:numId w:val="40"/>
        </w:numPr>
        <w:rPr>
          <w:i w:val="false"/>
          <w:i w:val="false"/>
          <w:iCs w:val="false"/>
          <w:u w:val="none"/>
          <w:lang w:val="de-DE"/>
        </w:rPr>
      </w:pPr>
      <w:r>
        <w:rPr>
          <w:i w:val="false"/>
          <w:iCs w:val="false"/>
          <w:u w:val="none"/>
          <w:lang w:val="de-DE"/>
        </w:rPr>
        <w:t>Sie zeigen einen Status oder die Entwicklung der Informationssicherheit über einen definierten Zeitraum.</w:t>
      </w:r>
    </w:p>
    <w:p>
      <w:pPr>
        <w:pStyle w:val="Normal"/>
        <w:rPr>
          <w:i/>
          <w:i/>
          <w:iCs/>
          <w:u w:val="none"/>
          <w:lang w:val="de-DE"/>
        </w:rPr>
      </w:pPr>
      <w:r>
        <w:rPr>
          <w:i/>
          <w:iCs/>
          <w:u w:val="none"/>
          <w:lang w:val="de-DE"/>
        </w:rPr>
        <w:t>Die Kennzahlen SOLLTEN möglichst einfach (z. B. automatisiert) erhoben werden.</w:t>
      </w:r>
    </w:p>
    <w:p>
      <w:pPr>
        <w:pStyle w:val="Normal"/>
        <w:rPr>
          <w:i w:val="false"/>
          <w:i w:val="false"/>
          <w:iCs w:val="false"/>
          <w:u w:val="none"/>
          <w:lang w:val="de-DE"/>
        </w:rPr>
      </w:pPr>
      <w:r>
        <w:rPr>
          <w:i w:val="false"/>
          <w:iCs w:val="false"/>
          <w:u w:val="none"/>
          <w:lang w:val="de-DE"/>
        </w:rPr>
        <w:t>Die Ergebnisse MÜSSEN im Zuge des jährlichen Berichts des ISB an das IST (siehe Abschnitt 4.4) vorgestellt werden.</w:t>
      </w:r>
    </w:p>
    <w:p>
      <w:pPr>
        <w:pStyle w:val="Normal"/>
        <w:rPr>
          <w:i/>
          <w:i/>
          <w:iCs/>
          <w:u w:val="none"/>
          <w:lang w:val="de-DE"/>
        </w:rPr>
      </w:pPr>
      <w:r>
        <w:rPr>
          <w:i/>
          <w:iCs/>
          <w:u w:val="none"/>
          <w:lang w:val="de-DE"/>
        </w:rPr>
        <w:t>Als Kennzahlen können z. B. dienen:</w:t>
      </w:r>
    </w:p>
    <w:p>
      <w:pPr>
        <w:pStyle w:val="Normal"/>
        <w:numPr>
          <w:ilvl w:val="0"/>
          <w:numId w:val="41"/>
        </w:numPr>
        <w:tabs>
          <w:tab w:val="clear" w:pos="720"/>
          <w:tab w:val="left" w:pos="0" w:leader="none"/>
        </w:tabs>
        <w:bidi w:val="0"/>
        <w:jc w:val="left"/>
        <w:rPr>
          <w:i/>
          <w:i/>
          <w:iCs/>
        </w:rPr>
      </w:pPr>
      <w:r>
        <w:rPr>
          <w:i/>
          <w:iCs/>
          <w:lang w:val="de-DE"/>
        </w:rPr>
        <w:t>Das Ergebnis von Auswertung der Logfiles wichtiger und/oder kritischer IT-Systeme.</w:t>
      </w:r>
    </w:p>
    <w:p>
      <w:pPr>
        <w:pStyle w:val="Normal"/>
        <w:numPr>
          <w:ilvl w:val="0"/>
          <w:numId w:val="41"/>
        </w:numPr>
        <w:tabs>
          <w:tab w:val="clear" w:pos="720"/>
          <w:tab w:val="left" w:pos="0" w:leader="none"/>
        </w:tabs>
        <w:bidi w:val="0"/>
        <w:jc w:val="left"/>
        <w:rPr>
          <w:i/>
          <w:i/>
          <w:iCs/>
        </w:rPr>
      </w:pPr>
      <w:r>
        <w:rPr>
          <w:i/>
          <w:iCs/>
          <w:lang w:val="de-DE"/>
        </w:rPr>
        <w:t>Das Ergebnis von Lernerfolgskontrollen von Schulungs- und Sensibilisierungsmaßnahmen.</w:t>
      </w:r>
    </w:p>
    <w:p>
      <w:pPr>
        <w:pStyle w:val="Normal"/>
        <w:numPr>
          <w:ilvl w:val="0"/>
          <w:numId w:val="41"/>
        </w:numPr>
        <w:tabs>
          <w:tab w:val="clear" w:pos="720"/>
          <w:tab w:val="left" w:pos="0" w:leader="none"/>
        </w:tabs>
        <w:bidi w:val="0"/>
        <w:jc w:val="left"/>
        <w:rPr>
          <w:i/>
          <w:i/>
          <w:iCs/>
        </w:rPr>
      </w:pPr>
      <w:r>
        <w:rPr>
          <w:i/>
          <w:iCs/>
          <w:lang w:val="de-DE"/>
        </w:rPr>
        <w:t>Anzahl und Schwere von erkannten Sicherheitsvorfällen.</w:t>
      </w:r>
    </w:p>
    <w:p>
      <w:pPr>
        <w:pStyle w:val="Normal"/>
        <w:numPr>
          <w:ilvl w:val="0"/>
          <w:numId w:val="41"/>
        </w:numPr>
        <w:tabs>
          <w:tab w:val="clear" w:pos="720"/>
          <w:tab w:val="left" w:pos="0" w:leader="none"/>
        </w:tabs>
        <w:bidi w:val="0"/>
        <w:jc w:val="left"/>
        <w:rPr>
          <w:i/>
          <w:i/>
          <w:iCs/>
          <w:lang w:val="de-DE"/>
        </w:rPr>
      </w:pPr>
      <w:r>
        <w:rPr>
          <w:i/>
          <w:iCs/>
          <w:lang w:val="de-DE"/>
        </w:rPr>
        <w:t>Anzahl der Zuständigkeitslücken oder Überschneidungen von Verantwortlichkeiten.</w:t>
      </w:r>
    </w:p>
    <w:p>
      <w:pPr>
        <w:pStyle w:val="Normal"/>
        <w:numPr>
          <w:ilvl w:val="0"/>
          <w:numId w:val="41"/>
        </w:numPr>
        <w:tabs>
          <w:tab w:val="clear" w:pos="720"/>
          <w:tab w:val="left" w:pos="0" w:leader="none"/>
        </w:tabs>
        <w:bidi w:val="0"/>
        <w:jc w:val="left"/>
        <w:rPr>
          <w:i/>
          <w:i/>
          <w:iCs/>
          <w:lang w:val="de-DE"/>
        </w:rPr>
      </w:pPr>
      <w:r>
        <w:rPr>
          <w:i/>
          <w:iCs/>
          <w:lang w:val="de-DE"/>
        </w:rPr>
        <w:t>Die Anzahl mängelbehafteter Verfahren (siehe Anhang A.1).</w:t>
      </w:r>
    </w:p>
    <w:p>
      <w:pPr>
        <w:pStyle w:val="Normal"/>
        <w:numPr>
          <w:ilvl w:val="0"/>
          <w:numId w:val="41"/>
        </w:numPr>
        <w:tabs>
          <w:tab w:val="clear" w:pos="720"/>
          <w:tab w:val="left" w:pos="0" w:leader="none"/>
        </w:tabs>
        <w:bidi w:val="0"/>
        <w:jc w:val="left"/>
        <w:rPr>
          <w:i/>
          <w:i/>
          <w:iCs/>
          <w:lang w:val="de-DE"/>
        </w:rPr>
      </w:pPr>
      <w:r>
        <w:rPr>
          <w:i/>
          <w:iCs/>
          <w:lang w:val="de-DE"/>
        </w:rPr>
        <w:t>Ergebnisse der Überprüfung zentraler technischer Sicherheitsmaßnahmen.</w:t>
      </w:r>
    </w:p>
    <w:p>
      <w:pPr>
        <w:pStyle w:val="Normal"/>
        <w:numPr>
          <w:ilvl w:val="0"/>
          <w:numId w:val="41"/>
        </w:numPr>
        <w:tabs>
          <w:tab w:val="clear" w:pos="720"/>
          <w:tab w:val="left" w:pos="0" w:leader="none"/>
        </w:tabs>
        <w:bidi w:val="0"/>
        <w:jc w:val="left"/>
        <w:rPr>
          <w:i/>
          <w:i/>
          <w:iCs/>
          <w:lang w:val="de-DE"/>
        </w:rPr>
      </w:pPr>
      <w:r>
        <w:rPr>
          <w:i/>
          <w:iCs/>
          <w:lang w:val="de-DE"/>
        </w:rPr>
        <w:t>Ergebnisse von Auditierungen durch Dritte.</w:t>
      </w:r>
    </w:p>
    <w:p>
      <w:pPr>
        <w:pStyle w:val="Normal"/>
        <w:tabs>
          <w:tab w:val="clear" w:pos="720"/>
          <w:tab w:val="left" w:pos="0" w:leader="none"/>
        </w:tabs>
        <w:bidi w:val="0"/>
        <w:jc w:val="left"/>
        <w:rPr>
          <w:i w:val="false"/>
          <w:i w:val="false"/>
          <w:iCs w:val="false"/>
          <w:lang w:val="de-DE"/>
        </w:rPr>
      </w:pPr>
      <w:r>
        <w:rPr>
          <w:i w:val="false"/>
          <w:iCs w:val="false"/>
          <w:lang w:val="de-DE"/>
        </w:rPr>
        <w:t>Wenn anhand der Kennzahlen Mängel erkannt werden, MÜSSEN die dadurch entstehenden Risiken identifiziert, analysiert und behandelt werden (siehe Anhang A.2).</w:t>
      </w:r>
    </w:p>
    <w:p>
      <w:pPr>
        <w:pStyle w:val="Heading1"/>
        <w:spacing w:before="0" w:after="240"/>
        <w:ind w:hanging="0" w:left="0"/>
        <w:rPr>
          <w:lang w:val="de-DE"/>
        </w:rPr>
      </w:pPr>
      <w:bookmarkStart w:id="1011" w:name="__RefHeading___Toc23186_2990485309_Copy_"/>
      <w:bookmarkEnd w:id="1011"/>
      <w:r>
        <w:rPr/>
        <w:t>Kryptografie</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8" name="0 Copy 1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 Copy 1 Copy 1 Copy 1 Copy 1 Copy 1 Copy 1" descr=""/>
                          <pic:cNvPicPr>
                            <a:picLocks noChangeAspect="1" noChangeArrowheads="1"/>
                          </pic:cNvPicPr>
                        </pic:nvPicPr>
                        <pic:blipFill>
                          <a:blip r:embed="rId13"/>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8. Konzepte und Prozesse für den Einsatz von kryptographischen Verfahren,</w:t>
            </w:r>
          </w:p>
        </w:tc>
      </w:tr>
    </w:tbl>
    <w:p>
      <w:pPr>
        <w:pStyle w:val="Normal"/>
        <w:numPr>
          <w:ilvl w:val="0"/>
          <w:numId w:val="29"/>
        </w:numPr>
        <w:ind w:hanging="0" w:left="0"/>
        <w:rPr/>
      </w:pPr>
      <w:r>
        <w:rPr/>
      </w:r>
    </w:p>
    <w:tbl>
      <w:tblPr>
        <w:tblW w:w="4150" w:type="pct"/>
        <w:jc w:val="center"/>
        <w:tblInd w:w="0" w:type="dxa"/>
        <w:tblLayout w:type="fixed"/>
        <w:tblCellMar>
          <w:top w:w="0" w:type="dxa"/>
          <w:left w:w="2" w:type="dxa"/>
          <w:bottom w:w="0" w:type="dxa"/>
          <w:right w:w="0" w:type="dxa"/>
        </w:tblCellMar>
      </w:tblPr>
      <w:tblGrid>
        <w:gridCol w:w="746"/>
        <w:gridCol w:w="6783"/>
      </w:tblGrid>
      <w:tr>
        <w:trPr/>
        <w:tc>
          <w:tcPr>
            <w:tcW w:w="746"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9" name="0 Copy 1 Copy 1 Copy 1 Copy 1 Copy 2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0 Copy 1 Copy 1 Copy 1 Copy 1 Copy 2 Copy 1 Copy 1 Copy 1 Copy 1" descr=""/>
                          <pic:cNvPicPr>
                            <a:picLocks noChangeAspect="1" noChangeArrowheads="1"/>
                          </pic:cNvPicPr>
                        </pic:nvPicPr>
                        <pic:blipFill>
                          <a:blip r:embed="rId14"/>
                          <a:stretch>
                            <a:fillRect/>
                          </a:stretch>
                        </pic:blipFill>
                        <pic:spPr bwMode="auto">
                          <a:xfrm>
                            <a:off x="0" y="0"/>
                            <a:ext cx="457200" cy="457200"/>
                          </a:xfrm>
                          <a:prstGeom prst="rect">
                            <a:avLst/>
                          </a:prstGeom>
                          <a:noFill/>
                        </pic:spPr>
                      </pic:pic>
                    </a:graphicData>
                  </a:graphic>
                </wp:inline>
              </w:drawing>
            </w:r>
          </w:p>
        </w:tc>
        <w:tc>
          <w:tcPr>
            <w:tcW w:w="6783" w:type="dxa"/>
            <w:tcBorders>
              <w:top w:val="single" w:sz="2" w:space="0" w:color="000000"/>
              <w:bottom w:val="single" w:sz="2" w:space="0" w:color="000000"/>
              <w:right w:val="single" w:sz="2" w:space="0" w:color="000000"/>
            </w:tcBorders>
            <w:shd w:fill="FFFF00" w:val="clear"/>
          </w:tcPr>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In der VdS 10100 / VdS 10000 sind bereits verschiedene Mechanismen für den Einsatz von Kryptografie enthalten:</w:t>
            </w:r>
          </w:p>
          <w:p>
            <w:pPr>
              <w:pStyle w:val="BodyText"/>
              <w:tabs>
                <w:tab w:val="clear" w:pos="720"/>
                <w:tab w:val="left" w:pos="0" w:leader="none"/>
              </w:tabs>
              <w:bidi w:val="0"/>
              <w:ind w:hanging="0" w:left="0"/>
              <w:jc w:val="left"/>
              <w:rPr>
                <w:u w:val="single"/>
                <w:lang w:val="de-DE"/>
              </w:rPr>
            </w:pPr>
            <w:r>
              <w:rPr>
                <w:u w:val="single"/>
                <w:lang w:val="de-DE"/>
              </w:rPr>
              <w:t>Die VdS 10k schreibt aktuell in folgenden Bereichen den Einsatz vor:</w:t>
            </w:r>
          </w:p>
          <w:p>
            <w:pPr>
              <w:pStyle w:val="BodyText"/>
              <w:tabs>
                <w:tab w:val="clear" w:pos="720"/>
                <w:tab w:val="left" w:pos="0" w:leader="none"/>
              </w:tabs>
              <w:bidi w:val="0"/>
              <w:ind w:hanging="0" w:left="0"/>
              <w:jc w:val="left"/>
              <w:rPr>
                <w:lang w:val="de-DE"/>
              </w:rPr>
            </w:pPr>
            <w:r>
              <w:rPr>
                <w:lang w:val="de-DE"/>
              </w:rPr>
            </w:r>
          </w:p>
          <w:p>
            <w:pPr>
              <w:pStyle w:val="Normal"/>
              <w:rPr>
                <w:b/>
                <w:bCs/>
              </w:rPr>
            </w:pPr>
            <w:r>
              <w:rPr>
                <w:b/>
                <w:bCs/>
              </w:rPr>
              <w:t>10 IT-Systeme → 10.5 Zusätzliche Maßnahmen für mobile IT-Systeme → 10.5.3 Schutz der Informationen</w:t>
            </w:r>
          </w:p>
          <w:p>
            <w:pPr>
              <w:pStyle w:val="Normal"/>
              <w:rPr/>
            </w:pPr>
            <w:r>
              <w:rPr/>
              <w:t>„</w:t>
            </w:r>
            <w:r>
              <w:rPr/>
              <w:t>Es MUSS mit Hilfe einer Risikoanalyse und -behandlung (siehe Anhang A 2) festgelegt werden, welche Informationen auf mobilen IT-Systemen durch kryptografische Maßnahmen vor dem Verlust ihrer</w:t>
            </w:r>
          </w:p>
          <w:p>
            <w:pPr>
              <w:pStyle w:val="Normal"/>
              <w:rPr/>
            </w:pPr>
            <w:r>
              <w:rPr/>
              <w:t>Vertraulichkeit und Integrität geschützt werden.“</w:t>
            </w:r>
          </w:p>
          <w:p>
            <w:pPr>
              <w:pStyle w:val="Normal"/>
              <w:rPr>
                <w:b/>
                <w:bCs/>
              </w:rPr>
            </w:pPr>
            <w:r>
              <w:rPr>
                <w:b/>
                <w:bCs/>
              </w:rPr>
              <w:t>10 IT-Systeme → 10.7 Zusätzliche Maßnahmen für kritische IT-Systeme → 10.7.4 Kryptografie</w:t>
            </w:r>
          </w:p>
          <w:p>
            <w:pPr>
              <w:pStyle w:val="Normal"/>
              <w:rPr>
                <w:b w:val="false"/>
                <w:bCs w:val="false"/>
              </w:rPr>
            </w:pPr>
            <w:r>
              <w:rPr>
                <w:b w:val="false"/>
                <w:bCs w:val="false"/>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pStyle w:val="Normal"/>
              <w:rPr>
                <w:b w:val="false"/>
                <w:bCs w:val="false"/>
              </w:rPr>
            </w:pPr>
            <w:r>
              <w:rPr>
                <w:b w:val="false"/>
                <w:bCs w:val="false"/>
              </w:rPr>
              <w:t>Die dabei eingesetzten kryptografischen Maßnahmen MÜSSEN auf anerkannt sicheren technischen Verfahren basieren, wie sie z. B. in BSI TR-02102-1 aufgeführt sind.</w:t>
            </w:r>
          </w:p>
          <w:p>
            <w:pPr>
              <w:pStyle w:val="Normal"/>
              <w:rPr>
                <w:b/>
                <w:bCs/>
              </w:rPr>
            </w:pPr>
            <w:r>
              <w:rPr>
                <w:b/>
                <w:bCs/>
              </w:rPr>
              <w:t>11 Netzwerke → 11.5 Basisschutz → 11.5.4 Fernzugang</w:t>
            </w:r>
          </w:p>
          <w:p>
            <w:pPr>
              <w:pStyle w:val="Normal"/>
              <w:rPr>
                <w:b w:val="false"/>
                <w:bCs w:val="false"/>
              </w:rPr>
            </w:pPr>
            <w:r>
              <w:rPr>
                <w:b w:val="false"/>
                <w:bCs w:val="false"/>
              </w:rPr>
              <w:t>„</w:t>
            </w:r>
            <w:r>
              <w:rPr>
                <w:b w:val="false"/>
                <w:bCs w:val="false"/>
              </w:rPr>
              <w:t>Der Zugang zu nichtöffentlichen Bereichen von IT-Systemen über weniger oder nicht vertrauenswürdige Netzwerke MUSS abgesichert werden.</w:t>
            </w:r>
          </w:p>
          <w:p>
            <w:pPr>
              <w:pStyle w:val="Normal"/>
              <w:rPr>
                <w:b w:val="false"/>
                <w:bCs w:val="false"/>
              </w:rPr>
            </w:pPr>
            <w:r>
              <w:rPr>
                <w:b w:val="false"/>
                <w:bCs w:val="false"/>
              </w:rPr>
              <w:t>Dabei MÜSSEN folgende Anforderungen erfüllt werden:</w:t>
            </w:r>
          </w:p>
          <w:p>
            <w:pPr>
              <w:pStyle w:val="Normal"/>
              <w:rPr>
                <w:b w:val="false"/>
                <w:bCs w:val="false"/>
              </w:rPr>
            </w:pPr>
            <w:r>
              <w:rPr>
                <w:b w:val="false"/>
                <w:bCs w:val="false"/>
              </w:rPr>
              <w:t>1. Die Vertraulichkeit, Integrität und Authentizität der übertragenen Informationen wird geschützt.</w:t>
            </w:r>
          </w:p>
          <w:p>
            <w:pPr>
              <w:pStyle w:val="Normal"/>
              <w:rPr>
                <w:b w:val="false"/>
                <w:bCs w:val="false"/>
              </w:rPr>
            </w:pPr>
            <w:r>
              <w:rPr>
                <w:b w:val="false"/>
                <w:bCs w:val="false"/>
              </w:rPr>
              <w:t>Dies KANN durch den Einsatz von anerkannt sicheren kryptografischen Maßnahmen sichergestellt werden, wie sie z. B. in BSI TR-02102-1 verzeichnet sind.“</w:t>
            </w:r>
          </w:p>
          <w:p>
            <w:pPr>
              <w:pStyle w:val="Normal"/>
              <w:numPr>
                <w:ilvl w:val="0"/>
                <w:numId w:val="29"/>
              </w:numPr>
              <w:tabs>
                <w:tab w:val="clear" w:pos="720"/>
                <w:tab w:val="left" w:pos="0" w:leader="none"/>
              </w:tabs>
              <w:bidi w:val="0"/>
              <w:spacing w:before="0" w:after="120"/>
              <w:ind w:hanging="0" w:left="0"/>
              <w:jc w:val="left"/>
              <w:rPr>
                <w:lang w:val="de-DE"/>
              </w:rPr>
            </w:pPr>
            <w:r>
              <w:rPr>
                <w:lang w:val="de-DE"/>
              </w:rPr>
              <w:t xml:space="preserve">Unklar: Brauchen wir eine Richtlinie, um die Anforderung nach einem </w:t>
            </w:r>
            <w:r>
              <w:rPr>
                <w:rFonts w:eastAsia="Arial" w:cs="DejaVu Sans"/>
                <w:color w:val="auto"/>
                <w:kern w:val="0"/>
                <w:sz w:val="20"/>
                <w:szCs w:val="22"/>
                <w:lang w:val="de-DE" w:eastAsia="en-US" w:bidi="ar-SA"/>
              </w:rPr>
              <w:t>„Konzept“ zu erfüllen?</w:t>
            </w:r>
          </w:p>
        </w:tc>
      </w:tr>
    </w:tbl>
    <w:p>
      <w:pPr>
        <w:pStyle w:val="BodyText"/>
        <w:tabs>
          <w:tab w:val="clear" w:pos="720"/>
          <w:tab w:val="left" w:pos="0" w:leader="none"/>
        </w:tabs>
        <w:bidi w:val="0"/>
        <w:ind w:hanging="0" w:left="0"/>
        <w:jc w:val="left"/>
        <w:rPr>
          <w:lang w:val="de-DE"/>
        </w:rPr>
      </w:pPr>
      <w:r>
        <w:rPr>
          <w:lang w:val="de-DE"/>
        </w:rPr>
      </w:r>
    </w:p>
    <w:p>
      <w:pPr>
        <w:pStyle w:val="BodyText"/>
        <w:tabs>
          <w:tab w:val="clear" w:pos="720"/>
          <w:tab w:val="left" w:pos="0" w:leader="none"/>
        </w:tabs>
        <w:bidi w:val="0"/>
        <w:ind w:hanging="0" w:left="0"/>
        <w:jc w:val="left"/>
        <w:rPr>
          <w:lang w:val="de-DE"/>
        </w:rPr>
      </w:pPr>
      <w:r>
        <w:rPr>
          <w:lang w:val="de-DE"/>
        </w:rPr>
        <w:t>ToDo:</w:t>
      </w:r>
    </w:p>
    <w:p>
      <w:pPr>
        <w:pStyle w:val="Normal"/>
        <w:numPr>
          <w:ilvl w:val="0"/>
          <w:numId w:val="34"/>
        </w:numPr>
        <w:rPr/>
      </w:pPr>
      <w:r>
        <w:rPr/>
        <w:t>Richtlinie zum Einsatz von Kryptografie und Verfahren</w:t>
      </w:r>
    </w:p>
    <w:p>
      <w:pPr>
        <w:pStyle w:val="Normal"/>
        <w:numPr>
          <w:ilvl w:val="0"/>
          <w:numId w:val="34"/>
        </w:numPr>
        <w:rPr/>
      </w:pPr>
      <w:r>
        <w:rPr/>
        <w:t>Kritische Informationen sowohl im Ruhezustand als auch bei der Übertragung kryptografisch schützen.</w:t>
      </w:r>
    </w:p>
    <w:p>
      <w:pPr>
        <w:pStyle w:val="Normal"/>
        <w:numPr>
          <w:ilvl w:val="0"/>
          <w:numId w:val="34"/>
        </w:numPr>
        <w:rPr>
          <w:lang w:val="de-DE"/>
        </w:rPr>
      </w:pPr>
      <w:r>
        <w:rPr/>
        <w:t>Datensicherung: kryptografisches Material berücksichtigen (Speicherorte)</w:t>
      </w:r>
    </w:p>
    <w:p>
      <w:pPr>
        <w:pStyle w:val="Normal"/>
        <w:rPr>
          <w:lang w:val="de-DE"/>
        </w:rPr>
      </w:pPr>
      <w:r>
        <w:rPr/>
        <w:t>Für wichtige IT-Systeme und Verbindungen:</w:t>
      </w:r>
    </w:p>
    <w:p>
      <w:pPr>
        <w:pStyle w:val="Normal"/>
        <w:rPr>
          <w:u w:val="single"/>
          <w:lang w:val="de-DE"/>
        </w:rPr>
      </w:pPr>
      <w:r>
        <w:rPr>
          <w:u w:val="single"/>
          <w:lang w:val="de-DE"/>
        </w:rPr>
        <w:t xml:space="preserve">Basisschutz: </w:t>
      </w:r>
    </w:p>
    <w:p>
      <w:pPr>
        <w:pStyle w:val="Normal"/>
        <w:rPr>
          <w:lang w:val="de-DE"/>
        </w:rPr>
      </w:pPr>
      <w:r>
        <w:rPr>
          <w:lang w:val="de-DE"/>
        </w:rPr>
        <w:t>Informationen, die von und zu wichtigen IT-Systemen übertragen werden, MÜSSEN vor dem Verlust ihrer Vertraulichkeit, Integrität und Authentizität geschützt werden.</w:t>
      </w:r>
    </w:p>
    <w:p>
      <w:pPr>
        <w:pStyle w:val="Normal"/>
        <w:rPr>
          <w:lang w:val="de-DE"/>
        </w:rPr>
      </w:pPr>
      <w:r>
        <w:rPr>
          <w:lang w:val="de-DE"/>
        </w:rPr>
        <w:t>Dies KANN durch den Einsatz von kryptografischen Verfahren umgesetzt werden.</w:t>
      </w:r>
    </w:p>
    <w:p>
      <w:pPr>
        <w:pStyle w:val="Normal"/>
        <w:numPr>
          <w:ilvl w:val="0"/>
          <w:numId w:val="35"/>
        </w:numPr>
        <w:rPr/>
      </w:pPr>
      <w:r>
        <w:rPr/>
        <w:t>Kryptografische Verfahren (SSL/TLS, VPN, SSH, S/MIME, ...).</w:t>
        <w:br/>
        <w:t xml:space="preserve">Kann ggf. in Kapitel 10 (und Kapitel 11) integriert werden, da </w:t>
      </w:r>
    </w:p>
    <w:p>
      <w:pPr>
        <w:pStyle w:val="Normal"/>
        <w:numPr>
          <w:ilvl w:val="0"/>
          <w:numId w:val="35"/>
        </w:numPr>
        <w:rPr/>
      </w:pPr>
      <w:r>
        <w:rPr/>
        <w:t>Für jedes kryptografisches Verfahren muss regelmäßig geprüft werden, ob die eingesetzten kryptografischen Verfahren noch als sicher gelten.</w:t>
      </w:r>
    </w:p>
    <w:p>
      <w:pPr>
        <w:pStyle w:val="Normal"/>
        <w:rPr>
          <w:lang w:val="de-DE"/>
        </w:rPr>
      </w:pPr>
      <w:r>
        <w:rPr/>
        <w:t>Für kritische Informationen:</w:t>
      </w:r>
    </w:p>
    <w:p>
      <w:pPr>
        <w:pStyle w:val="Normal"/>
        <w:numPr>
          <w:ilvl w:val="0"/>
          <w:numId w:val="36"/>
        </w:numPr>
        <w:rPr/>
      </w:pPr>
      <w:r>
        <w:rPr/>
        <w:t>Lebensweg skizzieren</w:t>
      </w:r>
    </w:p>
    <w:p>
      <w:pPr>
        <w:pStyle w:val="Normal"/>
        <w:numPr>
          <w:ilvl w:val="0"/>
          <w:numId w:val="36"/>
        </w:numPr>
        <w:rPr>
          <w:lang w:val="de-DE"/>
        </w:rPr>
      </w:pPr>
      <w:r>
        <w:rPr/>
        <w:t>Prüfen, wo kryptografische Verfahren bei Aufbewahrung und Übertragung eingesetzt werden können.</w:t>
      </w:r>
    </w:p>
    <w:p>
      <w:pPr>
        <w:pStyle w:val="Heading2"/>
        <w:ind w:hanging="0" w:left="0"/>
        <w:rPr/>
      </w:pPr>
      <w:bookmarkStart w:id="1012" w:name="__RefHeading___Toc26260_3248772027"/>
      <w:bookmarkEnd w:id="1012"/>
      <w:r>
        <w:rPr/>
        <w:t>Richtlinie</w:t>
      </w:r>
    </w:p>
    <w:p>
      <w:pPr>
        <w:pStyle w:val="BodyText"/>
        <w:tabs>
          <w:tab w:val="clear" w:pos="720"/>
          <w:tab w:val="left" w:pos="0" w:leader="none"/>
        </w:tabs>
        <w:bidi w:val="0"/>
        <w:ind w:hanging="0" w:left="0"/>
        <w:jc w:val="left"/>
        <w:rPr>
          <w:lang w:val="de-DE"/>
        </w:rPr>
      </w:pPr>
      <w:r>
        <w:rPr>
          <w:lang w:val="de-DE"/>
        </w:rPr>
        <w:t>&lt;FIXME – Das Konzept für den Einsatz von kryptografischen Maßnahmen wird in einer Richtlinie zusammengefasst.&gt;</w:t>
      </w:r>
    </w:p>
    <w:p>
      <w:pPr>
        <w:pStyle w:val="Heading2"/>
        <w:ind w:hanging="0" w:left="0"/>
        <w:rPr/>
      </w:pPr>
      <w:bookmarkStart w:id="1013" w:name="__RefHeading___Toc23120_3248772027"/>
      <w:bookmarkEnd w:id="1013"/>
      <w:r>
        <w:rPr/>
        <w:t>Inventarisierung</w:t>
      </w:r>
    </w:p>
    <w:p>
      <w:pPr>
        <w:pStyle w:val="Normal"/>
        <w:rPr/>
      </w:pPr>
      <w:r>
        <w:rPr/>
        <w:t>Es MUSS eine Inventarisierung vorhanden sein, in der alle kryptografischen Verfahren verzeichnet sind, die für die Absicherung von wichtigen IT-Ressourcen eingesetzt werden.</w:t>
      </w:r>
    </w:p>
    <w:p>
      <w:pPr>
        <w:pStyle w:val="Normal"/>
        <w:rPr/>
      </w:pPr>
      <w:r>
        <w:rPr/>
        <w:t>Die Inventarisierung MUSS durch entsprechende Verfahren (siehe Abschnitte 10.&lt;FIXME&gt; und 11.&lt;FIXME&gt;) vollständig und aktuell gehalten werden.</w:t>
      </w:r>
    </w:p>
    <w:p>
      <w:pPr>
        <w:pStyle w:val="Normal"/>
        <w:rPr/>
      </w:pPr>
      <w:r>
        <w:rPr/>
        <w:t>In ihr MÜSSEN folgende Informationen für jedes kryptografische Verfahren verzeichnet sein:</w:t>
      </w:r>
    </w:p>
    <w:p>
      <w:pPr>
        <w:pStyle w:val="Normal"/>
        <w:numPr>
          <w:ilvl w:val="0"/>
          <w:numId w:val="37"/>
        </w:numPr>
        <w:rPr/>
      </w:pPr>
      <w:r>
        <w:rPr/>
        <w:t>Einsatzzweck</w:t>
      </w:r>
    </w:p>
    <w:p>
      <w:pPr>
        <w:pStyle w:val="Normal"/>
        <w:numPr>
          <w:ilvl w:val="0"/>
          <w:numId w:val="37"/>
        </w:numPr>
        <w:rPr/>
      </w:pPr>
      <w:r>
        <w:rPr/>
        <w:t>technische Informationen über Algorithmen, Protokolle und Sicherheitsparameter</w:t>
      </w:r>
    </w:p>
    <w:p>
      <w:pPr>
        <w:pStyle w:val="Heading2"/>
        <w:ind w:hanging="0" w:left="0"/>
        <w:rPr/>
      </w:pPr>
      <w:bookmarkStart w:id="1014" w:name="__RefHeading___Toc23122_3248772027"/>
      <w:bookmarkEnd w:id="1014"/>
      <w:r>
        <w:rPr/>
        <w:t>Anforderungen</w:t>
      </w:r>
    </w:p>
    <w:p>
      <w:pPr>
        <w:pStyle w:val="10000-DefaultParagraph"/>
        <w:rPr>
          <w:shd w:fill="auto" w:val="clear"/>
        </w:rPr>
      </w:pPr>
      <w:r>
        <w:rPr>
          <w:shd w:fill="auto" w:val="clear"/>
          <w:lang w:val="de-DE"/>
        </w:rPr>
        <w:t>Folgende Maßnahmen MÜSSEN für alle kryptografischen Verfahren umgesetzt werden:</w:t>
      </w:r>
    </w:p>
    <w:p>
      <w:pPr>
        <w:pStyle w:val="10000-DefaultParagraph"/>
        <w:numPr>
          <w:ilvl w:val="0"/>
          <w:numId w:val="464"/>
        </w:numPr>
        <w:rPr>
          <w:shd w:fill="auto" w:val="clear"/>
        </w:rPr>
      </w:pPr>
      <w:r>
        <w:rPr>
          <w:shd w:fill="auto" w:val="clear"/>
          <w:lang w:val="de-DE"/>
        </w:rPr>
        <w:t>Sie werden entsprechend der gesetzlichen, betrieblichen und vertraglichen Anforderungen ausgewählt.</w:t>
      </w:r>
    </w:p>
    <w:p>
      <w:pPr>
        <w:pStyle w:val="10000-DefaultParagraph"/>
        <w:numPr>
          <w:ilvl w:val="0"/>
          <w:numId w:val="465"/>
        </w:numPr>
        <w:rPr>
          <w:shd w:fill="auto" w:val="clear"/>
        </w:rPr>
      </w:pPr>
      <w:r>
        <w:rPr>
          <w:shd w:fill="auto" w:val="clear"/>
          <w:lang w:val="de-DE"/>
        </w:rPr>
        <w:t>Sie verfügen über eine Zertifizierung gemäß eines anerkannten Standards wie z. B. FIPS 140-3, Common Criteria / ISO 15408 oder erfüllen entsprechende technische Richtlinien wie z. B. TR-02102 des BSI.</w:t>
      </w:r>
    </w:p>
    <w:p>
      <w:pPr>
        <w:pStyle w:val="10000-DefaultParagraph"/>
        <w:rPr/>
      </w:pPr>
      <w:r>
        <w:rPr>
          <w:rStyle w:val="Emphasis"/>
          <w:i w:val="false"/>
          <w:iCs w:val="false"/>
          <w:shd w:fill="auto" w:val="clear"/>
          <w:lang w:val="de-DE"/>
        </w:rPr>
        <w:t>Wenn Maßnahmen nicht umgesetzt werden, MÜSSEN die dadurch entstehenden Risiken identifiziert, analysiert und behandelt werden (siehe</w:t>
      </w:r>
      <w:r>
        <w:rPr>
          <w:spacing w:val="-2"/>
          <w:shd w:fill="auto" w:val="clear"/>
          <w:lang w:val="de-DE"/>
        </w:rPr>
        <w:t xml:space="preserve"> Anhang</w:t>
      </w:r>
      <w:r>
        <w:rPr>
          <w:rStyle w:val="Emphasis"/>
          <w:i w:val="false"/>
          <w:shd w:fill="auto" w:val="clear"/>
          <w:lang w:val="de-DE"/>
        </w:rPr>
        <w:t xml:space="preserve"> </w:t>
      </w:r>
      <w:r>
        <w:rPr>
          <w:rStyle w:val="Emphasis"/>
          <w:i w:val="false"/>
          <w:iCs w:val="false"/>
          <w:shd w:fill="auto" w:val="clear"/>
          <w:lang w:val="de-DE"/>
        </w:rPr>
        <w:fldChar w:fldCharType="begin"/>
      </w:r>
      <w:r>
        <w:rPr>
          <w:rStyle w:val="Emphasis"/>
          <w:i w:val="false"/>
          <w:shd w:fill="auto" w:val="clear"/>
          <w:iCs w:val="false"/>
          <w:lang w:val="de-DE"/>
        </w:rPr>
        <w:instrText xml:space="preserve"> REF _Ref179187642 \n \n \h </w:instrText>
      </w:r>
      <w:r>
        <w:rPr>
          <w:rStyle w:val="Emphasis"/>
          <w:i w:val="false"/>
          <w:shd w:fill="auto" w:val="clear"/>
          <w:iCs w:val="false"/>
          <w:lang w:val="de-DE"/>
        </w:rPr>
        <w:fldChar w:fldCharType="separate"/>
      </w:r>
      <w:r>
        <w:rPr>
          <w:rStyle w:val="Emphasis"/>
          <w:i w:val="false"/>
          <w:shd w:fill="auto" w:val="clear"/>
          <w:iCs w:val="false"/>
          <w:lang w:val="de-DE"/>
        </w:rPr>
        <w:t>A.2</w:t>
      </w:r>
      <w:r>
        <w:rPr>
          <w:rStyle w:val="Emphasis"/>
          <w:i w:val="false"/>
          <w:shd w:fill="auto" w:val="clear"/>
          <w:iCs w:val="false"/>
          <w:lang w:val="de-DE"/>
        </w:rPr>
        <w:fldChar w:fldCharType="end"/>
      </w:r>
      <w:r>
        <w:rPr>
          <w:rStyle w:val="Emphasis"/>
          <w:i w:val="false"/>
          <w:iCs w:val="false"/>
          <w:shd w:fill="auto" w:val="clear"/>
          <w:lang w:val="de-DE"/>
        </w:rPr>
        <w:t>).</w:t>
      </w:r>
    </w:p>
    <w:p>
      <w:pPr>
        <w:pStyle w:val="Heading2"/>
        <w:ind w:hanging="0" w:left="0"/>
        <w:rPr/>
      </w:pPr>
      <w:bookmarkStart w:id="1015" w:name="__RefHeading___Toc12408_336411494"/>
      <w:bookmarkEnd w:id="1015"/>
      <w:r>
        <w:rPr/>
        <w:t>Verfahren</w:t>
      </w:r>
    </w:p>
    <w:p>
      <w:pPr>
        <w:pStyle w:val="Normal"/>
        <w:ind w:hanging="0" w:left="0"/>
        <w:rPr/>
      </w:pPr>
      <w:r>
        <w:rPr/>
        <w:t>Es MUSS ein Verfahren (siehe Anhang A.1) implementiert werden, die die folgenden Punkte sicherstellt:</w:t>
      </w:r>
    </w:p>
    <w:p>
      <w:pPr>
        <w:pStyle w:val="Normal"/>
        <w:numPr>
          <w:ilvl w:val="0"/>
          <w:numId w:val="38"/>
        </w:numPr>
        <w:rPr/>
      </w:pPr>
      <w:r>
        <w:rPr/>
        <w:t>Es enthält alle Informationen, Arbeitsschritte und deren Reihenfolge, die es fachlich versierten Personen ermöglichen, die kryptografischen Verfahren entsprechend der gesetzlichen, betrieblichen und vertraglichen Anforderungen zu konfigurieren.</w:t>
      </w:r>
    </w:p>
    <w:p>
      <w:pPr>
        <w:pStyle w:val="Normal"/>
        <w:numPr>
          <w:ilvl w:val="0"/>
          <w:numId w:val="38"/>
        </w:numPr>
        <w:rPr/>
      </w:pPr>
      <w:r>
        <w:rPr/>
        <w:t>Es enthält alle Informationen, Arbeitsschritte und deren Reihenfolge, die es fachlich versierten Personen ermöglichen, die Schlüssel für die kryptografischen Verfahren zu erstellen, zu verteilen und zurückzuziehen.</w:t>
      </w:r>
    </w:p>
    <w:p>
      <w:pPr>
        <w:pStyle w:val="Normal"/>
        <w:numPr>
          <w:ilvl w:val="0"/>
          <w:numId w:val="38"/>
        </w:numPr>
        <w:rPr/>
      </w:pPr>
      <w:r>
        <w:rPr/>
        <w:t>Schlüssel werden bei Erzeugung, Übertragung, Lagerung und Transport vor unberechtigten Änderungen, Beschädigung, Verlust und unberechtigter Einsichtnahme geschützt.</w:t>
      </w:r>
    </w:p>
    <w:p>
      <w:pPr>
        <w:pStyle w:val="Normal"/>
        <w:numPr>
          <w:ilvl w:val="0"/>
          <w:numId w:val="38"/>
        </w:numPr>
        <w:rPr/>
      </w:pPr>
      <w:r>
        <w:rPr/>
        <w:t>Die kryptografischen Verfahren werden zeitnah verbessert, ersetzt oder abgeschaltet, wenn sie als unsicher erkannt und/oder sie gesetzliche, betriebliche oder vertragliche Anforderungen nicht erfüllen.</w:t>
      </w:r>
    </w:p>
    <w:p>
      <w:pPr>
        <w:pStyle w:val="Normal"/>
        <w:numPr>
          <w:ilvl w:val="0"/>
          <w:numId w:val="38"/>
        </w:numPr>
        <w:rPr/>
      </w:pPr>
      <w:r>
        <w:rPr/>
        <w:t>Schlüssel werden in regelmäßigen, definierten Abständen erneuert.</w:t>
      </w:r>
    </w:p>
    <w:p>
      <w:pPr>
        <w:pStyle w:val="Normal"/>
        <w:numPr>
          <w:ilvl w:val="0"/>
          <w:numId w:val="38"/>
        </w:numPr>
        <w:rPr/>
      </w:pPr>
      <w:r>
        <w:rPr/>
        <w:t>Schlüssel werden ersetzt und ggf. zurückgezogen, wenn der begründete Verdacht besteht, dass ihre Vertraulichkeit Integrität und/oder Authentizität verletzt wurde.</w:t>
      </w:r>
    </w:p>
    <w:p>
      <w:pPr>
        <w:pStyle w:val="Heading1"/>
        <w:ind w:hanging="0" w:left="0"/>
        <w:rPr/>
      </w:pPr>
      <w:bookmarkStart w:id="1016" w:name="__RefHeading___Toc18925_512392082"/>
      <w:bookmarkEnd w:id="1016"/>
      <w:r>
        <w:rPr/>
        <w:t>Entwicklung</w:t>
      </w:r>
      <w:r>
        <w:rPr/>
        <w:commentReference w:id="38"/>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10" name="0 Copy 1 Copy 1 Copy 1 Copy 1 Copy 1 Copy 2 Copy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0 Copy 1 Copy 1 Copy 1 Copy 1 Copy 1 Copy 2 Copy 3" descr=""/>
                          <pic:cNvPicPr>
                            <a:picLocks noChangeAspect="1" noChangeArrowheads="1"/>
                          </pic:cNvPicPr>
                        </pic:nvPicPr>
                        <pic:blipFill>
                          <a:blip r:embed="rId15"/>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 xml:space="preserve">5. Sicherheitsmaßnahmen bei </w:t>
            </w: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 xml:space="preserve"> Entwicklung </w:t>
            </w: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 xml:space="preserve"> von informationstechnischen Systemen, Komponenten und Prozessen, einschließlich Management und Offenlegung von Schwachstellen,</w:t>
            </w:r>
          </w:p>
        </w:tc>
      </w:tr>
    </w:tbl>
    <w:p>
      <w:pPr>
        <w:pStyle w:val="Heading2"/>
        <w:ind w:hanging="0" w:left="0"/>
        <w:rPr/>
      </w:pPr>
      <w:bookmarkStart w:id="1017" w:name="__RefHeading___Toc29773_3572532615_Copy_"/>
      <w:bookmarkEnd w:id="1017"/>
      <w:r>
        <w:rPr/>
        <w:t>Anforderungen</w:t>
      </w:r>
    </w:p>
    <w:p>
      <w:pPr>
        <w:pStyle w:val="Normal"/>
        <w:tabs>
          <w:tab w:val="clear" w:pos="720"/>
          <w:tab w:val="left" w:pos="0" w:leader="none"/>
        </w:tabs>
        <w:bidi w:val="0"/>
        <w:ind w:hanging="0" w:left="0"/>
        <w:jc w:val="left"/>
        <w:rPr>
          <w:i/>
          <w:i/>
          <w:iCs/>
        </w:rPr>
      </w:pPr>
      <w:r>
        <w:rPr>
          <w:i/>
          <w:iCs/>
          <w:lang w:val="de-DE"/>
        </w:rPr>
        <w:t xml:space="preserve">Für jede Entwicklung </w:t>
      </w:r>
      <w:r>
        <w:rPr>
          <w:i/>
          <w:iCs/>
          <w:lang w:val="de-DE"/>
        </w:rPr>
        <w:t xml:space="preserve">von </w:t>
      </w:r>
      <w:r>
        <w:rPr>
          <w:i/>
          <w:iCs/>
          <w:shd w:fill="auto" w:val="clear"/>
          <w:lang w:val="de-DE"/>
        </w:rPr>
        <w:t xml:space="preserve">Gütern für die Informationsverarbeitung </w:t>
      </w:r>
      <w:r>
        <w:rPr>
          <w:i/>
          <w:iCs/>
          <w:lang w:val="de-DE"/>
        </w:rPr>
        <w:t xml:space="preserve">SOLLTEN die </w:t>
      </w:r>
      <w:r>
        <w:rPr>
          <w:rFonts w:eastAsia="Arial" w:cs="DejaVu Sans"/>
          <w:i/>
          <w:iCs/>
          <w:kern w:val="0"/>
          <w:sz w:val="20"/>
          <w:szCs w:val="22"/>
          <w:shd w:fill="auto" w:val="clear"/>
          <w:lang w:val="de-DE" w:eastAsia="en-US" w:bidi="ar-SA"/>
        </w:rPr>
        <w:t>Anforderungen an d</w:t>
      </w:r>
      <w:r>
        <w:rPr>
          <w:rFonts w:eastAsia="Arial" w:cs="DejaVu Sans"/>
          <w:i/>
          <w:iCs/>
          <w:kern w:val="0"/>
          <w:sz w:val="20"/>
          <w:szCs w:val="22"/>
          <w:shd w:fill="auto" w:val="clear"/>
          <w:lang w:val="de-DE" w:eastAsia="en-US" w:bidi="ar-SA"/>
        </w:rPr>
        <w:t>e</w:t>
      </w:r>
      <w:r>
        <w:rPr>
          <w:rFonts w:eastAsia="Arial" w:cs="DejaVu Sans"/>
          <w:i/>
          <w:iCs/>
          <w:kern w:val="0"/>
          <w:sz w:val="20"/>
          <w:szCs w:val="22"/>
          <w:shd w:fill="auto" w:val="clear"/>
          <w:lang w:val="de-DE" w:eastAsia="en-US" w:bidi="ar-SA"/>
        </w:rPr>
        <w:t>r</w:t>
      </w:r>
      <w:r>
        <w:rPr>
          <w:rFonts w:eastAsia="Arial" w:cs="DejaVu Sans"/>
          <w:i/>
          <w:iCs/>
          <w:kern w:val="0"/>
          <w:sz w:val="20"/>
          <w:szCs w:val="22"/>
          <w:shd w:fill="auto" w:val="clear"/>
          <w:lang w:val="de-DE" w:eastAsia="en-US" w:bidi="ar-SA"/>
        </w:rPr>
        <w:t>e</w:t>
      </w:r>
      <w:r>
        <w:rPr>
          <w:rFonts w:eastAsia="Arial" w:cs="DejaVu Sans"/>
          <w:i/>
          <w:iCs/>
          <w:kern w:val="0"/>
          <w:sz w:val="20"/>
          <w:szCs w:val="22"/>
          <w:shd w:fill="auto" w:val="clear"/>
          <w:lang w:val="de-DE" w:eastAsia="en-US" w:bidi="ar-SA"/>
        </w:rPr>
        <w:t>n</w:t>
      </w:r>
      <w:r>
        <w:rPr>
          <w:rFonts w:eastAsia="Arial" w:cs="DejaVu Sans"/>
          <w:i/>
          <w:iCs/>
          <w:kern w:val="0"/>
          <w:sz w:val="20"/>
          <w:szCs w:val="22"/>
          <w:shd w:fill="auto" w:val="clear"/>
          <w:lang w:val="de-DE" w:eastAsia="en-US" w:bidi="ar-SA"/>
        </w:rPr>
        <w:t xml:space="preserve"> Informationssicherheit</w:t>
      </w:r>
      <w:r>
        <w:rPr>
          <w:rFonts w:eastAsia="Arial" w:cs="DejaVu Sans"/>
          <w:i/>
          <w:iCs/>
          <w:kern w:val="0"/>
          <w:sz w:val="20"/>
          <w:szCs w:val="22"/>
          <w:shd w:fill="auto" w:val="clear"/>
          <w:lang w:val="de-DE" w:eastAsia="en-US" w:bidi="ar-SA"/>
        </w:rPr>
        <w:t xml:space="preserve"> </w:t>
      </w:r>
      <w:r>
        <w:rPr>
          <w:rFonts w:eastAsia="Arial" w:cs="DejaVu Sans"/>
          <w:i/>
          <w:iCs/>
          <w:kern w:val="0"/>
          <w:sz w:val="20"/>
          <w:szCs w:val="22"/>
          <w:shd w:fill="auto" w:val="clear"/>
          <w:lang w:val="de-DE" w:eastAsia="en-US" w:bidi="ar-SA"/>
        </w:rPr>
        <w:t>i</w:t>
      </w:r>
      <w:r>
        <w:rPr>
          <w:rFonts w:eastAsia="Arial" w:cs="DejaVu Sans"/>
          <w:i/>
          <w:iCs/>
          <w:kern w:val="0"/>
          <w:sz w:val="20"/>
          <w:szCs w:val="22"/>
          <w:shd w:fill="auto" w:val="clear"/>
          <w:lang w:val="de-DE" w:eastAsia="en-US" w:bidi="ar-SA"/>
        </w:rPr>
        <w:t xml:space="preserve">n </w:t>
      </w:r>
      <w:r>
        <w:rPr>
          <w:rFonts w:eastAsia="Arial" w:cs="DejaVu Sans"/>
          <w:i/>
          <w:iCs/>
          <w:kern w:val="0"/>
          <w:sz w:val="20"/>
          <w:szCs w:val="22"/>
          <w:shd w:fill="auto" w:val="clear"/>
          <w:lang w:val="de-DE" w:eastAsia="en-US" w:bidi="ar-SA"/>
        </w:rPr>
        <w:t>der Entwurfsphase festgelegt und ein Sicherheitskonzept definiert werden.</w:t>
      </w:r>
    </w:p>
    <w:p>
      <w:pPr>
        <w:pStyle w:val="10000-DefaultParagraph"/>
        <w:rPr>
          <w:i/>
          <w:i/>
          <w:iCs/>
          <w:highlight w:val="none"/>
          <w:shd w:fill="auto" w:val="clear"/>
        </w:rPr>
      </w:pPr>
      <w:r>
        <w:rPr>
          <w:i/>
          <w:iCs/>
          <w:shd w:fill="auto" w:val="clear"/>
        </w:rPr>
        <w:t>Die</w:t>
      </w:r>
      <w:r>
        <w:rPr>
          <w:i/>
          <w:iCs/>
          <w:shd w:fill="auto" w:val="clear"/>
        </w:rPr>
        <w:t>s SOLLTE</w:t>
      </w:r>
      <w:r>
        <w:rPr>
          <w:i/>
          <w:iCs/>
          <w:shd w:fill="auto" w:val="clear"/>
        </w:rPr>
        <w:t xml:space="preserve"> im Rahmen einer Risikoidentifikation und -analyse (siehe Anhang A.2) </w:t>
      </w:r>
      <w:r>
        <w:rPr>
          <w:i/>
          <w:iCs/>
          <w:shd w:fill="auto" w:val="clear"/>
        </w:rPr>
        <w:t>umgesetzt</w:t>
      </w:r>
      <w:r>
        <w:rPr>
          <w:i/>
          <w:iCs/>
          <w:shd w:fill="auto" w:val="clear"/>
        </w:rPr>
        <w:t xml:space="preserve"> werden.</w:t>
      </w:r>
    </w:p>
    <w:p>
      <w:pPr>
        <w:pStyle w:val="10000-DefaultParagraph"/>
        <w:rPr>
          <w:i/>
          <w:i/>
          <w:iCs/>
          <w:spacing w:val="-2"/>
          <w:shd w:fill="auto" w:val="clear"/>
          <w:lang w:val="de-DE"/>
        </w:rPr>
      </w:pPr>
      <w:r>
        <w:rPr>
          <w:i/>
          <w:iCs/>
          <w:spacing w:val="-2"/>
          <w:shd w:fill="auto" w:val="clear"/>
          <w:lang w:val="de-DE"/>
        </w:rPr>
        <w:t>D</w:t>
      </w:r>
      <w:r>
        <w:rPr>
          <w:i/>
          <w:iCs/>
          <w:spacing w:val="-2"/>
          <w:shd w:fill="auto" w:val="clear"/>
          <w:lang w:val="de-DE"/>
        </w:rPr>
        <w:t>as Sicherheitskonzept</w:t>
      </w:r>
      <w:r>
        <w:rPr>
          <w:i/>
          <w:iCs/>
          <w:spacing w:val="-2"/>
          <w:shd w:fill="auto" w:val="clear"/>
          <w:lang w:val="de-DE"/>
        </w:rPr>
        <w:t xml:space="preserve"> SOLLTE die wahrscheinlichsten </w:t>
      </w:r>
      <w:r>
        <w:rPr>
          <w:i/>
          <w:iCs/>
          <w:spacing w:val="-2"/>
          <w:shd w:fill="auto" w:val="clear"/>
          <w:lang w:val="de-DE"/>
        </w:rPr>
        <w:t xml:space="preserve">Bedrohungen und Angriffsmethoden </w:t>
      </w:r>
      <w:r>
        <w:rPr>
          <w:i/>
          <w:iCs/>
          <w:spacing w:val="-2"/>
          <w:shd w:fill="auto" w:val="clear"/>
          <w:lang w:val="de-DE"/>
        </w:rPr>
        <w:t xml:space="preserve">und die </w:t>
      </w:r>
      <w:r>
        <w:rPr>
          <w:i/>
          <w:iCs/>
          <w:spacing w:val="-2"/>
          <w:shd w:fill="auto" w:val="clear"/>
          <w:lang w:val="de-DE"/>
        </w:rPr>
        <w:t>entsprechenden technischen und/oder organisatorischenSchutzmaßnahmen beinhalten.</w:t>
      </w:r>
    </w:p>
    <w:p>
      <w:pPr>
        <w:pStyle w:val="Normal"/>
        <w:tabs>
          <w:tab w:val="clear" w:pos="720"/>
          <w:tab w:val="left" w:pos="0" w:leader="none"/>
        </w:tabs>
        <w:bidi w:val="0"/>
        <w:ind w:hanging="0" w:left="0"/>
        <w:jc w:val="left"/>
        <w:rPr>
          <w:i/>
          <w:i/>
          <w:iCs/>
        </w:rPr>
      </w:pPr>
      <w:r>
        <w:rPr>
          <w:rFonts w:eastAsia="Arial" w:cs="DejaVu Sans"/>
          <w:i/>
          <w:iCs/>
          <w:kern w:val="0"/>
          <w:sz w:val="20"/>
          <w:szCs w:val="22"/>
          <w:shd w:fill="auto" w:val="clear"/>
          <w:lang w:val="de-DE" w:eastAsia="en-US" w:bidi="ar-SA"/>
        </w:rPr>
        <w:t xml:space="preserve">Insbesondere SOLLTE </w:t>
      </w:r>
      <w:r>
        <w:rPr>
          <w:rFonts w:eastAsia="Arial" w:cs="DejaVu Sans"/>
          <w:i/>
          <w:iCs/>
          <w:kern w:val="0"/>
          <w:sz w:val="20"/>
          <w:szCs w:val="22"/>
          <w:shd w:fill="auto" w:val="clear"/>
          <w:lang w:val="de-DE" w:eastAsia="en-US" w:bidi="ar-SA"/>
        </w:rPr>
        <w:t>f</w:t>
      </w:r>
      <w:r>
        <w:rPr>
          <w:rFonts w:eastAsia="Arial" w:cs="DejaVu Sans"/>
          <w:i/>
          <w:iCs/>
          <w:kern w:val="0"/>
          <w:sz w:val="20"/>
          <w:szCs w:val="22"/>
          <w:shd w:fill="auto" w:val="clear"/>
          <w:lang w:val="de-DE" w:eastAsia="en-US" w:bidi="ar-SA"/>
        </w:rPr>
        <w:t>estgelegt</w:t>
      </w:r>
      <w:r>
        <w:rPr>
          <w:rFonts w:eastAsia="Arial" w:cs="DejaVu Sans"/>
          <w:i/>
          <w:iCs/>
          <w:kern w:val="0"/>
          <w:sz w:val="20"/>
          <w:szCs w:val="22"/>
          <w:shd w:fill="auto" w:val="clear"/>
          <w:lang w:val="de-DE" w:eastAsia="en-US" w:bidi="ar-SA"/>
        </w:rPr>
        <w:t xml:space="preserve"> werden, wie lange </w:t>
      </w:r>
      <w:r>
        <w:rPr>
          <w:rFonts w:eastAsia="Arial" w:cs="DejaVu Sans"/>
          <w:i/>
          <w:iCs/>
          <w:kern w:val="0"/>
          <w:sz w:val="20"/>
          <w:szCs w:val="22"/>
          <w:shd w:fill="auto" w:val="clear"/>
          <w:lang w:val="de-DE" w:eastAsia="en-US" w:bidi="ar-SA"/>
        </w:rPr>
        <w:t>d</w:t>
      </w:r>
      <w:r>
        <w:rPr>
          <w:rFonts w:eastAsia="Arial" w:cs="DejaVu Sans"/>
          <w:i/>
          <w:iCs/>
          <w:kern w:val="0"/>
          <w:sz w:val="20"/>
          <w:szCs w:val="22"/>
          <w:shd w:fill="auto" w:val="clear"/>
          <w:lang w:val="de-DE" w:eastAsia="en-US" w:bidi="ar-SA"/>
        </w:rPr>
        <w:t xml:space="preserve">as Produkt </w:t>
      </w:r>
      <w:r>
        <w:rPr>
          <w:rFonts w:eastAsia="Arial" w:cs="DejaVu Sans"/>
          <w:i/>
          <w:iCs/>
          <w:kern w:val="0"/>
          <w:sz w:val="20"/>
          <w:szCs w:val="22"/>
          <w:shd w:fill="auto" w:val="clear"/>
          <w:lang w:val="de-DE" w:eastAsia="en-US" w:bidi="ar-SA"/>
        </w:rPr>
        <w:t>mit Anpassungen und Fehlerkorrekturen versorgt wird und wie die Nutzer über Schwachstellen und Updates informiert werden.</w:t>
      </w:r>
    </w:p>
    <w:p>
      <w:pPr>
        <w:pStyle w:val="10000-DefaultParagraph"/>
        <w:bidi w:val="0"/>
        <w:spacing w:before="0" w:after="120"/>
        <w:jc w:val="left"/>
        <w:rPr/>
      </w:pPr>
      <w:commentRangeStart w:id="39"/>
      <w:r>
        <w:rPr>
          <w:rStyle w:val="Emphasis"/>
          <w:rFonts w:eastAsia="Bitstream Vera Sans" w:cs="Bitstream Vera Sans"/>
          <w:i w:val="false"/>
          <w:iCs w:val="false"/>
          <w:color w:val="000000"/>
          <w:kern w:val="0"/>
          <w:sz w:val="20"/>
          <w:szCs w:val="24"/>
          <w:shd w:fill="auto" w:val="clear"/>
          <w:lang w:val="de-DE" w:eastAsia="en-US" w:bidi="en-US"/>
        </w:rPr>
        <w:t xml:space="preserve">Wenn Maßnahmen dieses Abschnitts </w:t>
      </w:r>
      <w:r>
        <w:rPr>
          <w:rStyle w:val="Emphasis"/>
          <w:rFonts w:eastAsia="Bitstream Vera Sans" w:cs="Bitstream Vera Sans"/>
          <w:i w:val="false"/>
          <w:iCs w:val="false"/>
          <w:color w:val="000000"/>
          <w:kern w:val="0"/>
          <w:sz w:val="20"/>
          <w:szCs w:val="24"/>
          <w:shd w:fill="auto" w:val="clear"/>
          <w:lang w:val="de-DE" w:eastAsia="en-US" w:bidi="en-US"/>
        </w:rPr>
        <w:t>f</w:t>
      </w:r>
      <w:r>
        <w:rPr>
          <w:rStyle w:val="Emphasis"/>
          <w:rFonts w:eastAsia="Bitstream Vera Sans" w:cs="Bitstream Vera Sans"/>
          <w:i w:val="false"/>
          <w:iCs w:val="false"/>
          <w:color w:val="000000"/>
          <w:kern w:val="0"/>
          <w:sz w:val="20"/>
          <w:szCs w:val="24"/>
          <w:shd w:fill="auto" w:val="clear"/>
          <w:lang w:val="de-DE" w:eastAsia="en-US" w:bidi="en-US"/>
        </w:rPr>
        <w:t>ü</w:t>
      </w:r>
      <w:r>
        <w:rPr>
          <w:rStyle w:val="Emphasis"/>
          <w:rFonts w:eastAsia="Bitstream Vera Sans" w:cs="Bitstream Vera Sans"/>
          <w:i w:val="false"/>
          <w:iCs w:val="false"/>
          <w:color w:val="000000"/>
          <w:kern w:val="0"/>
          <w:sz w:val="20"/>
          <w:szCs w:val="24"/>
          <w:shd w:fill="auto" w:val="clear"/>
          <w:lang w:val="de-DE" w:eastAsia="en-US" w:bidi="en-US"/>
        </w:rPr>
        <w:t xml:space="preserve">r </w:t>
      </w:r>
      <w:r>
        <w:rPr>
          <w:rStyle w:val="Emphasis"/>
          <w:rFonts w:eastAsia="Bitstream Vera Sans" w:cs="Bitstream Vera Sans"/>
          <w:i w:val="false"/>
          <w:iCs w:val="false"/>
          <w:color w:val="000000"/>
          <w:kern w:val="0"/>
          <w:sz w:val="20"/>
          <w:szCs w:val="24"/>
          <w:shd w:fill="auto" w:val="clear"/>
          <w:lang w:val="de-DE" w:eastAsia="en-US" w:bidi="en-US"/>
        </w:rPr>
        <w:t>e</w:t>
      </w:r>
      <w:r>
        <w:rPr>
          <w:rStyle w:val="Emphasis"/>
          <w:rFonts w:eastAsia="Bitstream Vera Sans" w:cs="Bitstream Vera Sans"/>
          <w:i w:val="false"/>
          <w:iCs w:val="false"/>
          <w:color w:val="000000"/>
          <w:kern w:val="0"/>
          <w:sz w:val="20"/>
          <w:szCs w:val="24"/>
          <w:shd w:fill="auto" w:val="clear"/>
          <w:lang w:val="de-DE" w:eastAsia="en-US" w:bidi="en-US"/>
        </w:rPr>
        <w:t>i</w:t>
      </w:r>
      <w:r>
        <w:rPr>
          <w:rStyle w:val="Emphasis"/>
          <w:rFonts w:eastAsia="Bitstream Vera Sans" w:cs="Bitstream Vera Sans"/>
          <w:i w:val="false"/>
          <w:iCs w:val="false"/>
          <w:color w:val="000000"/>
          <w:kern w:val="0"/>
          <w:sz w:val="20"/>
          <w:szCs w:val="24"/>
          <w:shd w:fill="auto" w:val="clear"/>
          <w:lang w:val="de-DE" w:eastAsia="en-US" w:bidi="en-US"/>
        </w:rPr>
        <w:t>n</w:t>
      </w:r>
      <w:r>
        <w:rPr>
          <w:rStyle w:val="Emphasis"/>
          <w:rFonts w:eastAsia="Bitstream Vera Sans" w:cs="Bitstream Vera Sans"/>
          <w:i w:val="false"/>
          <w:iCs w:val="false"/>
          <w:color w:val="000000"/>
          <w:kern w:val="0"/>
          <w:sz w:val="20"/>
          <w:szCs w:val="24"/>
          <w:shd w:fill="auto" w:val="clear"/>
          <w:lang w:val="de-DE" w:eastAsia="en-US" w:bidi="en-US"/>
        </w:rPr>
        <w:t>e</w:t>
      </w:r>
      <w:r>
        <w:rPr>
          <w:rStyle w:val="Emphasis"/>
          <w:rFonts w:eastAsia="Bitstream Vera Sans" w:cs="Bitstream Vera Sans"/>
          <w:i w:val="false"/>
          <w:iCs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t>E</w:t>
      </w:r>
      <w:r>
        <w:rPr>
          <w:rStyle w:val="Emphasis"/>
          <w:rFonts w:eastAsia="Bitstream Vera Sans" w:cs="Bitstream Vera Sans"/>
          <w:i w:val="false"/>
          <w:iCs w:val="false"/>
          <w:color w:val="000000"/>
          <w:kern w:val="0"/>
          <w:sz w:val="20"/>
          <w:szCs w:val="24"/>
          <w:shd w:fill="auto" w:val="clear"/>
          <w:lang w:val="de-DE" w:eastAsia="en-US" w:bidi="en-US"/>
        </w:rPr>
        <w:t>n</w:t>
      </w:r>
      <w:r>
        <w:rPr>
          <w:rStyle w:val="Emphasis"/>
          <w:rFonts w:eastAsia="Bitstream Vera Sans" w:cs="Bitstream Vera Sans"/>
          <w:i w:val="false"/>
          <w:iCs w:val="false"/>
          <w:color w:val="000000"/>
          <w:kern w:val="0"/>
          <w:sz w:val="20"/>
          <w:szCs w:val="24"/>
          <w:shd w:fill="auto" w:val="clear"/>
          <w:lang w:val="de-DE" w:eastAsia="en-US" w:bidi="en-US"/>
        </w:rPr>
        <w:t>t</w:t>
      </w:r>
      <w:r>
        <w:rPr>
          <w:rStyle w:val="Emphasis"/>
          <w:rFonts w:eastAsia="Bitstream Vera Sans" w:cs="Bitstream Vera Sans"/>
          <w:i w:val="false"/>
          <w:iCs w:val="false"/>
          <w:color w:val="000000"/>
          <w:kern w:val="0"/>
          <w:sz w:val="20"/>
          <w:szCs w:val="24"/>
          <w:shd w:fill="auto" w:val="clear"/>
          <w:lang w:val="de-DE" w:eastAsia="en-US" w:bidi="en-US"/>
        </w:rPr>
        <w:t>w</w:t>
      </w:r>
      <w:r>
        <w:rPr>
          <w:rStyle w:val="Emphasis"/>
          <w:rFonts w:eastAsia="Bitstream Vera Sans" w:cs="Bitstream Vera Sans"/>
          <w:i w:val="false"/>
          <w:iCs w:val="false"/>
          <w:color w:val="000000"/>
          <w:kern w:val="0"/>
          <w:sz w:val="20"/>
          <w:szCs w:val="24"/>
          <w:shd w:fill="auto" w:val="clear"/>
          <w:lang w:val="de-DE" w:eastAsia="en-US" w:bidi="en-US"/>
        </w:rPr>
        <w:t>i</w:t>
      </w:r>
      <w:r>
        <w:rPr>
          <w:rStyle w:val="Emphasis"/>
          <w:rFonts w:eastAsia="Bitstream Vera Sans" w:cs="Bitstream Vera Sans"/>
          <w:i w:val="false"/>
          <w:iCs w:val="false"/>
          <w:color w:val="000000"/>
          <w:kern w:val="0"/>
          <w:sz w:val="20"/>
          <w:szCs w:val="24"/>
          <w:shd w:fill="auto" w:val="clear"/>
          <w:lang w:val="de-DE" w:eastAsia="en-US" w:bidi="en-US"/>
        </w:rPr>
        <w:t>c</w:t>
      </w:r>
      <w:r>
        <w:rPr>
          <w:rStyle w:val="Emphasis"/>
          <w:rFonts w:eastAsia="Bitstream Vera Sans" w:cs="Bitstream Vera Sans"/>
          <w:i w:val="false"/>
          <w:iCs w:val="false"/>
          <w:color w:val="000000"/>
          <w:kern w:val="0"/>
          <w:sz w:val="20"/>
          <w:szCs w:val="24"/>
          <w:shd w:fill="auto" w:val="clear"/>
          <w:lang w:val="de-DE" w:eastAsia="en-US" w:bidi="en-US"/>
        </w:rPr>
        <w:t>k</w:t>
      </w:r>
      <w:r>
        <w:rPr>
          <w:rStyle w:val="Emphasis"/>
          <w:rFonts w:eastAsia="Bitstream Vera Sans" w:cs="Bitstream Vera Sans"/>
          <w:i w:val="false"/>
          <w:iCs w:val="false"/>
          <w:color w:val="000000"/>
          <w:kern w:val="0"/>
          <w:sz w:val="20"/>
          <w:szCs w:val="24"/>
          <w:shd w:fill="auto" w:val="clear"/>
          <w:lang w:val="de-DE" w:eastAsia="en-US" w:bidi="en-US"/>
        </w:rPr>
        <w:t>l</w:t>
      </w:r>
      <w:r>
        <w:rPr>
          <w:rStyle w:val="Emphasis"/>
          <w:rFonts w:eastAsia="Bitstream Vera Sans" w:cs="Bitstream Vera Sans"/>
          <w:i w:val="false"/>
          <w:iCs w:val="false"/>
          <w:color w:val="000000"/>
          <w:kern w:val="0"/>
          <w:sz w:val="20"/>
          <w:szCs w:val="24"/>
          <w:shd w:fill="auto" w:val="clear"/>
          <w:lang w:val="de-DE" w:eastAsia="en-US" w:bidi="en-US"/>
        </w:rPr>
        <w:t>u</w:t>
      </w:r>
      <w:r>
        <w:rPr>
          <w:rStyle w:val="Emphasis"/>
          <w:rFonts w:eastAsia="Bitstream Vera Sans" w:cs="Bitstream Vera Sans"/>
          <w:i w:val="false"/>
          <w:iCs w:val="false"/>
          <w:color w:val="000000"/>
          <w:kern w:val="0"/>
          <w:sz w:val="20"/>
          <w:szCs w:val="24"/>
          <w:shd w:fill="auto" w:val="clear"/>
          <w:lang w:val="de-DE" w:eastAsia="en-US" w:bidi="en-US"/>
        </w:rPr>
        <w:t>n</w:t>
      </w:r>
      <w:r>
        <w:rPr>
          <w:rStyle w:val="Emphasis"/>
          <w:rFonts w:eastAsia="Bitstream Vera Sans" w:cs="Bitstream Vera Sans"/>
          <w:i w:val="false"/>
          <w:iCs w:val="false"/>
          <w:color w:val="000000"/>
          <w:kern w:val="0"/>
          <w:sz w:val="20"/>
          <w:szCs w:val="24"/>
          <w:shd w:fill="auto" w:val="clear"/>
          <w:lang w:val="de-DE" w:eastAsia="en-US" w:bidi="en-US"/>
        </w:rPr>
        <w:t>g</w:t>
      </w:r>
      <w:r>
        <w:rPr>
          <w:rStyle w:val="Emphasis"/>
          <w:rFonts w:eastAsia="Bitstream Vera Sans" w:cs="Bitstream Vera Sans"/>
          <w:i w:val="false"/>
          <w:iCs w:val="false"/>
          <w:color w:val="000000"/>
          <w:kern w:val="0"/>
          <w:sz w:val="20"/>
          <w:szCs w:val="24"/>
          <w:shd w:fill="auto" w:val="clear"/>
          <w:lang w:val="de-DE" w:eastAsia="en-US" w:bidi="en-US"/>
        </w:rPr>
        <w:t>e</w:t>
      </w:r>
      <w:r>
        <w:rPr>
          <w:rStyle w:val="Emphasis"/>
          <w:rFonts w:eastAsia="Bitstream Vera Sans" w:cs="Bitstream Vera Sans"/>
          <w:i w:val="false"/>
          <w:iCs w:val="false"/>
          <w:color w:val="000000"/>
          <w:kern w:val="0"/>
          <w:sz w:val="20"/>
          <w:szCs w:val="24"/>
          <w:shd w:fill="auto" w:val="clear"/>
          <w:lang w:val="de-DE" w:eastAsia="en-US" w:bidi="en-US"/>
        </w:rPr>
        <w:t xml:space="preserve">n </w:t>
      </w:r>
      <w:r>
        <w:rPr>
          <w:rStyle w:val="Emphasis"/>
          <w:rFonts w:eastAsia="Bitstream Vera Sans" w:cs="Bitstream Vera Sans"/>
          <w:i w:val="false"/>
          <w:iCs w:val="false"/>
          <w:color w:val="000000"/>
          <w:kern w:val="0"/>
          <w:sz w:val="20"/>
          <w:szCs w:val="24"/>
          <w:shd w:fill="auto" w:val="clear"/>
          <w:lang w:val="de-DE" w:eastAsia="en-US" w:bidi="en-US"/>
        </w:rPr>
        <w:t>nicht umgesetzt werden, MÜSSEN die dadurch entstehenden Risiken identifiziert, analysiert und behandelt werden (siehe</w:t>
      </w:r>
      <w:r>
        <w:rPr>
          <w:rFonts w:eastAsia="Bitstream Vera Sans" w:cs="Bitstream Vera Sans"/>
          <w:color w:val="000000"/>
          <w:spacing w:val="-2"/>
          <w:kern w:val="0"/>
          <w:sz w:val="20"/>
          <w:szCs w:val="24"/>
          <w:shd w:fill="auto" w:val="clear"/>
          <w:lang w:val="de-DE" w:eastAsia="en-US" w:bidi="en-US"/>
        </w:rPr>
        <w:t xml:space="preserve"> Anhang</w:t>
      </w:r>
      <w:r>
        <w:rPr>
          <w:rStyle w:val="Emphasis"/>
          <w:rFonts w:eastAsia="Bitstream Vera Sans" w:cs="Bitstream Vera Sans"/>
          <w:i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commentRangeEnd w:id="39"/>
      <w:r>
        <w:commentReference w:id="39"/>
      </w:r>
      <w:r>
        <w:rPr>
          <w:rStyle w:val="Emphasis"/>
          <w:rFonts w:eastAsia="Bitstream Vera Sans" w:cs="Bitstream Vera Sans"/>
          <w:i w:val="false"/>
          <w:iCs w:val="false"/>
          <w:color w:val="000000"/>
          <w:kern w:val="0"/>
          <w:sz w:val="20"/>
          <w:szCs w:val="24"/>
          <w:shd w:fill="auto" w:val="clear"/>
          <w:lang w:val="de-DE" w:eastAsia="en-US" w:bidi="en-US"/>
        </w:rPr>
      </w:r>
    </w:p>
    <w:p>
      <w:pPr>
        <w:pStyle w:val="Heading6"/>
        <w:ind w:hanging="0" w:left="0"/>
        <w:rPr>
          <w:shd w:fill="EEEEEE" w:val="clear"/>
          <w:lang w:val="de-DE"/>
        </w:rPr>
      </w:pPr>
      <w:bookmarkStart w:id="1018" w:name="__RefHeading___Toc33735_4113391834"/>
      <w:bookmarkStart w:id="1019" w:name="_Toc178588120"/>
      <w:bookmarkStart w:id="1020" w:name="_Toc187327162"/>
      <w:bookmarkStart w:id="1021" w:name="_Ref178768361"/>
      <w:bookmarkEnd w:id="1018"/>
      <w:bookmarkEnd w:id="1019"/>
      <w:r>
        <w:rPr>
          <w:shd w:fill="EEEEEE" w:val="clear"/>
          <w:lang w:val="de-DE"/>
        </w:rPr>
        <w:t>Verfahren</w:t>
      </w:r>
      <w:bookmarkEnd w:id="1021"/>
      <w:r>
        <w:rPr>
          <w:shd w:fill="EEEEEE" w:val="clear"/>
          <w:lang w:val="de-DE"/>
        </w:rPr>
        <w:t xml:space="preserve"> und Risikomanagement</w:t>
      </w:r>
      <w:bookmarkEnd w:id="1020"/>
    </w:p>
    <w:p>
      <w:pPr>
        <w:pStyle w:val="Heading7"/>
        <w:ind w:hanging="0" w:left="0"/>
        <w:rPr>
          <w:shd w:fill="EEEEEE" w:val="clear"/>
          <w:lang w:val="de-DE"/>
        </w:rPr>
      </w:pPr>
      <w:bookmarkStart w:id="1022" w:name="__RefHeading___Toc32130_2021121348"/>
      <w:bookmarkStart w:id="1023" w:name="_Toc178588121"/>
      <w:bookmarkStart w:id="1024" w:name="_Ref179189208"/>
      <w:bookmarkStart w:id="1025" w:name="_Ref179186218"/>
      <w:bookmarkStart w:id="1026" w:name="_Ref178762217"/>
      <w:bookmarkStart w:id="1027" w:name="_Ref179186091"/>
      <w:bookmarkStart w:id="1028" w:name="_Ref179188840"/>
      <w:bookmarkStart w:id="1029" w:name="_Ref179189122"/>
      <w:bookmarkStart w:id="1030" w:name="_Ref179187958"/>
      <w:bookmarkStart w:id="1031" w:name="_Ref178762155"/>
      <w:bookmarkStart w:id="1032" w:name="_Ref178762087"/>
      <w:bookmarkStart w:id="1033" w:name="rl%252525252525252525252525252525252522t"/>
      <w:bookmarkStart w:id="1034" w:name="_Toc187327163"/>
      <w:bookmarkStart w:id="1035" w:name="_Ref179189260"/>
      <w:bookmarkStart w:id="1036" w:name="_Ref179188712"/>
      <w:bookmarkStart w:id="1037" w:name="_Ref179188814"/>
      <w:bookmarkStart w:id="1038" w:name="_Ref179379202"/>
      <w:bookmarkStart w:id="1039" w:name="a_1_verfahren"/>
      <w:bookmarkStart w:id="1040" w:name="_Ref178762043"/>
      <w:bookmarkStart w:id="1041" w:name="_Toc531165128"/>
      <w:bookmarkStart w:id="1042" w:name="_Toc530662993"/>
      <w:bookmarkStart w:id="1043" w:name="_Ref179186850"/>
      <w:bookmarkStart w:id="1044" w:name="_Ref178761570"/>
      <w:bookmarkStart w:id="1045" w:name="_Ref179186357"/>
      <w:bookmarkStart w:id="1046" w:name="_Ref178762140"/>
      <w:bookmarkStart w:id="1047" w:name="_Ref179189094"/>
      <w:bookmarkStart w:id="1048" w:name="_Toc178761422"/>
      <w:bookmarkEnd w:id="1022"/>
      <w:bookmarkEnd w:id="1033"/>
      <w:r>
        <w:rPr>
          <w:shd w:fill="EEEEEE" w:val="clear"/>
          <w:lang w:val="de-DE"/>
        </w:rPr>
        <w:t>Verfahren</w:t>
      </w:r>
      <w:bookmarkEnd w:id="1023"/>
      <w:bookmarkEnd w:id="1024"/>
      <w:bookmarkEnd w:id="1025"/>
      <w:bookmarkEnd w:id="1026"/>
      <w:bookmarkEnd w:id="1027"/>
      <w:bookmarkEnd w:id="1028"/>
      <w:bookmarkEnd w:id="1029"/>
      <w:bookmarkEnd w:id="1030"/>
      <w:bookmarkEnd w:id="1031"/>
      <w:bookmarkEnd w:id="1032"/>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p>
    <w:p>
      <w:pPr>
        <w:pStyle w:val="Normal"/>
        <w:rPr>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shd w:fill="EEEEEE" w:val="clear"/>
        </w:rPr>
      </w:pPr>
      <w:r>
        <w:rPr>
          <w:shd w:fill="EEEEEE" w:val="clear"/>
        </w:rPr>
        <w:t>Wenn eine andere Vorgehensweise gewählt wird, MÜSSEN folgende Anforderungen erfüllt werden:</w:t>
      </w:r>
    </w:p>
    <w:p>
      <w:pPr>
        <w:pStyle w:val="Liste1"/>
        <w:numPr>
          <w:ilvl w:val="0"/>
          <w:numId w:val="466"/>
        </w:numPr>
        <w:spacing w:lineRule="auto" w:line="250"/>
        <w:rPr>
          <w:shd w:fill="EEEEEE" w:val="clear"/>
        </w:rPr>
      </w:pPr>
      <w:r>
        <w:rPr>
          <w:shd w:fill="EEEEEE" w:val="clear"/>
        </w:rPr>
        <w:t>Es wird definiert, wer für die Durchführung verantwortlich ist.</w:t>
      </w:r>
    </w:p>
    <w:p>
      <w:pPr>
        <w:pStyle w:val="Liste1"/>
        <w:ind w:hanging="0" w:left="360"/>
        <w:rPr>
          <w:shd w:fill="EEEEEE" w:val="clear"/>
        </w:rPr>
      </w:pPr>
      <w:r>
        <w:rPr>
          <w:i/>
          <w:iCs/>
          <w:shd w:fill="EEEEEE" w:val="clear"/>
        </w:rPr>
        <w:t>Zusätzlich SOLLTE definiert werden, wer für die Etablierung des Verfahrens ver</w:t>
        <w:softHyphen/>
        <w:t>antwortlich ist.</w:t>
      </w:r>
    </w:p>
    <w:p>
      <w:pPr>
        <w:pStyle w:val="Liste1"/>
        <w:numPr>
          <w:ilvl w:val="0"/>
          <w:numId w:val="467"/>
        </w:numPr>
        <w:spacing w:lineRule="auto" w:line="250"/>
        <w:rPr>
          <w:shd w:fill="EEEEEE" w:val="clear"/>
        </w:rPr>
      </w:pPr>
      <w:r>
        <w:rPr>
          <w:shd w:fill="EEEEEE" w:val="clear"/>
        </w:rPr>
        <w:t>Verfahren werden in einer für die jeweilige Zielgruppe zugänglichen und verständlichen Form dokumentiert und bekannt gegeben.</w:t>
      </w:r>
    </w:p>
    <w:p>
      <w:pPr>
        <w:pStyle w:val="Liste1"/>
        <w:numPr>
          <w:ilvl w:val="0"/>
          <w:numId w:val="468"/>
        </w:numPr>
        <w:spacing w:lineRule="auto" w:line="250"/>
        <w:rPr>
          <w:shd w:fill="EEEEEE" w:val="clear"/>
        </w:rPr>
      </w:pPr>
      <w:r>
        <w:rPr>
          <w:shd w:fill="EEEEEE" w:val="clear"/>
        </w:rPr>
        <w:t xml:space="preserve">Verfahren werden verbessert, wenn Mängel in ihrer </w:t>
      </w:r>
      <w:commentRangeStart w:id="40"/>
      <w:r>
        <w:rPr>
          <w:shd w:fill="EEEEEE" w:val="clear"/>
        </w:rPr>
        <w:t>Umsetzung, Angemessenheit oder Effektivität</w:t>
      </w:r>
      <w:r>
        <w:rPr/>
      </w:r>
      <w:commentRangeEnd w:id="40"/>
      <w:r>
        <w:commentReference w:id="40"/>
      </w:r>
      <w:r>
        <w:rPr>
          <w:shd w:fill="EEEEEE" w:val="clear"/>
        </w:rPr>
        <w:t xml:space="preserve"> erkannt werden.</w:t>
      </w:r>
    </w:p>
    <w:p>
      <w:pPr>
        <w:pStyle w:val="Liste1"/>
        <w:numPr>
          <w:ilvl w:val="0"/>
          <w:numId w:val="469"/>
        </w:numPr>
        <w:spacing w:lineRule="auto" w:line="250"/>
        <w:rPr>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ind w:hanging="0" w:left="0"/>
        <w:rPr>
          <w:shd w:fill="EEEEEE" w:val="clear"/>
        </w:rPr>
      </w:pPr>
      <w:r>
        <w:rPr>
          <w:i/>
          <w:iCs/>
          <w:shd w:fill="EEEEEE" w:val="clear"/>
        </w:rPr>
        <w:t>Es KÖNNEN mehrere Vorgehensweisen in einem Verfahren definiert werden, sofern sie sich ähneln oder logisch zusammengefasst werden können.</w:t>
      </w:r>
    </w:p>
    <w:p>
      <w:pPr>
        <w:pStyle w:val="Liste1"/>
        <w:ind w:hanging="0" w:left="0"/>
        <w:rPr>
          <w:shd w:fill="EEEEEE" w:val="clear"/>
        </w:rPr>
      </w:pPr>
      <w:r>
        <w:rPr>
          <w:i/>
          <w:iCs/>
          <w:shd w:fill="EEEEEE" w:val="clear"/>
        </w:rPr>
        <w:t>Die Prüfung der Umsetzung, Angemessenheit und Effektivität derartiger Verfahren KANN durch eine stichprobenartige Prüfung einzelner Vorgehensweisen erfolgen.</w:t>
      </w:r>
    </w:p>
    <w:p>
      <w:pPr>
        <w:pStyle w:val="Heading7"/>
        <w:ind w:hanging="0" w:left="0"/>
        <w:rPr>
          <w:shd w:fill="EEEEEE" w:val="clear"/>
          <w:lang w:val="de-DE"/>
        </w:rPr>
      </w:pPr>
      <w:bookmarkStart w:id="1049" w:name="__RefHeading___Toc32132_2021121348"/>
      <w:bookmarkStart w:id="1050" w:name="_Ref179186925"/>
      <w:bookmarkStart w:id="1051" w:name="_Toc187327164"/>
      <w:bookmarkStart w:id="1052" w:name="_Toc178761423"/>
      <w:bookmarkStart w:id="1053" w:name="_Ref179187843"/>
      <w:bookmarkStart w:id="1054" w:name="_Ref179188878"/>
      <w:bookmarkStart w:id="1055" w:name="_Toc178588122"/>
      <w:bookmarkStart w:id="1056" w:name="_Ref179186333"/>
      <w:bookmarkStart w:id="1057" w:name="_Ref179186913"/>
      <w:bookmarkStart w:id="1058" w:name="_Toc530662994_Copy_1_Copy_1_Copy_1"/>
      <w:bookmarkStart w:id="1059" w:name="_Toc531165129_Copy_1_Copy_1_Copy_1"/>
      <w:bookmarkStart w:id="1060" w:name="_Ref179187642"/>
      <w:bookmarkStart w:id="1061" w:name="_Ref179188860"/>
      <w:bookmarkStart w:id="1062" w:name="_Ref179187943"/>
      <w:bookmarkStart w:id="1063" w:name="_Ref179187798"/>
      <w:bookmarkStart w:id="1064" w:name="_Ref179186316"/>
      <w:bookmarkStart w:id="1065" w:name="a_2_risikoanalyse_und_-behandlung_Copy_1"/>
      <w:bookmarkStart w:id="1066" w:name="_Ref179187788"/>
      <w:bookmarkStart w:id="1067" w:name="_Ref184205051"/>
      <w:bookmarkStart w:id="1068" w:name="_Ref179187652"/>
      <w:bookmarkEnd w:id="1049"/>
      <w:bookmarkEnd w:id="1058"/>
      <w:bookmarkEnd w:id="1059"/>
      <w:bookmarkEnd w:id="1065"/>
      <w:r>
        <w:rPr>
          <w:shd w:fill="EEEEEE" w:val="clear"/>
          <w:lang w:val="de-DE"/>
        </w:rPr>
        <w:t>Risikomanagement</w:t>
      </w:r>
      <w:bookmarkEnd w:id="1050"/>
      <w:bookmarkEnd w:id="1051"/>
      <w:bookmarkEnd w:id="1052"/>
      <w:bookmarkEnd w:id="1053"/>
      <w:bookmarkEnd w:id="1054"/>
      <w:bookmarkEnd w:id="1055"/>
      <w:bookmarkEnd w:id="1056"/>
      <w:bookmarkEnd w:id="1057"/>
      <w:bookmarkEnd w:id="1060"/>
      <w:bookmarkEnd w:id="1061"/>
      <w:bookmarkEnd w:id="1062"/>
      <w:bookmarkEnd w:id="1063"/>
      <w:bookmarkEnd w:id="1064"/>
      <w:bookmarkEnd w:id="1066"/>
      <w:bookmarkEnd w:id="1067"/>
      <w:bookmarkEnd w:id="1068"/>
    </w:p>
    <w:p>
      <w:pPr>
        <w:pStyle w:val="Heading8"/>
        <w:ind w:hanging="0" w:left="0"/>
        <w:rPr>
          <w:shd w:fill="EEEEEE" w:val="clear"/>
          <w:lang w:val="de-DE"/>
        </w:rPr>
      </w:pPr>
      <w:bookmarkStart w:id="1069" w:name="__RefHeading___Toc32134_2021121348"/>
      <w:bookmarkStart w:id="1070" w:name="_Toc187327165"/>
      <w:bookmarkStart w:id="1071" w:name="_Ref179188660"/>
      <w:bookmarkEnd w:id="1069"/>
      <w:r>
        <w:rPr>
          <w:shd w:fill="EEEEEE" w:val="clear"/>
          <w:lang w:val="de-DE"/>
        </w:rPr>
        <w:t>Definitionen und Analysen</w:t>
      </w:r>
      <w:bookmarkEnd w:id="1070"/>
      <w:bookmarkEnd w:id="1071"/>
    </w:p>
    <w:p>
      <w:pPr>
        <w:pStyle w:val="Normal"/>
        <w:rPr>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shd w:fill="EEEEEE" w:val="clear"/>
          <w:lang w:val="de-DE"/>
        </w:rPr>
      </w:pPr>
      <w:bookmarkStart w:id="1072" w:name="__RefHeading___Toc32136_2021121348"/>
      <w:bookmarkStart w:id="1073" w:name="_Toc178761424"/>
      <w:bookmarkStart w:id="1074" w:name="_Ref184205067"/>
      <w:bookmarkStart w:id="1075" w:name="_Toc187327166"/>
      <w:bookmarkEnd w:id="1072"/>
      <w:r>
        <w:rPr>
          <w:shd w:fill="EEEEEE" w:val="clear"/>
          <w:lang w:val="de-DE"/>
        </w:rPr>
        <w:t>Methodik</w:t>
      </w:r>
      <w:bookmarkEnd w:id="1073"/>
      <w:bookmarkEnd w:id="1074"/>
      <w:bookmarkEnd w:id="1075"/>
    </w:p>
    <w:p>
      <w:pPr>
        <w:pStyle w:val="Normal"/>
        <w:rPr>
          <w:shd w:fill="EEEEEE" w:val="clear"/>
        </w:rPr>
      </w:pPr>
      <w:r>
        <w:rPr>
          <w:shd w:fill="EEEEEE" w:val="clear"/>
        </w:rPr>
        <w:t>Die Vorgehensweisen für die Risikoidentifikation, -analyse und -behandlung MÜSSEN festgelegt sein.</w:t>
      </w:r>
    </w:p>
    <w:p>
      <w:pPr>
        <w:pStyle w:val="Normal"/>
        <w:rPr>
          <w:shd w:fill="EEEEEE" w:val="clear"/>
        </w:rPr>
      </w:pPr>
      <w:r>
        <w:rPr>
          <w:shd w:fill="EEEEEE" w:val="clear"/>
        </w:rPr>
        <w:t>Die Vorgehensweisen MÜSSEN so gewählt sein, dass sie zu reproduzierbaren und schlüssigen Ergebnissen führen.</w:t>
      </w:r>
    </w:p>
    <w:p>
      <w:pPr>
        <w:pStyle w:val="Normal"/>
        <w:jc w:val="left"/>
        <w:rPr>
          <w:shd w:fill="EEEEEE" w:val="clear"/>
        </w:rPr>
      </w:pPr>
      <w:r>
        <w:rPr>
          <w:i/>
          <w:iCs/>
          <w:shd w:fill="EEEEEE" w:val="clear"/>
        </w:rPr>
        <w:t>Die Auswahl der Vorgehensweisen SOLLTE auf Basis eines anerkannten Standards wie z. B. ISO 31010 erfolgen.</w:t>
      </w:r>
    </w:p>
    <w:p>
      <w:pPr>
        <w:pStyle w:val="Heading8"/>
        <w:ind w:hanging="0" w:left="0"/>
        <w:rPr>
          <w:shd w:fill="EEEEEE" w:val="clear"/>
          <w:lang w:val="de-DE"/>
        </w:rPr>
      </w:pPr>
      <w:bookmarkStart w:id="1076" w:name="__RefHeading___Toc32138_2021121348"/>
      <w:bookmarkStart w:id="1077" w:name="_Ref184205084"/>
      <w:bookmarkStart w:id="1078" w:name="_Toc178761425"/>
      <w:bookmarkStart w:id="1079" w:name="_Toc187327167"/>
      <w:bookmarkEnd w:id="1076"/>
      <w:r>
        <w:rPr>
          <w:shd w:fill="EEEEEE" w:val="clear"/>
          <w:lang w:val="de-DE"/>
        </w:rPr>
        <w:t>Risikoidentifikation</w:t>
      </w:r>
      <w:bookmarkEnd w:id="1077"/>
      <w:bookmarkEnd w:id="1078"/>
      <w:bookmarkEnd w:id="1079"/>
    </w:p>
    <w:p>
      <w:pPr>
        <w:pStyle w:val="10000-DefaultParagraph"/>
        <w:rPr>
          <w:shd w:fill="EEEEEE" w:val="clear"/>
          <w:lang w:val="de-DE"/>
        </w:rPr>
      </w:pPr>
      <w:r>
        <w:rPr>
          <w:shd w:fill="EEEEEE" w:val="clear"/>
          <w:lang w:val="de-DE"/>
        </w:rPr>
        <w:t>Jede Risikoidentifikation MUSS folgende Anforderungen erfüllen:</w:t>
      </w:r>
    </w:p>
    <w:p>
      <w:pPr>
        <w:pStyle w:val="10000-DefaultParagraph"/>
        <w:numPr>
          <w:ilvl w:val="0"/>
          <w:numId w:val="470"/>
        </w:numPr>
        <w:rPr>
          <w:shd w:fill="EEEEEE" w:val="clear"/>
          <w:lang w:val="de-DE"/>
        </w:rPr>
      </w:pPr>
      <w:r>
        <w:rPr>
          <w:shd w:fill="EEEEEE" w:val="clear"/>
          <w:lang w:val="de-DE"/>
        </w:rPr>
        <w:t>Ihre Durchführung und ihre Ergebnisse werden dokumentiert.</w:t>
      </w:r>
    </w:p>
    <w:p>
      <w:pPr>
        <w:pStyle w:val="10000-DefaultParagraph"/>
        <w:numPr>
          <w:ilvl w:val="0"/>
          <w:numId w:val="471"/>
        </w:numPr>
        <w:rPr>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shd w:fill="EEEEEE" w:val="clear"/>
          <w:lang w:val="de-DE"/>
        </w:rPr>
      </w:pPr>
      <w:bookmarkStart w:id="1080" w:name="__RefHeading___a_2.2_risikobehandlung_13"/>
      <w:bookmarkStart w:id="1081" w:name="a_2.2_risikobehandlung_Copy_1"/>
      <w:bookmarkStart w:id="1082" w:name="rl%252525252525252525252525252525252522u"/>
      <w:bookmarkStart w:id="1083" w:name="_Toc530662996_Copy_1"/>
      <w:bookmarkStart w:id="1084" w:name="_Toc178761426"/>
      <w:bookmarkStart w:id="1085" w:name="_Ref184205096"/>
      <w:bookmarkStart w:id="1086" w:name="_Toc187327168"/>
      <w:bookmarkStart w:id="1087" w:name="_Toc531165131_Copy_1"/>
      <w:bookmarkEnd w:id="1080"/>
      <w:bookmarkEnd w:id="1082"/>
      <w:r>
        <w:rPr>
          <w:shd w:fill="EEEEEE" w:val="clear"/>
          <w:lang w:val="de-DE"/>
        </w:rPr>
        <w:t>Risiko</w:t>
      </w:r>
      <w:bookmarkEnd w:id="1081"/>
      <w:bookmarkEnd w:id="1083"/>
      <w:bookmarkEnd w:id="1087"/>
      <w:r>
        <w:rPr>
          <w:shd w:fill="EEEEEE" w:val="clear"/>
          <w:lang w:val="de-DE"/>
        </w:rPr>
        <w:t>analyse</w:t>
      </w:r>
      <w:bookmarkEnd w:id="1084"/>
      <w:bookmarkEnd w:id="1085"/>
      <w:bookmarkEnd w:id="1086"/>
    </w:p>
    <w:p>
      <w:pPr>
        <w:pStyle w:val="10000-DefaultParagraph"/>
        <w:rPr>
          <w:shd w:fill="EEEEEE" w:val="clear"/>
          <w:lang w:val="de-DE"/>
        </w:rPr>
      </w:pPr>
      <w:r>
        <w:rPr>
          <w:shd w:fill="EEEEEE" w:val="clear"/>
          <w:lang w:val="de-DE"/>
        </w:rPr>
        <w:t>Jede Risikoanalyse MUSS folgende Anforderungen erfüllen:</w:t>
      </w:r>
    </w:p>
    <w:p>
      <w:pPr>
        <w:pStyle w:val="10000-DefaultParagraph"/>
        <w:numPr>
          <w:ilvl w:val="0"/>
          <w:numId w:val="24"/>
        </w:numPr>
        <w:rPr>
          <w:shd w:fill="EEEEEE" w:val="clear"/>
          <w:lang w:val="de-DE"/>
        </w:rPr>
      </w:pPr>
      <w:r>
        <w:rPr>
          <w:shd w:fill="EEEEEE" w:val="clear"/>
          <w:lang w:val="de-DE"/>
        </w:rPr>
        <w:t>Ihre Durchführung und ihre Ergebnisse werden dokumentiert.</w:t>
      </w:r>
      <w:r>
        <w:rPr/>
        <w:commentReference w:id="41"/>
      </w:r>
    </w:p>
    <w:p>
      <w:pPr>
        <w:pStyle w:val="Normal"/>
        <w:numPr>
          <w:ilvl w:val="0"/>
          <w:numId w:val="24"/>
        </w:numPr>
        <w:rPr>
          <w:lang w:val="de-DE"/>
        </w:rPr>
      </w:pPr>
      <w:r>
        <w:rPr>
          <w:shd w:fill="EEEEEE" w:val="clear"/>
          <w:lang w:val="de-DE"/>
        </w:rPr>
        <w:t xml:space="preserve">Die Bewertung der Risiken erfolgt </w:t>
      </w:r>
      <w:r>
        <w:rPr>
          <w:lang w:val="de-DE"/>
        </w:rPr>
        <w:t>anhand einheitlicher, zuvor festgelegter Kriterien, die folgende Aspekte berücksichtigen:</w:t>
      </w:r>
      <w:r>
        <w:rPr/>
        <w:commentReference w:id="42"/>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Größe der Einrichtung</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Umsetzungskosten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Schwere von Sicherheitsvorfällen (die potentiellen Schäden) sowie</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4"/>
        </w:numPr>
        <w:rPr>
          <w:shd w:fill="EEEEEE" w:val="clear"/>
          <w:lang w:val="de-DE"/>
        </w:rPr>
      </w:pPr>
      <w:r>
        <w:rPr>
          <w:shd w:fill="EEEEEE" w:val="clear"/>
          <w:lang w:val="de-DE"/>
        </w:rPr>
        <w:t>Das Ergebnis der Risikoanalyse ermöglicht eine Priorisierung bei der Risikobehandlung.</w:t>
      </w:r>
    </w:p>
    <w:p>
      <w:pPr>
        <w:pStyle w:val="Heading8"/>
        <w:ind w:hanging="0" w:left="0"/>
        <w:rPr>
          <w:shd w:fill="EEEEEE" w:val="clear"/>
          <w:lang w:val="de-DE"/>
        </w:rPr>
      </w:pPr>
      <w:bookmarkStart w:id="1088" w:name="__RefHeading___a_2.2_risikobehandlung_11"/>
      <w:bookmarkStart w:id="1089" w:name="rl%252525252525252525252525252525252522v"/>
      <w:bookmarkStart w:id="1090" w:name="_Toc530662996"/>
      <w:bookmarkStart w:id="1091" w:name="a_2.2_risikobehandlung"/>
      <w:bookmarkStart w:id="1092" w:name="_Toc531165131"/>
      <w:bookmarkStart w:id="1093" w:name="_Toc187327169"/>
      <w:bookmarkStart w:id="1094" w:name="_Ref184205143"/>
      <w:bookmarkStart w:id="1095" w:name="_Toc178761427"/>
      <w:bookmarkEnd w:id="1088"/>
      <w:bookmarkEnd w:id="1089"/>
      <w:r>
        <w:rPr>
          <w:shd w:fill="EEEEEE" w:val="clear"/>
          <w:lang w:val="de-DE"/>
        </w:rPr>
        <w:t>Risikobehandlung</w:t>
      </w:r>
      <w:bookmarkEnd w:id="1090"/>
      <w:bookmarkEnd w:id="1091"/>
      <w:bookmarkEnd w:id="1092"/>
      <w:bookmarkEnd w:id="1093"/>
      <w:bookmarkEnd w:id="1094"/>
      <w:bookmarkEnd w:id="1095"/>
    </w:p>
    <w:p>
      <w:pPr>
        <w:pStyle w:val="10000-DefaultParagraph"/>
        <w:rPr>
          <w:shd w:fill="EEEEEE" w:val="clear"/>
          <w:lang w:val="de-DE"/>
        </w:rPr>
      </w:pPr>
      <w:r>
        <w:rPr>
          <w:shd w:fill="EEEEEE" w:val="clear"/>
          <w:lang w:val="de-DE"/>
        </w:rPr>
        <w:t>Identifizierte Risiken MÜSSEN zeitnah und priorisiert behandelt werden.</w:t>
      </w:r>
    </w:p>
    <w:p>
      <w:pPr>
        <w:pStyle w:val="10000-DefaultParagraph"/>
        <w:rPr>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r>
        <w:rPr/>
        <w:commentReference w:id="43"/>
      </w:r>
    </w:p>
    <w:p>
      <w:pPr>
        <w:pStyle w:val="10000-Empfehlung"/>
        <w:rPr>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shd w:fill="EEEEEE" w:val="clear"/>
          <w:lang w:val="de-DE"/>
        </w:rPr>
      </w:pPr>
      <w:r>
        <w:rPr>
          <w:shd w:fill="EEEEEE" w:val="clear"/>
          <w:lang w:val="de-DE"/>
        </w:rPr>
        <w:t>Die Akzeptanz von erheblichen Risiken durch das Topmanagement MUSS dokumentiert werden.</w:t>
      </w:r>
    </w:p>
    <w:p>
      <w:pPr>
        <w:pStyle w:val="Heading8"/>
        <w:ind w:hanging="0" w:left="0"/>
        <w:rPr>
          <w:shd w:fill="EEEEEE" w:val="clear"/>
          <w:lang w:val="de-DE"/>
        </w:rPr>
      </w:pPr>
      <w:bookmarkStart w:id="1096" w:name="__RefHeading___Toc32140_2021121348"/>
      <w:bookmarkStart w:id="1097" w:name="_Toc178761428"/>
      <w:bookmarkStart w:id="1098" w:name="_Toc531165132"/>
      <w:bookmarkStart w:id="1099" w:name="_Toc530662997"/>
      <w:bookmarkStart w:id="1100" w:name="a_2.3_wiederholung_und_anpassung"/>
      <w:bookmarkStart w:id="1101" w:name="_Ref184288318"/>
      <w:bookmarkStart w:id="1102" w:name="_Toc187327170"/>
      <w:bookmarkEnd w:id="1096"/>
      <w:r>
        <w:rPr>
          <w:shd w:fill="EEEEEE" w:val="clear"/>
          <w:lang w:val="de-DE"/>
        </w:rPr>
        <w:t>Wiederholung und Anpassung</w:t>
      </w:r>
      <w:bookmarkEnd w:id="1097"/>
      <w:bookmarkEnd w:id="1098"/>
      <w:bookmarkEnd w:id="1099"/>
      <w:bookmarkEnd w:id="1100"/>
      <w:bookmarkEnd w:id="1101"/>
      <w:bookmarkEnd w:id="1102"/>
    </w:p>
    <w:p>
      <w:pPr>
        <w:pStyle w:val="10000-DefaultParagraph"/>
        <w:rPr>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5"/>
        </w:numPr>
        <w:rPr>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5"/>
        </w:numPr>
        <w:rPr>
          <w:shd w:fill="EEEEEE" w:val="clear"/>
          <w:lang w:val="de-DE"/>
        </w:rPr>
      </w:pPr>
      <w:r>
        <w:rPr>
          <w:shd w:fill="EEEEEE" w:val="clear"/>
          <w:lang w:val="de-DE"/>
        </w:rPr>
        <w:t>Der Einsatzzweck des untersuchten Gegenstands hat sich wesentlich geändert.</w:t>
      </w:r>
    </w:p>
    <w:p>
      <w:pPr>
        <w:pStyle w:val="10000-DefaultParagraph"/>
        <w:numPr>
          <w:ilvl w:val="0"/>
          <w:numId w:val="25"/>
        </w:numPr>
        <w:spacing w:before="0" w:after="120"/>
        <w:rPr>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16"/>
      <w:headerReference w:type="default" r:id="rId17"/>
      <w:footerReference w:type="even" r:id="rId18"/>
      <w:footerReference w:type="default" r:id="rId19"/>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5-09-22T11:51:14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bzw. des NIS2-Umsetzungsgesetzes.</w:t>
      </w:r>
    </w:p>
  </w:comment>
  <w:comment w:id="2" w:author="Mark Semmler" w:date="2025-09-22T11:56:54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KANN/SOLLTE-Formulierung. DARF NICHT-Formulierung.</w:t>
      </w:r>
    </w:p>
  </w:comment>
  <w:comment w:id="1" w:author="Mark Semmler" w:date="2025-08-21T13:20:42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In §30 Abs. 3 und Abs. 4 werden Durchführungsrechtsakte der Europäischen Kommission Vorrang vor dem NIS2UmsuCG eingeräumt. Auf diesen Umstand sollten wir hier hinweisen.</w:t>
      </w:r>
    </w:p>
  </w:comment>
  <w:comment w:id="3" w:author="Mark Semmler" w:date="2025-08-23T07:45:21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Die Anforderungen an den Analyse- und Registrierungsprozess sollte zur Unterstützung eines strukturierten Vorgehens in ein eigenes Kapitel ausgelagert werden.</w:t>
      </w:r>
    </w:p>
  </w:comment>
  <w:comment w:id="4" w:author="Mark Semmler" w:date="2025-10-02T11:22:32Z" w:initials="MSe">
    <w:p>
      <w:pPr>
        <w:overflowPunct w:val="true"/>
        <w:bidi w:val="0"/>
        <w:spacing w:lineRule="auto" w:line="240" w:before="0" w:after="0"/>
        <w:jc w:val="left"/>
        <w:rPr/>
      </w:pPr>
      <w:r>
        <w:annotationRef/>
      </w:r>
      <w:r>
        <w:rPr>
          <w:rFonts w:ascii="Liberation Serif" w:hAnsi="Liberation Serif" w:eastAsia="DejaVu Sans" w:cs="Noto Sans Arabic UI"/>
          <w:sz w:val="24"/>
          <w:szCs w:val="24"/>
          <w:lang w:val="en-US" w:eastAsia="en-US" w:bidi="en-US"/>
        </w:rPr>
        <w:t>Umsetzung von § 33 BSIG (Entw.) Registrierungspflicht</w:t>
      </w:r>
    </w:p>
  </w:comment>
  <w:comment w:id="5" w:author="Mark Semmler" w:date="2025-10-02T11:22:03Z" w:initials="MSe">
    <w:p>
      <w:pPr>
        <w:overflowPunct w:val="true"/>
        <w:bidi w:val="0"/>
        <w:spacing w:lineRule="auto" w:line="240" w:before="0" w:after="0"/>
        <w:jc w:val="left"/>
        <w:rPr/>
      </w:pPr>
      <w:r>
        <w:annotationRef/>
      </w:r>
      <w:r>
        <w:rPr>
          <w:rFonts w:ascii="Liberation Serif" w:hAnsi="Liberation Serif" w:eastAsia="DejaVu Sans" w:cs="Noto Sans Arabic UI"/>
          <w:sz w:val="24"/>
          <w:szCs w:val="24"/>
          <w:lang w:val="en-US" w:eastAsia="en-US" w:bidi="en-US"/>
        </w:rPr>
        <w:t>Umsetzung von § 34 BSIG (Entw.) Besondere Registrierungspflicht</w:t>
      </w:r>
    </w:p>
  </w:comment>
  <w:comment w:id="6" w:author="Mark Semmler" w:date="2025-08-26T09:32:14Z" w:initials="MSe">
    <w:p>
      <w:pPr>
        <w:overflowPunct w:val="true"/>
        <w:bidi w:val="0"/>
        <w:spacing w:lineRule="auto" w:line="247" w:before="0" w:after="6387"/>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Unterschied zur VdS 10k: Anwendungen und Lieferanten hinzugekommen.</w:t>
      </w:r>
    </w:p>
  </w:comment>
  <w:comment w:id="7" w:author="Mark Semmler" w:date="2025-08-25T10:32:17Z" w:initials="MSe">
    <w:p>
      <w:pPr>
        <w:overflowPunct w:val="true"/>
        <w:bidi w:val="0"/>
        <w:spacing w:lineRule="auto" w:line="247" w:before="0" w:after="6387"/>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OT mit in die Beispiele aufgenommen. Rückportieren in die VdS 10000:2025 noch möglich?</w:t>
      </w:r>
    </w:p>
  </w:comment>
  <w:comment w:id="8" w:author="Mark Semmler" w:date="2025-10-13T15:09:56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Quelle: https://www.bbk.bund.de/DE/Infothek/Glossar/_functions/glossar.html?lv3=65230&amp;lv2=19756</w:t>
      </w:r>
    </w:p>
    <w:p>
      <w:pPr>
        <w:overflowPunct w:val="false"/>
        <w:spacing w:lineRule="auto" w:line="240" w:before="0" w:after="0"/>
        <w:jc w:val="left"/>
        <w:rPr/>
      </w:pPr>
      <w:r>
        <w:rPr>
          <w:rFonts w:ascii="Liberation Serif" w:hAnsi="Liberation Serif" w:eastAsia="DejaVu Sans" w:cs="Noto Sans Arabic UI"/>
          <w:sz w:val="24"/>
          <w:szCs w:val="24"/>
          <w:lang w:val="en-US" w:eastAsia="en-US" w:bidi="en-US"/>
        </w:rPr>
        <w:t>vom Bundesamt für Bevölkerungsschutz und Katastrophenhilfe.</w:t>
      </w:r>
    </w:p>
  </w:comment>
  <w:comment w:id="9" w:author="Mark Semmler" w:date="2025-10-23T15:24:10Z" w:initials="MSe">
    <w:p>
      <w:pPr>
        <w:tabs>
          <w:tab w:val="left" w:pos="0" w:leader="none"/>
        </w:tabs>
        <w:overflowPunct w:val="false"/>
        <w:bidi w:val="0"/>
        <w:spacing w:lineRule="auto" w:line="245" w:before="0" w:after="660"/>
        <w:ind w:left="0" w:right="0" w:hanging="0"/>
        <w:jc w:val="left"/>
        <w:rPr/>
      </w:pPr>
      <w:r>
        <w:annotationRef/>
      </w:r>
      <w:r>
        <w:rPr>
          <w:rFonts w:ascii="Arial" w:hAnsi="Arial" w:eastAsia="Bitstream Vera Sans" w:cs="Bitstream Vera Sans"/>
          <w:color w:val="auto"/>
          <w:kern w:val="0"/>
          <w:sz w:val="20"/>
          <w:szCs w:val="24"/>
          <w:lang w:val="de-DE" w:eastAsia="en-US" w:bidi="en-US"/>
        </w:rPr>
        <w:t xml:space="preserve">NIS-2 fordert Informationssicherheit bereits in der Entwicklung bzw. Planung zu berücksichtigen (§30 BSIG (Entw.) Abs.1 Punkt 5). Dabei ist die Entwicklung/Planung der IT-Infrastruktur, der IT-Ressourcen und der Arbeitsabläufe gemeint – unabhängig davon, ob dies für die Entwicklung für interne Zwecke bestimmt ist (also für die Organisation stattfindet) oder ob IT-Infrastruktur, IT-Ressourcen oder Arbeitsabläufe für Kunden entworfen werden. </w:t>
      </w:r>
    </w:p>
    <w:p>
      <w:pPr>
        <w:tabs>
          <w:tab w:val="left" w:pos="0" w:leader="none"/>
        </w:tabs>
        <w:overflowPunct w:val="false"/>
        <w:bidi w:val="0"/>
        <w:spacing w:lineRule="auto" w:line="245" w:before="0" w:after="660"/>
        <w:ind w:left="0" w:right="0" w:hanging="0"/>
        <w:jc w:val="left"/>
        <w:rPr/>
      </w:pPr>
      <w:r>
        <w:rPr>
          <w:rFonts w:ascii="Arial" w:hAnsi="Arial" w:eastAsia="Bitstream Vera Sans" w:cs="Bitstream Vera Sans"/>
          <w:color w:val="auto"/>
          <w:kern w:val="0"/>
          <w:sz w:val="20"/>
          <w:szCs w:val="24"/>
          <w:lang w:val="de-DE" w:eastAsia="en-US" w:bidi="en-US"/>
        </w:rPr>
        <w:t>Die Anforderungen müssen für die (Fort-)Entwicklungen von alle Arten von IT-Infrastrukturen, von IT-Systemen und von Dienstleistungen definiert werden – egal ob für die Organisation selbst oder für Kunden.</w:t>
      </w:r>
    </w:p>
    <w:p>
      <w:pPr>
        <w:tabs>
          <w:tab w:val="left" w:pos="0" w:leader="none"/>
        </w:tabs>
        <w:overflowPunct w:val="false"/>
        <w:bidi w:val="0"/>
        <w:spacing w:lineRule="auto" w:line="245" w:before="0" w:after="660"/>
        <w:ind w:left="0" w:right="0" w:hanging="0"/>
        <w:jc w:val="left"/>
        <w:rPr/>
      </w:pPr>
      <w:r>
        <w:rPr>
          <w:rFonts w:ascii="Arial" w:hAnsi="Arial" w:eastAsia="Bitstream Vera Sans" w:cs="Bitstream Vera Sans"/>
          <w:color w:val="auto"/>
          <w:kern w:val="0"/>
          <w:sz w:val="20"/>
          <w:szCs w:val="24"/>
          <w:lang w:val="de-DE" w:eastAsia="en-US" w:bidi="en-US"/>
        </w:rPr>
        <w:t>Dreh- und Angelpunkt für die entspannte Umsetzung ist die Verantwortlichkeit „Projektverantwortlicher“, weil wir davon ausgehen können, dass die Entwicklung von IT-Infrastrukturen, IT-Ressourcen und Prozessen im Zuge von Projekten durchgeführt wird (unabhängig davon, ob es sich um interne Projekte oder um Entwicklungen für Kunden handelt).</w:t>
      </w:r>
    </w:p>
  </w:comment>
  <w:comment w:id="10" w:author="Mark Semmler" w:date="2025-10-29T08:46:20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Verfahren können so gestaltet sein, dass sie nur die zu erreichenden Qualitätsparameter verbindlich vorgeben und im Übrigen viele Freiheitsgrade in der konkreten Ausführung oder Prozessgestaltung lassen.</w:t>
      </w:r>
    </w:p>
    <w:p>
      <w:pPr>
        <w:overflowPunct w:val="false"/>
        <w:spacing w:lineRule="auto" w:line="240" w:before="0" w:after="0"/>
        <w:jc w:val="left"/>
        <w:rPr/>
      </w:pPr>
      <w:r>
        <w:rPr>
          <w:rFonts w:ascii="Liberation Serif" w:hAnsi="Liberation Serif" w:eastAsia="DejaVu Sans" w:cs="Noto Sans Arabic UI"/>
          <w:sz w:val="24"/>
          <w:szCs w:val="24"/>
          <w:lang w:val="en-US" w:eastAsia="en-US" w:bidi="en-US"/>
        </w:rPr>
        <w:t>Dadurch bleibt Raum für individuelles / kreatives Vorgehen.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ascii="Liberation Serif" w:hAnsi="Liberation Serif" w:eastAsia="DejaVu Sans" w:cs="Noto Sans Arabic UI"/>
          <w:sz w:val="24"/>
          <w:szCs w:val="24"/>
          <w:lang w:val="en-US" w:eastAsia="en-US" w:bidi="en-US"/>
        </w:rPr>
        <w:t>Übernehmen in die VdS 10k.</w:t>
      </w:r>
    </w:p>
  </w:comment>
  <w:comment w:id="11" w:author="Mark Semmler" w:date="2025-08-22T16:02:05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Umsetzung von §38 BSIGE Abs. 1:</w:t>
      </w:r>
    </w:p>
    <w:p>
      <w:pPr>
        <w:overflowPunct w:val="false"/>
        <w:spacing w:lineRule="auto" w:line="240" w:before="0" w:after="0"/>
        <w:ind w:left="0" w:right="0" w:hanging="0"/>
        <w:jc w:val="left"/>
        <w:rPr/>
      </w:pP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Geschäftsleitungen besonders wichtiger Einrichtungen und wichtiger Einrichtungen sind verpflichtet, die von diesen Einrichtungen nach § 30 zu ergreifenden Risikomanagementmaßnahmen umzusetzen und ihre Umsetzung zu überwachen.</w:t>
      </w:r>
    </w:p>
  </w:comment>
  <w:comment w:id="12" w:author="Mark Semmler" w:date="2025-11-22T10:12:01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ToDo: Verzahnung mit Kapitel 14 anstreben.</w:t>
      </w:r>
    </w:p>
  </w:comment>
  <w:comment w:id="13" w:author="Mark Semmler" w:date="2025-11-22T10:10:58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Noch relevant? Wird über Kapitel 14 erschlagen.</w:t>
      </w:r>
    </w:p>
  </w:comment>
  <w:comment w:id="14" w:author="Mark Semmler" w:date="2025-11-22T10:25:32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Anpassen auf Kapitel 14.</w:t>
      </w:r>
    </w:p>
  </w:comment>
  <w:comment w:id="15" w:author="Mark Semmler" w:date="2025-08-23T10:51:19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TODO:</w:t>
      </w:r>
    </w:p>
    <w:p>
      <w:pPr>
        <w:overflowPunct w:val="false"/>
        <w:spacing w:lineRule="auto" w:line="240" w:before="0" w:after="0"/>
        <w:jc w:val="left"/>
        <w:rPr/>
      </w:pPr>
      <w:r>
        <w:rPr>
          <w:rFonts w:ascii="Liberation Serif" w:hAnsi="Liberation Serif" w:eastAsia="DejaVu Sans" w:cs="Noto Sans Arabic UI"/>
          <w:sz w:val="24"/>
          <w:szCs w:val="24"/>
          <w:lang w:val="de-DE" w:eastAsia="en-US" w:bidi="en-US"/>
        </w:rPr>
        <w:t xml:space="preserve">Aufnehmen: Verweis auf Rechtsverordnungen gem. §56 Abs. 3, Durchführungsrechtsakte der Europäischen Kommission gem. §30 Abs. 4 und 5 und ggf. weiterer dynamischer Regelungen.  </w:t>
      </w:r>
    </w:p>
  </w:comment>
  <w:comment w:id="16" w:author="Mark Semmler" w:date="2025-09-23T11:27:17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Streichen, da redundant?!</w:t>
      </w:r>
    </w:p>
  </w:comment>
  <w:comment w:id="17" w:author="Mark Semmler" w:date="2025-08-23T10:33:02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Setzt um: §30 BSIGE (Risikomanagementmaßnahmen besonders wichtiger und wichtiger Einrichtungen) Abs. 2 Punkt 7 („grundlegende Schulungen und Sensibilisierungsmaßnahmen im Bereich der Sicherheit der Informationstechnik“)</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comment>
  <w:comment w:id="18" w:author="Mark Semmler" w:date="2025-10-13T23:04:12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Muss die Inhalte von § 38 BSIGE (Umsetzungs-, Überwachungs- und Schulungspflicht für Geschäftsleitungen besonders wichtiger Einrichtungen und wichtiger Einrichtungen), Abs. 3 auf Seite 47 NIS2UmsuCGE vom 25.07.2025 entsprechen: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ascii="Liberation Serif" w:hAnsi="Liberation Serif" w:eastAsia="DejaVu Sans" w:cs="Noto Sans Arabic UI"/>
          <w:sz w:val="24"/>
          <w:szCs w:val="24"/>
          <w:lang w:val="de-DE" w:eastAsia="en-US" w:bidi="en-US"/>
        </w:rPr>
        <w:t>„Die Geschäftsleitungen (betroffener Einrichtungen) müssen regelmäßig an Schulungen teilnehmen, um ausreichende Kenntnisse und Fähigkeiten zur Erkennung und Bewertung von Risiken und von Risikomanagementpraktiken im Bereich der Sicherheit in der Informationstechnik zu erlangen sowie um die Auswirkungen von Risiken sowie Risikomanagementpraktiken auf die von der Einrichtung erbrachten Dienste beurteilen zu können.“</w:t>
      </w:r>
    </w:p>
  </w:comment>
  <w:comment w:id="19" w:author="Mark Semmler" w:date="2025-09-24T09:41:30Z" w:initials="MSe">
    <w:p>
      <w:pPr>
        <w:overflowPunct w:val="false"/>
        <w:spacing w:before="0" w:after="0" w:lineRule="auto" w:line="240"/>
        <w:jc w:val="left"/>
        <w:rPr/>
      </w:pPr>
      <w:r>
        <w:annotationRef/>
      </w:r>
      <w:r>
        <w:rPr>
          <w:rFonts w:ascii="Liberation Serif" w:hAnsi="Liberation Serif" w:eastAsia="DejaVu Sans" w:cs="Noto Sans Arabic UI"/>
          <w:sz w:val="24"/>
          <w:szCs w:val="24"/>
          <w:lang w:val="en-US" w:eastAsia="en-US" w:bidi="en-US"/>
        </w:rPr>
        <w:t>Asset-Management bei NIS-2?!</w:t>
      </w:r>
    </w:p>
  </w:comment>
  <w:comment w:id="20" w:author="Mark Semmler" w:date="2025-10-29T12:19:06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Generischer formuliert. Übernehmen in die VdS 10k.</w:t>
      </w:r>
    </w:p>
  </w:comment>
  <w:comment w:id="21" w:author="Mark Semmler" w:date="2025-01-29T14:21:11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 xml:space="preserve">Eingefügt aufgrund von NIS2DVO (EU) 2024/2690, Beweggrund 23. </w:t>
      </w:r>
    </w:p>
  </w:comment>
  <w:comment w:id="22" w:author="Mark Semmler" w:date="2025-08-26T09:44:58Z" w:initials="MSe">
    <w:p>
      <w:pPr>
        <w:overflowPunct w:val="false"/>
        <w:spacing w:before="0" w:after="0" w:lineRule="auto" w:line="240"/>
        <w:jc w:val="left"/>
        <w:rPr/>
      </w:pPr>
      <w:r>
        <w:annotationRef/>
      </w:r>
      <w:r>
        <w:rPr>
          <w:rFonts w:ascii="Liberation Serif" w:hAnsi="Liberation Serif" w:eastAsia="DejaVu Sans" w:cs="Noto Sans Arabic UI"/>
          <w:sz w:val="24"/>
          <w:szCs w:val="24"/>
          <w:lang w:val="de-DE" w:eastAsia="en-US" w:bidi="en-US"/>
        </w:rPr>
        <w:t>Ein „SOLLTE“ ist ausreichend, weil wir die Netzwerksegmentierung in der VdS 10100 stärker gemacht haben.</w:t>
      </w:r>
    </w:p>
  </w:comment>
  <w:comment w:id="23" w:author="Mark Semmler" w:date="2025-10-29T09:26:12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Kann gestrichen werden, da wir die Entwicklung über die Projektverantwortlichen „erschlagen“?!</w:t>
      </w:r>
    </w:p>
  </w:comment>
  <w:comment w:id="24" w:author="Mark Semmler" w:date="2025-09-24T12:20:16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Gesamten Abschnitt in einzelne Kapitel ausfspalten?!</w:t>
      </w:r>
    </w:p>
  </w:comment>
  <w:comment w:id="25" w:author="Mark Semmler" w:date="2025-11-21T14:22:13Z" w:initials="MSe">
    <w:p>
      <w:pPr>
        <w:overflowPunct w:val="false"/>
        <w:spacing w:before="0" w:after="0" w:lineRule="auto" w:line="240"/>
        <w:jc w:val="left"/>
        <w:rPr/>
      </w:pPr>
      <w:r>
        <w:annotationRef/>
      </w:r>
      <w:r>
        <w:rPr>
          <w:rFonts w:ascii="Liberation Serif" w:hAnsi="Liberation Serif" w:eastAsia="DejaVu Sans" w:cs="Noto Sans Arabic UI"/>
          <w:sz w:val="24"/>
          <w:szCs w:val="24"/>
          <w:lang w:val="en-US" w:eastAsia="en-US" w:bidi="en-US"/>
        </w:rPr>
        <w:t>Kann gestrichen werden, wenn es ein Kapitel „Kryptografie“ gibt.</w:t>
      </w:r>
    </w:p>
  </w:comment>
  <w:comment w:id="26" w:author="Mark Semmler" w:date="2025-09-25T10:13:28Z" w:initials="MSe">
    <w:p>
      <w:pPr>
        <w:overflowPunct w:val="false"/>
        <w:spacing w:before="0" w:after="0" w:lineRule="auto" w:line="240"/>
        <w:jc w:val="left"/>
        <w:rPr/>
      </w:pPr>
      <w:r>
        <w:annotationRef/>
      </w:r>
      <w:r>
        <w:rPr>
          <w:rFonts w:ascii="Liberation Serif" w:hAnsi="Liberation Serif" w:eastAsia="DejaVu Sans" w:cs="Noto Sans Arabic UI"/>
          <w:sz w:val="24"/>
          <w:szCs w:val="24"/>
          <w:lang w:val="en-US" w:eastAsia="en-US" w:bidi="en-US"/>
        </w:rPr>
        <w:t>Kriterien der Kritikalität….</w:t>
      </w:r>
    </w:p>
  </w:comment>
  <w:comment w:id="27" w:author="Mark Semmler" w:date="2025-11-21T14:22:50Z" w:initials="MSe">
    <w:p>
      <w:pPr>
        <w:overflowPunct w:val="true"/>
        <w:bidi w:val="0"/>
        <w:spacing w:lineRule="auto" w:line="240" w:before="0" w:after="0"/>
        <w:jc w:val="left"/>
        <w:rPr/>
      </w:pPr>
      <w:r>
        <w:annotationRef/>
      </w:r>
      <w:r>
        <w:rPr>
          <w:rFonts w:ascii="Liberation Serif" w:hAnsi="Liberation Serif" w:eastAsia="DejaVu Sans" w:cs="Noto Sans Arabic UI"/>
          <w:sz w:val="24"/>
          <w:szCs w:val="24"/>
          <w:lang w:val="en-US" w:eastAsia="en-US" w:bidi="en-US"/>
        </w:rPr>
        <w:t>Kann gestrichen werden, wenn es ein Kapitel „Kryptografie“ gibt.</w:t>
      </w:r>
    </w:p>
  </w:comment>
  <w:comment w:id="28" w:author="Mark Semmler" w:date="2025-11-21T14:23:06Z" w:initials="MSe">
    <w:p>
      <w:pPr>
        <w:overflowPunct w:val="true"/>
        <w:bidi w:val="0"/>
        <w:spacing w:lineRule="auto" w:line="240" w:before="0" w:after="0"/>
        <w:jc w:val="left"/>
        <w:rPr/>
      </w:pPr>
      <w:r>
        <w:annotationRef/>
      </w:r>
      <w:r>
        <w:rPr>
          <w:rFonts w:ascii="Liberation Serif" w:hAnsi="Liberation Serif" w:eastAsia="DejaVu Sans" w:cs="Noto Sans Arabic UI"/>
          <w:sz w:val="24"/>
          <w:szCs w:val="24"/>
          <w:lang w:val="en-US" w:eastAsia="en-US" w:bidi="en-US"/>
        </w:rPr>
        <w:t>Kann gestrichen werden, wenn es ein Kapitel „Kryptografie“ gibt.</w:t>
      </w:r>
    </w:p>
  </w:comment>
  <w:comment w:id="29" w:author="Mark Semmler" w:date="2025-11-21T13:10:34Z" w:initials="MSe">
    <w:p>
      <w:pPr>
        <w:overflowPunct w:val="false"/>
        <w:bidi w:val="0"/>
        <w:spacing w:before="420" w:after="349" w:lineRule="auto" w:line="245"/>
        <w:jc w:val="left"/>
        <w:rPr/>
      </w:pPr>
      <w:r>
        <w:annotationRef/>
      </w:r>
      <w:r>
        <w:rPr>
          <w:rFonts w:ascii="Arial" w:hAnsi="Arial" w:eastAsia="Bitstream Vera Sans" w:cs="Bitstream Vera Sans"/>
          <w:color w:val="auto"/>
          <w:kern w:val="0"/>
          <w:sz w:val="20"/>
          <w:szCs w:val="24"/>
          <w:lang w:val="de-DE" w:eastAsia="en-US" w:bidi="en-US"/>
        </w:rPr>
        <w:t>In der BWL steht „Güter“ für alles, was wirtschaftlich genutzt, produziert oder gehandelt wird, einschließlich materieller Güter (Produkte) und immaterieller Leistungen (Dienstleistungen).</w:t>
      </w:r>
    </w:p>
    <w:p>
      <w:pPr>
        <w:overflowPunct w:val="false"/>
        <w:spacing w:before="0" w:after="0" w:lineRule="auto" w:line="240"/>
        <w:jc w:val="left"/>
        <w:rPr/>
      </w:pPr>
      <w:r>
        <w:rPr>
          <w:rFonts w:ascii="Arial" w:hAnsi="Arial" w:eastAsia="Bitstream Vera Sans" w:cs="Bitstream Vera Sans"/>
          <w:color w:val="auto"/>
          <w:kern w:val="0"/>
          <w:sz w:val="20"/>
          <w:szCs w:val="24"/>
          <w:lang w:val="de-DE" w:eastAsia="en-US" w:bidi="en-US"/>
        </w:rPr>
        <w:t>Wir nutzen in diesem Kapitel eine generische Sichtweise und fassen unter dem Begriff „Güter für die Informationsverarbeitung“ alle Leistungen und Produkte zusammen, die die Organisation für die Informationsverarbeitung von Lieferanten einkauft. Damit entfallen die Begriffe „IT-Outsourcing“, „Cloud-Computing“, „Provider“ usw.</w:t>
      </w:r>
    </w:p>
    <w:p>
      <w:pPr>
        <w:overflowPunct w:val="false"/>
        <w:bidi w:val="0"/>
        <w:spacing w:before="0" w:after="212" w:lineRule="auto" w:line="245"/>
        <w:jc w:val="left"/>
        <w:rPr/>
      </w:pPr>
      <w:r>
        <w:rPr>
          <w:rFonts w:ascii="Arial" w:hAnsi="Arial" w:eastAsia="Bitstream Vera Sans" w:cs="Bitstream Vera Sans"/>
          <w:color w:val="auto"/>
          <w:kern w:val="0"/>
          <w:sz w:val="20"/>
          <w:szCs w:val="24"/>
          <w:lang w:val="de-DE" w:eastAsia="en-US" w:bidi="en-US"/>
        </w:rPr>
        <w:t>Zusätzlich erfassen wir eingekaufte IT-Systeme und Software.</w:t>
      </w:r>
    </w:p>
  </w:comment>
  <w:comment w:id="30" w:author="Mark Semmler" w:date="2025-11-21T11:13:34Z" w:initials="MSe">
    <w:p>
      <w:pPr>
        <w:overflowPunct w:val="false"/>
        <w:bidi w:val="0"/>
        <w:spacing w:before="0" w:after="212" w:lineRule="auto" w:line="245"/>
        <w:ind w:left="0" w:right="0" w:hanging="0"/>
        <w:jc w:val="left"/>
        <w:rPr/>
      </w:pPr>
      <w:r>
        <w:annotationRef/>
      </w:r>
      <w:r>
        <w:rPr>
          <w:rFonts w:ascii="Arial" w:hAnsi="Arial" w:eastAsia="Bitstream Vera Sans" w:cs="Bitstream Vera Sans"/>
          <w:color w:val="auto"/>
          <w:kern w:val="0"/>
          <w:sz w:val="20"/>
          <w:szCs w:val="24"/>
          <w:lang w:val="de-DE" w:eastAsia="en-US" w:bidi="en-US"/>
        </w:rPr>
        <w:t>Lieferanten/Dienstleister der Schutzkategorie „wichtig“ sind IT-Ressourcen, die für den Betrieb eines zentralen Prozesses oder eines Prozesses mit hohem Schadenspotential (siehe Abschnitt 9.2) zwingend benötigt werden.</w:t>
      </w:r>
    </w:p>
    <w:p>
      <w:pPr>
        <w:overflowPunct w:val="false"/>
        <w:bidi w:val="0"/>
        <w:spacing w:before="0" w:after="212" w:lineRule="auto" w:line="245"/>
        <w:ind w:left="0" w:right="0" w:hanging="0"/>
        <w:jc w:val="left"/>
        <w:rPr/>
      </w:pPr>
      <w:r>
        <w:rPr>
          <w:rFonts w:ascii="Arial" w:hAnsi="Arial" w:eastAsia="Bitstream Vera Sans" w:cs="Bitstream Vera Sans"/>
          <w:color w:val="auto"/>
          <w:kern w:val="0"/>
          <w:sz w:val="20"/>
          <w:szCs w:val="24"/>
          <w:lang w:val="de-DE" w:eastAsia="en-US" w:bidi="en-US"/>
        </w:rPr>
        <w:t>Hier möchte die VdS 10100 erreichen, dass das Thema „Informationssicherheit“ strukturiert bearbeitet wird.</w:t>
      </w:r>
    </w:p>
    <w:p>
      <w:pPr>
        <w:overflowPunct w:val="false"/>
        <w:bidi w:val="0"/>
        <w:spacing w:before="0" w:after="212" w:lineRule="auto" w:line="245"/>
        <w:ind w:left="0" w:right="0" w:hanging="0"/>
        <w:jc w:val="left"/>
        <w:rPr/>
      </w:pPr>
      <w:r>
        <w:rPr>
          <w:rFonts w:ascii="Arial" w:hAnsi="Arial" w:eastAsia="Bitstream Vera Sans" w:cs="Bitstream Vera Sans"/>
          <w:color w:val="auto"/>
          <w:kern w:val="0"/>
          <w:sz w:val="20"/>
          <w:szCs w:val="24"/>
          <w:lang w:val="de-DE" w:eastAsia="en-US" w:bidi="en-US"/>
        </w:rPr>
        <w:t>Wir wollen sicherstellen, dass Sicherheitsprobleme in die IT-Infrastruktur des Lieferanten nicht die IT-Infrastruktur der Organisation gefährden können. Zusätzlich muss die angestrebte Verfügbarkeit, Integrität und Vertraulichkeit der ausgelagerten IT-Ressourcen vom Dienstleister sichergestellt werden.</w:t>
      </w:r>
    </w:p>
  </w:comment>
  <w:comment w:id="31" w:author="Mark Semmler" w:date="2025-08-27T08:59:31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internes Audit</w:t>
      </w:r>
    </w:p>
  </w:comment>
  <w:comment w:id="32" w:author="Mark Semmler" w:date="2025-08-29T10:53:14Z" w:initials="MSe">
    <w:p>
      <w:pPr>
        <w:overflowPunct w:val="false"/>
        <w:spacing w:before="0" w:after="0" w:lineRule="auto" w:line="240"/>
        <w:jc w:val="left"/>
        <w:rPr/>
      </w:pPr>
      <w:r>
        <w:annotationRef/>
      </w:r>
      <w:r>
        <w:rPr>
          <w:rFonts w:ascii="Liberation Serif" w:hAnsi="Liberation Serif" w:eastAsia="DejaVu Sans" w:cs="Noto Sans Arabic UI"/>
          <w:sz w:val="24"/>
          <w:szCs w:val="24"/>
          <w:lang w:val="en-US" w:eastAsia="en-US" w:bidi="en-US"/>
        </w:rPr>
        <w:t>Bug in der VdS 10k. Hier gefixt.</w:t>
      </w:r>
    </w:p>
  </w:comment>
  <w:comment w:id="33" w:author="Mark Semmler" w:date="2025-09-25T12:02:41Z" w:initials="MSe">
    <w:p>
      <w:pPr>
        <w:overflowPunct w:val="false"/>
        <w:spacing w:before="0" w:after="0" w:lineRule="auto" w:line="240"/>
        <w:jc w:val="left"/>
        <w:rPr/>
      </w:pPr>
      <w:r>
        <w:annotationRef/>
      </w:r>
      <w:r>
        <w:rPr>
          <w:rFonts w:ascii="Liberation Serif" w:hAnsi="Liberation Serif" w:eastAsia="DejaVu Sans" w:cs="Noto Sans Arabic UI"/>
          <w:sz w:val="24"/>
          <w:szCs w:val="24"/>
          <w:lang w:val="en-US" w:eastAsia="en-US" w:bidi="en-US"/>
        </w:rPr>
        <w:t>Internes Audit!</w:t>
      </w:r>
    </w:p>
  </w:comment>
  <w:comment w:id="35" w:author="Mark Semmler" w:date="2025-01-14T22:30:37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0.7.21-ToDo: Hinweis aufnehmen: Prozesse untersuchen, mögliche Schadensereignisse identifizieren, Reaktion darauf planen - BIA</w:t>
      </w:r>
    </w:p>
  </w:comment>
  <w:comment w:id="34" w:author="Mark Semmler" w:date="2025-11-22T10:08:54Z" w:initials="MSe">
    <w:p>
      <w:pPr>
        <w:overflowPunct w:val="false"/>
        <w:spacing w:before="0" w:after="0" w:lineRule="auto" w:line="240"/>
        <w:jc w:val="left"/>
        <w:rPr/>
      </w:pPr>
      <w:r>
        <w:annotationRef/>
      </w:r>
      <w:r>
        <w:rPr>
          <w:rFonts w:ascii="Liberation Serif" w:hAnsi="Liberation Serif" w:eastAsia="DejaVu Sans" w:cs="Noto Sans Arabic UI"/>
          <w:sz w:val="24"/>
          <w:szCs w:val="24"/>
          <w:lang w:val="en-US" w:eastAsia="en-US" w:bidi="en-US"/>
        </w:rPr>
        <w:t>SOLLTE oder MUSS?</w:t>
      </w:r>
    </w:p>
  </w:comment>
  <w:comment w:id="36" w:author="Mark Semmler" w:date="2025-10-15T11:32:27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Wir brauchen eine Organisation, die in einer Krise funktionsfähig ist.</w:t>
      </w:r>
    </w:p>
    <w:p>
      <w:pPr>
        <w:overflowPunct w:val="false"/>
        <w:spacing w:before="0" w:after="0" w:lineRule="auto" w:line="240"/>
        <w:jc w:val="left"/>
        <w:rPr/>
      </w:pPr>
      <w:r>
        <w:rPr>
          <w:rFonts w:cs="Noto Sans Arabic UI" w:ascii="Liberation Serif" w:hAnsi="Liberation Serif" w:eastAsia="DejaVu Sans"/>
          <w:sz w:val="24"/>
          <w:szCs w:val="24"/>
          <w:lang w:val="en-US" w:eastAsia="en-US" w:bidi="en-US"/>
        </w:rPr>
        <w:t>* Positionen für das Krisenteam identifizieren</w:t>
      </w:r>
    </w:p>
    <w:p>
      <w:pPr>
        <w:overflowPunct w:val="false"/>
        <w:spacing w:before="0" w:after="0" w:lineRule="auto" w:line="240"/>
        <w:jc w:val="left"/>
        <w:rPr/>
      </w:pPr>
      <w:r>
        <w:rPr>
          <w:rFonts w:cs="Noto Sans Arabic UI" w:ascii="Liberation Serif" w:hAnsi="Liberation Serif" w:eastAsia="DejaVu Sans"/>
          <w:sz w:val="24"/>
          <w:szCs w:val="24"/>
          <w:lang w:val="en-US" w:eastAsia="en-US" w:bidi="en-US"/>
        </w:rPr>
        <w:t>* Befugnisse definieren</w:t>
      </w:r>
    </w:p>
    <w:p>
      <w:pPr>
        <w:overflowPunct w:val="false"/>
        <w:spacing w:before="0" w:after="0" w:lineRule="auto" w:line="240"/>
        <w:jc w:val="left"/>
        <w:rPr/>
      </w:pPr>
      <w:r>
        <w:rPr>
          <w:rFonts w:cs="Noto Sans Arabic UI" w:ascii="Liberation Serif" w:hAnsi="Liberation Serif" w:eastAsia="DejaVu Sans"/>
          <w:sz w:val="24"/>
          <w:szCs w:val="24"/>
          <w:lang w:val="en-US" w:eastAsia="en-US" w:bidi="en-US"/>
        </w:rPr>
        <w:t>* Kommunikation klären (→ Krisenkommunikation)</w:t>
      </w:r>
    </w:p>
  </w:comment>
  <w:comment w:id="37" w:author="Mark Semmler" w:date="2025-11-22T10:30:16Z" w:initials="MSe">
    <w:p>
      <w:pPr>
        <w:overflowPunct w:val="false"/>
        <w:autoSpaceDE w:val="false"/>
        <w:bidi w:val="0"/>
        <w:spacing w:before="0" w:after="120" w:lineRule="auto" w:line="245"/>
        <w:ind w:left="0" w:hanging="0"/>
        <w:jc w:val="left"/>
        <w:rPr/>
      </w:pPr>
      <w:r>
        <w:annotationRef/>
      </w:r>
      <w:r>
        <w:rPr>
          <w:rFonts w:ascii="Arial" w:hAnsi="Arial" w:cs="Bitstream Vera Sans" w:eastAsia="Bitstream Vera Sans"/>
          <w:color w:val="auto"/>
          <w:kern w:val="0"/>
          <w:sz w:val="20"/>
          <w:szCs w:val="24"/>
          <w:lang w:eastAsia="en-US" w:val="de-DE" w:bidi="en-US"/>
        </w:rPr>
        <w:t>In der VdS 10100 / VdS 10000 sind bereits verschiedene Mechanismen für die Überwachung und Steuerung implementiert.</w:t>
      </w:r>
    </w:p>
    <w:p>
      <w:pPr>
        <w:overflowPunct w:val="false"/>
        <w:autoSpaceDE w:val="false"/>
        <w:bidi w:val="0"/>
        <w:spacing w:lineRule="auto" w:line="245" w:before="0" w:after="120"/>
        <w:ind w:left="0" w:hanging="0"/>
        <w:jc w:val="both"/>
        <w:rPr/>
      </w:pPr>
      <w:r>
        <w:rPr>
          <w:rFonts w:ascii="Arial" w:hAnsi="Arial" w:eastAsia="Arial" w:cs="Arial"/>
          <w:color w:val="auto"/>
          <w:kern w:val="0"/>
          <w:sz w:val="20"/>
          <w:szCs w:val="20"/>
          <w:u w:val="single"/>
          <w:lang w:bidi="ar-SA" w:eastAsia="en-US" w:val="de-DE"/>
        </w:rPr>
        <w:t>Die VdS 10k schreibt aktuell folgende interne Audits vor:</w:t>
      </w:r>
    </w:p>
    <w:p>
      <w:pPr>
        <w:overflowPunct w:val="false"/>
        <w:autoSpaceDE w:val="false"/>
        <w:bidi w:val="0"/>
        <w:spacing w:lineRule="auto" w:line="245" w:before="0" w:after="120"/>
        <w:ind w:left="0" w:hanging="0"/>
        <w:jc w:val="both"/>
        <w:rPr/>
      </w:pPr>
      <w:r>
        <w:rPr>
          <w:rFonts w:ascii="Arial" w:hAnsi="Arial" w:eastAsia="Arial" w:cs="Arial"/>
          <w:b/>
          <w:bCs/>
          <w:color w:val="auto"/>
          <w:kern w:val="0"/>
          <w:sz w:val="20"/>
          <w:szCs w:val="20"/>
          <w:lang w:bidi="ar-SA" w:eastAsia="en-US" w:val="de-DE"/>
        </w:rPr>
        <w:t>4 Organisation → 4.2 Verantwortlichkeiten → 4.2.2 Zuweisung und Dokumentation</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lang w:bidi="ar-SA" w:eastAsia="en-US" w:val="de-DE"/>
        </w:rPr>
        <w:t>„Es MUSS für jede Verantwortlichkeit dokumentiert werden (…)</w:t>
      </w:r>
      <w:r>
        <w:rPr>
          <w:rFonts w:ascii="Arial" w:hAnsi="Arial" w:eastAsia="Arial" w:cs="Arial"/>
          <w:color w:val="auto"/>
          <w:kern w:val="0"/>
          <w:sz w:val="20"/>
          <w:szCs w:val="20"/>
          <w:lang w:bidi="ar-SA" w:eastAsia="en-US" w:val="de-DE"/>
        </w:rPr>
        <w:br/>
      </w:r>
      <w:r>
        <w:rPr>
          <w:rFonts w:ascii="Arial" w:hAnsi="Arial" w:eastAsia="Arial" w:cs="Arial"/>
          <w:color w:val="auto"/>
          <w:kern w:val="0"/>
          <w:sz w:val="20"/>
          <w:szCs w:val="20"/>
          <w:lang w:bidi="ar-SA" w:eastAsia="en-US" w:val="de-DE"/>
        </w:rPr>
        <w:t>6. wie und durch welche Position(en) die Erfüllung der Verantwortlichkeit überprüft wird“</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b/>
          <w:bCs/>
          <w:color w:val="auto"/>
          <w:kern w:val="0"/>
          <w:sz w:val="20"/>
          <w:szCs w:val="20"/>
          <w:lang w:bidi="ar-SA" w:eastAsia="en-US" w:val="de-DE"/>
        </w:rPr>
        <w:t>4 Organisation → 4.2 Verantwortlichkeiten → 4.2.3 Funktionstrennungen</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lang w:bidi="ar-SA" w:eastAsia="en-US" w:val="de-DE"/>
        </w:rPr>
        <w:t>„Um Zuständigkeitslücken oder Überschneidungen von Verantwortlichkeiten zu vermeiden, MÜSSEN die entsprechenden Regelungen jährlich vom Informationssicherheits­beauftragten (ISB) überprüft werden.“</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b/>
          <w:bCs/>
          <w:color w:val="auto"/>
          <w:kern w:val="0"/>
          <w:sz w:val="20"/>
          <w:szCs w:val="20"/>
          <w:lang w:bidi="ar-SA" w:eastAsia="en-US" w:val="de-DE"/>
        </w:rPr>
        <w:t>11 Netzwerke → 11.4 Netzübergänge</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lang w:bidi="ar-SA" w:eastAsia="en-US" w:val="de-DE"/>
        </w:rPr>
        <w:t>„Die Konfiguration der Netzwerkkomponenten, die einen Netzwerkübergang zu weniger oder nicht vertrauenswürdigen Netzwerken implementieren, MUSS jährlich überprüft werden.“</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b/>
          <w:bCs/>
          <w:color w:val="auto"/>
          <w:kern w:val="0"/>
          <w:sz w:val="20"/>
          <w:szCs w:val="20"/>
          <w:lang w:bidi="ar-SA" w:eastAsia="en-US" w:val="de-DE"/>
        </w:rPr>
        <w:t>15 Zugänge und Zugriffsrechte → 15.3 Zusätzliche Maßnahmen für kritische IT-Systeme und Informationen</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lang w:bidi="ar-SA" w:eastAsia="en-US" w:val="de-DE"/>
        </w:rPr>
        <w:t>„Alle Zugänge zu kritischen IT-Systemen, sämtliche Zugriffsrechte auf kritische Informationen sowie sämtliche Zutrittsrechte zu kritischen IT-Systemen MÜSSEN jährlich erfasst und daraufhin überprüft werden, ob sie gemäß der Verfahren aus Abschnitt 15.2 angelegt wurden und benötigt werden.“</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b/>
          <w:bCs/>
          <w:color w:val="auto"/>
          <w:kern w:val="0"/>
          <w:sz w:val="20"/>
          <w:szCs w:val="20"/>
          <w:lang w:bidi="ar-SA" w:eastAsia="en-US" w:val="de-DE"/>
        </w:rPr>
        <w:t>Anhang A Verfahren und Risikomanagement → A.1 Verfahren</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lang w:bidi="ar-SA" w:eastAsia="en-US" w:val="de-DE"/>
        </w:rPr>
        <w:t>„Umsetzung, Angemessenheit und Effektivität werden jährlich bei einem Drittel der Verfahren überprüft.“</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lang w:bidi="ar-SA" w:eastAsia="en-US" w:val="de-DE"/>
        </w:rPr>
        <w:t xml:space="preserve">Unklar: Brauchen wir eine Richtlinie, um die Anforderung nach einem </w:t>
      </w:r>
      <w:r>
        <w:rPr>
          <w:rFonts w:ascii="Arial" w:hAnsi="Arial" w:eastAsia="Arial" w:cs="DejaVu Sans"/>
          <w:color w:val="auto"/>
          <w:kern w:val="0"/>
          <w:sz w:val="20"/>
          <w:szCs w:val="22"/>
          <w:lang w:val="de-DE" w:eastAsia="en-US" w:bidi="ar-SA"/>
        </w:rPr>
        <w:t>„Konzept“ zu erfüllen?</w:t>
      </w:r>
    </w:p>
  </w:comment>
  <w:comment w:id="38" w:author="Mark Semmler" w:date="2025-11-22T15:48:13Z" w:initials="MSe">
    <w:p>
      <w:pPr>
        <w:overflowPunct w:val="false"/>
        <w:autoSpaceDE w:val="false"/>
        <w:bidi w:val="0"/>
        <w:spacing w:before="0" w:after="120" w:lineRule="auto" w:line="245"/>
        <w:jc w:val="both"/>
        <w:rPr/>
      </w:pPr>
      <w:r>
        <w:annotationRef/>
      </w:r>
      <w:r>
        <w:rPr>
          <w:rFonts w:ascii="Arial" w:hAnsi="Arial" w:eastAsia="Arial" w:cs="Arial"/>
          <w:color w:val="auto"/>
          <w:kern w:val="0"/>
          <w:sz w:val="20"/>
          <w:szCs w:val="20"/>
          <w:lang w:val="de-DE" w:eastAsia="en-US" w:bidi="ar-SA"/>
        </w:rPr>
        <w:t>Dieses Kapitel nutzt den Begriff „Güter für die Informationsverarbeitung“ wie in Kapitel 14.</w:t>
      </w:r>
    </w:p>
  </w:comment>
  <w:comment w:id="39" w:author="Mark Semmler" w:date="2025-11-22T16:33:38Z" w:initials="MSe">
    <w:p>
      <w:pPr>
        <w:overflowPunct w:val="false"/>
        <w:autoSpaceDE w:val="false"/>
        <w:bidi w:val="0"/>
        <w:spacing w:before="0" w:after="120" w:lineRule="auto" w:line="245"/>
        <w:jc w:val="both"/>
        <w:rPr/>
      </w:pPr>
      <w:r>
        <w:annotationRef/>
      </w:r>
      <w:r>
        <w:rPr>
          <w:rFonts w:ascii="Arial" w:hAnsi="Arial" w:eastAsia="Arial" w:cs="Arial"/>
          <w:color w:val="auto"/>
          <w:kern w:val="0"/>
          <w:sz w:val="20"/>
          <w:szCs w:val="20"/>
          <w:lang w:val="de-DE" w:eastAsia="en-US" w:bidi="ar-SA"/>
        </w:rPr>
        <w:t>Wenn die oberen Maßnahmen zu einem MUSS werden: Ausweg!</w:t>
      </w:r>
    </w:p>
  </w:comment>
  <w:comment w:id="40" w:author="Mark Semmler" w:date="2025-09-22T12:09:21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3-Klang aus dem NIS2-Umsetzungsgesetz an dieser Stelle einfügen (geeignet, verhältnismäßig und wirksam)?</w:t>
      </w:r>
    </w:p>
  </w:comment>
  <w:comment w:id="41" w:author="Mark Semmler" w:date="2025-08-23T15:10:15Z" w:initials="MSe">
    <w:p>
      <w:pPr>
        <w:overflowPunct w:val="true"/>
        <w:bidi w:val="0"/>
        <w:spacing w:lineRule="auto" w:line="247" w:before="0" w:after="6387"/>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Setzt um: §30 Abs. 1, Satz 3 („Die Einhaltung der Verpflichtung nach Satz 1 ist durch die Einrichtungen zu dokumentieren.“)</w:t>
      </w:r>
    </w:p>
  </w:comment>
  <w:comment w:id="42" w:author="Mark Semmler" w:date="2025-08-23T15:08:38Z" w:initials="MSe">
    <w:p>
      <w:pPr>
        <w:overflowPunct w:val="true"/>
        <w:bidi w:val="0"/>
        <w:spacing w:lineRule="auto" w:line="247" w:before="0" w:after="6387"/>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Setzt um: §30 Abs. 1, Satz 2 („Bei der Bewertung der Verhältnismäßigkeit der Maßnahmen nach Satz 1 sind das Ausmaß der Risikoexposition, die Größe der Einrichtung, die Umsetzungskosten und die Eintrittswahrscheinlichkeit und Schwere von Sicherheitsvorfällen sowie ihre gesellschaftlichen und wirtschaftlichen Auswirkungen zu berücksichtigen.“</w:t>
      </w:r>
    </w:p>
  </w:comment>
  <w:comment w:id="43" w:author="Mark Semmler" w:date="2025-01-29T11:07:57Z" w:initials="MSe">
    <w:p>
      <w:pPr>
        <w:overflowPunct w:val="true"/>
        <w:bidi w:val="0"/>
        <w:spacing w:lineRule="auto" w:line="247" w:before="0" w:after="6387"/>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Eingefügt aufgrund von NIS-2-Durchführungsverordnung (EU) 2024/2690, Beweggrund 11. (siehe https://eur-lex.europa.eu/legal-content/DE/TXT/PDF/?uri=OJ:L_202402690), Seite 3</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Dieses Dokument ist ein Entwurf – keine Gewähr für Inhalte und Struktur. You have been warned.</w:t>
      <w:tab/>
    </w:r>
    <w:r>
      <w:rPr>
        <w:lang w:val="de-DE"/>
      </w:rPr>
      <w:fldChar w:fldCharType="begin"/>
    </w:r>
    <w:r>
      <w:rPr>
        <w:lang w:val="de-DE"/>
      </w:rPr>
      <w:instrText xml:space="preserve"> PAGE </w:instrText>
    </w:r>
    <w:r>
      <w:rPr>
        <w:lang w:val="de-DE"/>
      </w:rPr>
      <w:fldChar w:fldCharType="separate"/>
    </w:r>
    <w:r>
      <w:rPr>
        <w:lang w:val="de-DE"/>
      </w:rPr>
      <w:t>52</w:t>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fldChar w:fldCharType="begin"/>
    </w:r>
    <w:r>
      <w:rPr/>
      <w:instrText xml:space="preserve"> PAGE </w:instrText>
    </w:r>
    <w:r>
      <w:rPr/>
      <w:fldChar w:fldCharType="separate"/>
    </w:r>
    <w:r>
      <w:rPr/>
      <w:t>51</w:t>
    </w:r>
    <w:r>
      <w:rPr/>
      <w:fldChar w:fldCharType="end"/>
    </w:r>
    <w:r>
      <w:rPr>
        <w:lang w:val="de-DE"/>
      </w:rPr>
      <w:tab/>
      <w:t>Dieses Dokument ist ein Entwurf – keine Gewähr für Inhalte und Struktur. You have been warned.</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03" w:name="_Hlk177383159_Copy_11"/>
    <w:bookmarkStart w:id="1104" w:name="_Hlk177383160_Copy_11"/>
    <w:bookmarkStart w:id="1105" w:name="_Hlk177383161_Copy_11"/>
    <w:bookmarkStart w:id="1106" w:name="_Hlk177383158_Copy_11"/>
    <w:r>
      <w:rPr>
        <w:lang w:val="de-DE"/>
      </w:rPr>
      <w:t>VdS 10100, Version 0.7.2</w:t>
    </w:r>
    <w:r>
      <w:rPr>
        <w:lang w:val="de-DE"/>
      </w:rPr>
      <w:t>2</w:t>
    </w:r>
    <w:r>
      <w:rPr>
        <w:lang w:val="de-DE"/>
      </w:rPr>
      <w:t xml:space="preserve"> </w:t>
    </w:r>
    <w:r>
      <w:rPr>
        <w:bCs/>
        <w:lang w:val="de-DE"/>
      </w:rPr>
      <w:t>vom 2</w:t>
    </w:r>
    <w:r>
      <w:rPr>
        <w:bCs/>
        <w:lang w:val="de-DE"/>
      </w:rPr>
      <w:t>2</w:t>
    </w:r>
    <w:r>
      <w:rPr>
        <w:bCs/>
        <w:lang w:val="de-DE"/>
      </w:rPr>
      <w:t>.11.2025</w:t>
    </w:r>
    <w:bookmarkStart w:id="1107" w:name="_Hlk177383308_Copy_11"/>
    <w:r>
      <w:rPr>
        <w:b/>
        <w:lang w:val="de-DE"/>
      </w:rPr>
      <w:t xml:space="preserve"> </w:t>
    </w:r>
    <w:bookmarkEnd w:id="1107"/>
    <w:r>
      <w:rPr>
        <w:b/>
        <w:lang w:val="de-DE"/>
      </w:rPr>
      <w:tab/>
    </w:r>
    <w:r>
      <w:rPr>
        <w:lang w:val="de-DE"/>
      </w:rPr>
      <w:tab/>
    </w:r>
    <w:bookmarkEnd w:id="1103"/>
    <w:bookmarkEnd w:id="1104"/>
    <w:bookmarkEnd w:id="1105"/>
    <w:bookmarkEnd w:id="1106"/>
    <w:r>
      <w:rPr>
        <w:lang w:val="de-DE"/>
      </w:rPr>
      <w:t>Strukturierte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08" w:name="_Hlk177383161"/>
    <w:bookmarkStart w:id="1109" w:name="_Hlk177383158"/>
    <w:bookmarkStart w:id="1110" w:name="_Hlk177383159"/>
    <w:bookmarkStart w:id="1111" w:name="_Hlk177383160"/>
    <w:r>
      <w:rPr>
        <w:lang w:val="de-DE"/>
      </w:rPr>
      <w:t>VdS 10100, Version 0.7.2</w:t>
    </w:r>
    <w:r>
      <w:rPr>
        <w:lang w:val="de-DE"/>
      </w:rPr>
      <w:t>2</w:t>
    </w:r>
    <w:r>
      <w:rPr>
        <w:lang w:val="de-DE"/>
      </w:rPr>
      <w:t xml:space="preserve"> </w:t>
    </w:r>
    <w:r>
      <w:rPr>
        <w:bCs/>
        <w:lang w:val="de-DE"/>
      </w:rPr>
      <w:t>vom 2</w:t>
    </w:r>
    <w:r>
      <w:rPr>
        <w:bCs/>
        <w:lang w:val="de-DE"/>
      </w:rPr>
      <w:t>2</w:t>
    </w:r>
    <w:r>
      <w:rPr>
        <w:bCs/>
        <w:lang w:val="de-DE"/>
      </w:rPr>
      <w:t>.11.2025</w:t>
    </w:r>
    <w:bookmarkStart w:id="1112" w:name="_Hlk177383308"/>
    <w:r>
      <w:rPr>
        <w:b/>
        <w:lang w:val="de-DE"/>
      </w:rPr>
      <w:t xml:space="preserve"> </w:t>
    </w:r>
    <w:bookmarkEnd w:id="1112"/>
    <w:r>
      <w:rPr>
        <w:lang w:val="de-DE"/>
      </w:rPr>
      <w:tab/>
      <w:tab/>
    </w:r>
    <w:bookmarkEnd w:id="1108"/>
    <w:bookmarkEnd w:id="1109"/>
    <w:bookmarkEnd w:id="1110"/>
    <w:bookmarkEnd w:id="1111"/>
    <w:r>
      <w:rPr>
        <w:shd w:fill="auto" w:val="clear"/>
        <w:lang w:val="de-DE"/>
      </w:rPr>
      <w:t>Struk</w:t>
    </w:r>
    <w:r>
      <w:rPr>
        <w:lang w:val="de-DE"/>
      </w:rPr>
      <w:t>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decimal"/>
      <w:lvlText w:val="%1."/>
      <w:lvlJc w:val="left"/>
      <w:pPr>
        <w:tabs>
          <w:tab w:val="num" w:pos="1051"/>
        </w:tabs>
        <w:ind w:left="1051" w:hanging="360"/>
      </w:pPr>
      <w:rPr/>
    </w:lvl>
    <w:lvl w:ilvl="1">
      <w:start w:val="1"/>
      <w:numFmt w:val="decimal"/>
      <w:lvlText w:val="%2."/>
      <w:lvlJc w:val="left"/>
      <w:pPr>
        <w:tabs>
          <w:tab w:val="num" w:pos="1411"/>
        </w:tabs>
        <w:ind w:left="1411" w:hanging="360"/>
      </w:pPr>
      <w:rPr/>
    </w:lvl>
    <w:lvl w:ilvl="2">
      <w:start w:val="1"/>
      <w:numFmt w:val="decimal"/>
      <w:lvlText w:val="%3."/>
      <w:lvlJc w:val="left"/>
      <w:pPr>
        <w:tabs>
          <w:tab w:val="num" w:pos="1771"/>
        </w:tabs>
        <w:ind w:left="1771" w:hanging="360"/>
      </w:pPr>
      <w:rPr/>
    </w:lvl>
    <w:lvl w:ilvl="3">
      <w:start w:val="1"/>
      <w:numFmt w:val="decimal"/>
      <w:lvlText w:val="%4."/>
      <w:lvlJc w:val="left"/>
      <w:pPr>
        <w:tabs>
          <w:tab w:val="num" w:pos="2131"/>
        </w:tabs>
        <w:ind w:left="2131" w:hanging="360"/>
      </w:pPr>
      <w:rPr/>
    </w:lvl>
    <w:lvl w:ilvl="4">
      <w:start w:val="1"/>
      <w:numFmt w:val="decimal"/>
      <w:lvlText w:val="%5."/>
      <w:lvlJc w:val="left"/>
      <w:pPr>
        <w:tabs>
          <w:tab w:val="num" w:pos="2491"/>
        </w:tabs>
        <w:ind w:left="2491" w:hanging="360"/>
      </w:pPr>
      <w:rPr/>
    </w:lvl>
    <w:lvl w:ilvl="5">
      <w:start w:val="1"/>
      <w:numFmt w:val="decimal"/>
      <w:lvlText w:val="%6."/>
      <w:lvlJc w:val="left"/>
      <w:pPr>
        <w:tabs>
          <w:tab w:val="num" w:pos="2851"/>
        </w:tabs>
        <w:ind w:left="2851" w:hanging="360"/>
      </w:pPr>
      <w:rPr/>
    </w:lvl>
    <w:lvl w:ilvl="6">
      <w:start w:val="1"/>
      <w:numFmt w:val="decimal"/>
      <w:lvlText w:val="%7."/>
      <w:lvlJc w:val="left"/>
      <w:pPr>
        <w:tabs>
          <w:tab w:val="num" w:pos="3211"/>
        </w:tabs>
        <w:ind w:left="3211" w:hanging="360"/>
      </w:pPr>
      <w:rPr/>
    </w:lvl>
    <w:lvl w:ilvl="7">
      <w:start w:val="1"/>
      <w:numFmt w:val="decimal"/>
      <w:lvlText w:val="%8."/>
      <w:lvlJc w:val="left"/>
      <w:pPr>
        <w:tabs>
          <w:tab w:val="num" w:pos="3571"/>
        </w:tabs>
        <w:ind w:left="3571" w:hanging="360"/>
      </w:pPr>
      <w:rPr/>
    </w:lvl>
    <w:lvl w:ilvl="8">
      <w:start w:val="1"/>
      <w:numFmt w:val="decimal"/>
      <w:lvlText w:val="%9."/>
      <w:lvlJc w:val="left"/>
      <w:pPr>
        <w:tabs>
          <w:tab w:val="num" w:pos="3931"/>
        </w:tabs>
        <w:ind w:left="3931" w:hanging="360"/>
      </w:pPr>
      <w:rPr/>
    </w:lvl>
  </w:abstractNum>
  <w:abstractNum w:abstractNumId="2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3">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0">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7">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0">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3">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6">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9">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0">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1">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7">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3">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42"/>
    <w:lvlOverride w:ilvl="0">
      <w:startOverride w:val="1"/>
    </w:lvlOverride>
  </w:num>
  <w:num w:numId="258">
    <w:abstractNumId w:val="42"/>
  </w:num>
  <w:num w:numId="259">
    <w:abstractNumId w:val="42"/>
  </w:num>
  <w:num w:numId="260">
    <w:abstractNumId w:val="42"/>
    <w:lvlOverride w:ilvl="0">
      <w:startOverride w:val="1"/>
    </w:lvlOverride>
  </w:num>
  <w:num w:numId="261">
    <w:abstractNumId w:val="42"/>
  </w:num>
  <w:num w:numId="262">
    <w:abstractNumId w:val="42"/>
  </w:num>
  <w:num w:numId="263">
    <w:abstractNumId w:val="42"/>
  </w:num>
  <w:num w:numId="264">
    <w:abstractNumId w:val="42"/>
  </w:num>
  <w:num w:numId="265">
    <w:abstractNumId w:val="42"/>
    <w:lvlOverride w:ilvl="0">
      <w:startOverride w:val="1"/>
    </w:lvlOverride>
  </w:num>
  <w:num w:numId="266">
    <w:abstractNumId w:val="42"/>
  </w:num>
  <w:num w:numId="267">
    <w:abstractNumId w:val="42"/>
  </w:num>
  <w:num w:numId="268">
    <w:abstractNumId w:val="42"/>
  </w:num>
  <w:num w:numId="269">
    <w:abstractNumId w:val="42"/>
  </w:num>
  <w:num w:numId="270">
    <w:abstractNumId w:val="42"/>
  </w:num>
  <w:num w:numId="271">
    <w:abstractNumId w:val="42"/>
  </w:num>
  <w:num w:numId="272">
    <w:abstractNumId w:val="42"/>
    <w:lvlOverride w:ilvl="0">
      <w:startOverride w:val="1"/>
    </w:lvlOverride>
  </w:num>
  <w:num w:numId="273">
    <w:abstractNumId w:val="42"/>
  </w:num>
  <w:num w:numId="274">
    <w:abstractNumId w:val="42"/>
  </w:num>
  <w:num w:numId="275">
    <w:abstractNumId w:val="42"/>
    <w:lvlOverride w:ilvl="0">
      <w:startOverride w:val="1"/>
    </w:lvlOverride>
  </w:num>
  <w:num w:numId="276">
    <w:abstractNumId w:val="42"/>
  </w:num>
  <w:num w:numId="277">
    <w:abstractNumId w:val="42"/>
  </w:num>
  <w:num w:numId="278">
    <w:abstractNumId w:val="42"/>
  </w:num>
  <w:num w:numId="279">
    <w:abstractNumId w:val="64"/>
    <w:lvlOverride w:ilvl="0">
      <w:startOverride w:val="1"/>
    </w:lvlOverride>
  </w:num>
  <w:num w:numId="280">
    <w:abstractNumId w:val="64"/>
  </w:num>
  <w:num w:numId="281">
    <w:abstractNumId w:val="64"/>
  </w:num>
  <w:num w:numId="282">
    <w:abstractNumId w:val="64"/>
  </w:num>
  <w:num w:numId="283">
    <w:abstractNumId w:val="64"/>
  </w:num>
  <w:num w:numId="284">
    <w:abstractNumId w:val="64"/>
    <w:lvlOverride w:ilvl="0">
      <w:startOverride w:val="1"/>
    </w:lvlOverride>
  </w:num>
  <w:num w:numId="285">
    <w:abstractNumId w:val="64"/>
  </w:num>
  <w:num w:numId="286">
    <w:abstractNumId w:val="64"/>
  </w:num>
  <w:num w:numId="287">
    <w:abstractNumId w:val="64"/>
    <w:lvlOverride w:ilvl="0">
      <w:startOverride w:val="1"/>
    </w:lvlOverride>
  </w:num>
  <w:num w:numId="288">
    <w:abstractNumId w:val="64"/>
  </w:num>
  <w:num w:numId="289">
    <w:abstractNumId w:val="64"/>
    <w:lvlOverride w:ilvl="0">
      <w:startOverride w:val="1"/>
    </w:lvlOverride>
  </w:num>
  <w:num w:numId="290">
    <w:abstractNumId w:val="64"/>
  </w:num>
  <w:num w:numId="291">
    <w:abstractNumId w:val="64"/>
    <w:lvlOverride w:ilvl="0">
      <w:startOverride w:val="1"/>
    </w:lvlOverride>
  </w:num>
  <w:num w:numId="292">
    <w:abstractNumId w:val="64"/>
  </w:num>
  <w:num w:numId="293">
    <w:abstractNumId w:val="64"/>
    <w:lvlOverride w:ilvl="0">
      <w:startOverride w:val="1"/>
    </w:lvlOverride>
  </w:num>
  <w:num w:numId="294">
    <w:abstractNumId w:val="64"/>
  </w:num>
  <w:num w:numId="295">
    <w:abstractNumId w:val="64"/>
  </w:num>
  <w:num w:numId="296">
    <w:abstractNumId w:val="64"/>
  </w:num>
  <w:num w:numId="297">
    <w:abstractNumId w:val="42"/>
    <w:lvlOverride w:ilvl="0">
      <w:startOverride w:val="1"/>
    </w:lvlOverride>
  </w:num>
  <w:num w:numId="298">
    <w:abstractNumId w:val="26"/>
  </w:num>
  <w:num w:numId="299">
    <w:abstractNumId w:val="26"/>
    <w:lvlOverride w:ilvl="0">
      <w:startOverride w:val="1"/>
    </w:lvlOverride>
    <w:lvlOverride w:ilvl="1">
      <w:startOverride w:val="1"/>
    </w:lvlOverride>
  </w:num>
  <w:num w:numId="300">
    <w:abstractNumId w:val="26"/>
  </w:num>
  <w:num w:numId="301">
    <w:abstractNumId w:val="26"/>
  </w:num>
  <w:num w:numId="302">
    <w:abstractNumId w:val="26"/>
    <w:lvlOverride w:ilvl="0">
      <w:startOverride w:val="1"/>
    </w:lvlOverride>
    <w:lvlOverride w:ilvl="1">
      <w:startOverride w:val="1"/>
    </w:lvlOverride>
  </w:num>
  <w:num w:numId="303">
    <w:abstractNumId w:val="42"/>
    <w:lvlOverride w:ilvl="0">
      <w:startOverride w:val="1"/>
    </w:lvlOverride>
  </w:num>
  <w:num w:numId="304">
    <w:abstractNumId w:val="42"/>
  </w:num>
  <w:num w:numId="305">
    <w:abstractNumId w:val="42"/>
  </w:num>
  <w:num w:numId="306">
    <w:abstractNumId w:val="42"/>
  </w:num>
  <w:num w:numId="307">
    <w:abstractNumId w:val="42"/>
  </w:num>
  <w:num w:numId="308">
    <w:abstractNumId w:val="42"/>
  </w:num>
  <w:num w:numId="309">
    <w:abstractNumId w:val="94"/>
    <w:lvlOverride w:ilvl="0">
      <w:startOverride w:val="1"/>
    </w:lvlOverride>
  </w:num>
  <w:num w:numId="310">
    <w:abstractNumId w:val="94"/>
  </w:num>
  <w:num w:numId="311">
    <w:abstractNumId w:val="94"/>
  </w:num>
  <w:num w:numId="312">
    <w:abstractNumId w:val="94"/>
  </w:num>
  <w:num w:numId="313">
    <w:abstractNumId w:val="94"/>
    <w:lvlOverride w:ilvl="0">
      <w:startOverride w:val="1"/>
    </w:lvlOverride>
  </w:num>
  <w:num w:numId="314">
    <w:abstractNumId w:val="94"/>
  </w:num>
  <w:num w:numId="315">
    <w:abstractNumId w:val="94"/>
  </w:num>
  <w:num w:numId="316">
    <w:abstractNumId w:val="94"/>
    <w:lvlOverride w:ilvl="0">
      <w:startOverride w:val="1"/>
    </w:lvlOverride>
  </w:num>
  <w:num w:numId="317">
    <w:abstractNumId w:val="94"/>
  </w:num>
  <w:num w:numId="318">
    <w:abstractNumId w:val="94"/>
  </w:num>
  <w:num w:numId="319">
    <w:abstractNumId w:val="94"/>
  </w:num>
  <w:num w:numId="320">
    <w:abstractNumId w:val="94"/>
  </w:num>
  <w:num w:numId="321">
    <w:abstractNumId w:val="94"/>
  </w:num>
  <w:num w:numId="322">
    <w:abstractNumId w:val="94"/>
    <w:lvlOverride w:ilvl="0">
      <w:startOverride w:val="1"/>
    </w:lvlOverride>
  </w:num>
  <w:num w:numId="323">
    <w:abstractNumId w:val="94"/>
  </w:num>
  <w:num w:numId="324">
    <w:abstractNumId w:val="94"/>
  </w:num>
  <w:num w:numId="325">
    <w:abstractNumId w:val="94"/>
  </w:num>
  <w:num w:numId="326">
    <w:abstractNumId w:val="94"/>
  </w:num>
  <w:num w:numId="327">
    <w:abstractNumId w:val="94"/>
  </w:num>
  <w:num w:numId="328">
    <w:abstractNumId w:val="33"/>
    <w:lvlOverride w:ilvl="0">
      <w:startOverride w:val="1"/>
    </w:lvlOverride>
  </w:num>
  <w:num w:numId="329">
    <w:abstractNumId w:val="94"/>
    <w:lvlOverride w:ilvl="0">
      <w:startOverride w:val="1"/>
    </w:lvlOverride>
  </w:num>
  <w:num w:numId="330">
    <w:abstractNumId w:val="94"/>
  </w:num>
  <w:num w:numId="331">
    <w:abstractNumId w:val="94"/>
  </w:num>
  <w:num w:numId="332">
    <w:abstractNumId w:val="94"/>
  </w:num>
  <w:num w:numId="333">
    <w:abstractNumId w:val="42"/>
    <w:lvlOverride w:ilvl="0">
      <w:startOverride w:val="1"/>
    </w:lvlOverride>
  </w:num>
  <w:num w:numId="334">
    <w:abstractNumId w:val="42"/>
  </w:num>
  <w:num w:numId="335">
    <w:abstractNumId w:val="42"/>
  </w:num>
  <w:num w:numId="336">
    <w:abstractNumId w:val="42"/>
    <w:lvlOverride w:ilvl="0">
      <w:startOverride w:val="1"/>
    </w:lvlOverride>
  </w:num>
  <w:num w:numId="337">
    <w:abstractNumId w:val="42"/>
  </w:num>
  <w:num w:numId="338">
    <w:abstractNumId w:val="42"/>
  </w:num>
  <w:num w:numId="339">
    <w:abstractNumId w:val="42"/>
  </w:num>
  <w:num w:numId="340">
    <w:abstractNumId w:val="42"/>
    <w:lvlOverride w:ilvl="0">
      <w:startOverride w:val="1"/>
    </w:lvlOverride>
  </w:num>
  <w:num w:numId="341">
    <w:abstractNumId w:val="42"/>
  </w:num>
  <w:num w:numId="342">
    <w:abstractNumId w:val="42"/>
    <w:lvlOverride w:ilvl="0">
      <w:startOverride w:val="1"/>
    </w:lvlOverride>
  </w:num>
  <w:num w:numId="343">
    <w:abstractNumId w:val="42"/>
  </w:num>
  <w:num w:numId="344">
    <w:abstractNumId w:val="42"/>
  </w:num>
  <w:num w:numId="345">
    <w:abstractNumId w:val="42"/>
    <w:lvlOverride w:ilvl="0">
      <w:startOverride w:val="1"/>
    </w:lvlOverride>
  </w:num>
  <w:num w:numId="346">
    <w:abstractNumId w:val="42"/>
  </w:num>
  <w:num w:numId="347">
    <w:abstractNumId w:val="42"/>
  </w:num>
  <w:num w:numId="348">
    <w:abstractNumId w:val="42"/>
  </w:num>
  <w:num w:numId="349">
    <w:abstractNumId w:val="134"/>
    <w:lvlOverride w:ilvl="0">
      <w:startOverride w:val="1"/>
    </w:lvlOverride>
  </w:num>
  <w:num w:numId="350">
    <w:abstractNumId w:val="134"/>
  </w:num>
  <w:num w:numId="351">
    <w:abstractNumId w:val="134"/>
  </w:num>
  <w:num w:numId="352">
    <w:abstractNumId w:val="134"/>
  </w:num>
  <w:num w:numId="353">
    <w:abstractNumId w:val="134"/>
    <w:lvlOverride w:ilvl="0">
      <w:startOverride w:val="1"/>
    </w:lvlOverride>
  </w:num>
  <w:num w:numId="354">
    <w:abstractNumId w:val="134"/>
  </w:num>
  <w:num w:numId="355">
    <w:abstractNumId w:val="134"/>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56">
    <w:abstractNumId w:val="134"/>
  </w:num>
  <w:num w:numId="357">
    <w:abstractNumId w:val="134"/>
  </w:num>
  <w:num w:numId="358">
    <w:abstractNumId w:val="134"/>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59">
    <w:abstractNumId w:val="42"/>
  </w:num>
  <w:num w:numId="360">
    <w:abstractNumId w:val="134"/>
  </w:num>
  <w:num w:numId="361">
    <w:abstractNumId w:val="134"/>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62">
    <w:abstractNumId w:val="134"/>
  </w:num>
  <w:num w:numId="363">
    <w:abstractNumId w:val="134"/>
  </w:num>
  <w:num w:numId="364">
    <w:abstractNumId w:val="134"/>
    <w:lvlOverride w:ilvl="0">
      <w:startOverride w:val="1"/>
    </w:lvlOverride>
  </w:num>
  <w:num w:numId="365">
    <w:abstractNumId w:val="134"/>
  </w:num>
  <w:num w:numId="366">
    <w:abstractNumId w:val="134"/>
  </w:num>
  <w:num w:numId="367">
    <w:abstractNumId w:val="134"/>
  </w:num>
  <w:num w:numId="368">
    <w:abstractNumId w:val="134"/>
  </w:num>
  <w:num w:numId="369">
    <w:abstractNumId w:val="134"/>
  </w:num>
  <w:num w:numId="370">
    <w:abstractNumId w:val="134"/>
  </w:num>
  <w:num w:numId="371">
    <w:abstractNumId w:val="42"/>
    <w:lvlOverride w:ilvl="0">
      <w:startOverride w:val="1"/>
    </w:lvlOverride>
  </w:num>
  <w:num w:numId="372">
    <w:abstractNumId w:val="42"/>
  </w:num>
  <w:num w:numId="373">
    <w:abstractNumId w:val="42"/>
  </w:num>
  <w:num w:numId="374">
    <w:abstractNumId w:val="42"/>
  </w:num>
  <w:num w:numId="375">
    <w:abstractNumId w:val="42"/>
  </w:num>
  <w:num w:numId="376">
    <w:abstractNumId w:val="42"/>
  </w:num>
  <w:num w:numId="377">
    <w:abstractNumId w:val="42"/>
  </w:num>
  <w:num w:numId="378">
    <w:abstractNumId w:val="42"/>
    <w:lvlOverride w:ilvl="0">
      <w:startOverride w:val="1"/>
    </w:lvlOverride>
  </w:num>
  <w:num w:numId="379">
    <w:abstractNumId w:val="42"/>
  </w:num>
  <w:num w:numId="380">
    <w:abstractNumId w:val="42"/>
  </w:num>
  <w:num w:numId="381">
    <w:abstractNumId w:val="42"/>
  </w:num>
  <w:num w:numId="382">
    <w:abstractNumId w:val="42"/>
  </w:num>
  <w:num w:numId="383">
    <w:abstractNumId w:val="42"/>
  </w:num>
  <w:num w:numId="384">
    <w:abstractNumId w:val="42"/>
    <w:lvlOverride w:ilvl="0">
      <w:startOverride w:val="1"/>
    </w:lvlOverride>
  </w:num>
  <w:num w:numId="385">
    <w:abstractNumId w:val="26"/>
    <w:lvlOverride w:ilvl="0">
      <w:startOverride w:val="1"/>
    </w:lvlOverride>
    <w:lvlOverride w:ilvl="1">
      <w:startOverride w:val="1"/>
    </w:lvlOverride>
  </w:num>
  <w:num w:numId="386">
    <w:abstractNumId w:val="26"/>
  </w:num>
  <w:num w:numId="387">
    <w:abstractNumId w:val="26"/>
    <w:lvlOverride w:ilvl="0">
      <w:startOverride w:val="1"/>
    </w:lvlOverride>
    <w:lvlOverride w:ilvl="1">
      <w:startOverride w:val="1"/>
    </w:lvlOverride>
  </w:num>
  <w:num w:numId="388">
    <w:abstractNumId w:val="42"/>
    <w:lvlOverride w:ilvl="0">
      <w:startOverride w:val="1"/>
    </w:lvlOverride>
  </w:num>
  <w:num w:numId="389">
    <w:abstractNumId w:val="42"/>
  </w:num>
  <w:num w:numId="390">
    <w:abstractNumId w:val="42"/>
  </w:num>
  <w:num w:numId="391">
    <w:abstractNumId w:val="42"/>
    <w:lvlOverride w:ilvl="0">
      <w:startOverride w:val="1"/>
    </w:lvlOverride>
  </w:num>
  <w:num w:numId="392">
    <w:abstractNumId w:val="42"/>
    <w:lvlOverride w:ilvl="0">
      <w:startOverride w:val="1"/>
    </w:lvlOverride>
    <w:lvlOverride w:ilvl="1">
      <w:startOverride w:val="1"/>
    </w:lvlOverride>
  </w:num>
  <w:num w:numId="393">
    <w:abstractNumId w:val="42"/>
  </w:num>
  <w:num w:numId="394">
    <w:abstractNumId w:val="42"/>
  </w:num>
  <w:num w:numId="395">
    <w:abstractNumId w:val="42"/>
  </w:num>
  <w:num w:numId="396">
    <w:abstractNumId w:val="42"/>
  </w:num>
  <w:num w:numId="397">
    <w:abstractNumId w:val="42"/>
    <w:lvlOverride w:ilvl="0">
      <w:startOverride w:val="1"/>
    </w:lvlOverride>
  </w:num>
  <w:num w:numId="398">
    <w:abstractNumId w:val="42"/>
  </w:num>
  <w:num w:numId="399">
    <w:abstractNumId w:val="42"/>
  </w:num>
  <w:num w:numId="400">
    <w:abstractNumId w:val="185"/>
    <w:lvlOverride w:ilvl="0">
      <w:startOverride w:val="1"/>
    </w:lvlOverride>
  </w:num>
  <w:num w:numId="401">
    <w:abstractNumId w:val="185"/>
  </w:num>
  <w:num w:numId="402">
    <w:abstractNumId w:val="185"/>
  </w:num>
  <w:num w:numId="403">
    <w:abstractNumId w:val="188"/>
    <w:lvlOverride w:ilvl="0">
      <w:startOverride w:val="1"/>
    </w:lvlOverride>
  </w:num>
  <w:num w:numId="404">
    <w:abstractNumId w:val="188"/>
  </w:num>
  <w:num w:numId="405">
    <w:abstractNumId w:val="188"/>
  </w:num>
  <w:num w:numId="406">
    <w:abstractNumId w:val="188"/>
  </w:num>
  <w:num w:numId="407">
    <w:abstractNumId w:val="42"/>
    <w:lvlOverride w:ilvl="0">
      <w:startOverride w:val="1"/>
    </w:lvlOverride>
  </w:num>
  <w:num w:numId="408">
    <w:abstractNumId w:val="42"/>
  </w:num>
  <w:num w:numId="409">
    <w:abstractNumId w:val="42"/>
  </w:num>
  <w:num w:numId="410">
    <w:abstractNumId w:val="42"/>
  </w:num>
  <w:num w:numId="411">
    <w:abstractNumId w:val="42"/>
  </w:num>
  <w:num w:numId="412">
    <w:abstractNumId w:val="42"/>
  </w:num>
  <w:num w:numId="413">
    <w:abstractNumId w:val="42"/>
  </w:num>
  <w:num w:numId="414">
    <w:abstractNumId w:val="42"/>
    <w:lvlOverride w:ilvl="0">
      <w:startOverride w:val="1"/>
    </w:lvlOverride>
  </w:num>
  <w:num w:numId="415">
    <w:abstractNumId w:val="42"/>
  </w:num>
  <w:num w:numId="416">
    <w:abstractNumId w:val="42"/>
    <w:lvlOverride w:ilvl="0">
      <w:startOverride w:val="1"/>
    </w:lvlOverride>
  </w:num>
  <w:num w:numId="417">
    <w:abstractNumId w:val="26"/>
    <w:lvlOverride w:ilvl="0">
      <w:startOverride w:val="1"/>
    </w:lvlOverride>
    <w:lvlOverride w:ilvl="1">
      <w:startOverride w:val="1"/>
    </w:lvlOverride>
  </w:num>
  <w:num w:numId="418">
    <w:abstractNumId w:val="42"/>
  </w:num>
  <w:num w:numId="419">
    <w:abstractNumId w:val="26"/>
    <w:lvlOverride w:ilvl="0">
      <w:startOverride w:val="1"/>
    </w:lvlOverride>
    <w:lvlOverride w:ilvl="1">
      <w:startOverride w:val="1"/>
    </w:lvlOverride>
  </w:num>
  <w:num w:numId="420">
    <w:abstractNumId w:val="42"/>
  </w:num>
  <w:num w:numId="421">
    <w:abstractNumId w:val="26"/>
    <w:lvlOverride w:ilvl="0">
      <w:startOverride w:val="1"/>
    </w:lvlOverride>
    <w:lvlOverride w:ilvl="1">
      <w:startOverride w:val="1"/>
    </w:lvlOverride>
  </w:num>
  <w:num w:numId="422">
    <w:abstractNumId w:val="26"/>
    <w:lvlOverride w:ilvl="0">
      <w:startOverride w:val="1"/>
    </w:lvlOverride>
    <w:lvlOverride w:ilvl="1">
      <w:startOverride w:val="1"/>
    </w:lvlOverride>
  </w:num>
  <w:num w:numId="423">
    <w:abstractNumId w:val="185"/>
    <w:lvlOverride w:ilvl="0">
      <w:startOverride w:val="1"/>
    </w:lvlOverride>
  </w:num>
  <w:num w:numId="424">
    <w:abstractNumId w:val="185"/>
  </w:num>
  <w:num w:numId="425">
    <w:abstractNumId w:val="185"/>
  </w:num>
  <w:num w:numId="426">
    <w:abstractNumId w:val="185"/>
  </w:num>
  <w:num w:numId="427">
    <w:abstractNumId w:val="185"/>
  </w:num>
  <w:num w:numId="428">
    <w:abstractNumId w:val="185"/>
  </w:num>
  <w:num w:numId="429">
    <w:abstractNumId w:val="42"/>
    <w:lvlOverride w:ilvl="0">
      <w:startOverride w:val="1"/>
    </w:lvlOverride>
  </w:num>
  <w:num w:numId="430">
    <w:abstractNumId w:val="42"/>
  </w:num>
  <w:num w:numId="431">
    <w:abstractNumId w:val="42"/>
  </w:num>
  <w:num w:numId="432">
    <w:abstractNumId w:val="42"/>
    <w:lvlOverride w:ilvl="0">
      <w:startOverride w:val="1"/>
    </w:lvlOverride>
  </w:num>
  <w:num w:numId="433">
    <w:abstractNumId w:val="42"/>
  </w:num>
  <w:num w:numId="434">
    <w:abstractNumId w:val="42"/>
  </w:num>
  <w:num w:numId="435">
    <w:abstractNumId w:val="42"/>
  </w:num>
  <w:num w:numId="436">
    <w:abstractNumId w:val="42"/>
  </w:num>
  <w:num w:numId="437">
    <w:abstractNumId w:val="42"/>
  </w:num>
  <w:num w:numId="438">
    <w:abstractNumId w:val="42"/>
    <w:lvlOverride w:ilvl="0">
      <w:startOverride w:val="1"/>
    </w:lvlOverride>
  </w:num>
  <w:num w:numId="439">
    <w:abstractNumId w:val="42"/>
  </w:num>
  <w:num w:numId="440">
    <w:abstractNumId w:val="42"/>
  </w:num>
  <w:num w:numId="441">
    <w:abstractNumId w:val="42"/>
  </w:num>
  <w:num w:numId="442">
    <w:abstractNumId w:val="42"/>
  </w:num>
  <w:num w:numId="443">
    <w:abstractNumId w:val="42"/>
  </w:num>
  <w:num w:numId="444">
    <w:abstractNumId w:val="42"/>
  </w:num>
  <w:num w:numId="445">
    <w:abstractNumId w:val="42"/>
  </w:num>
  <w:num w:numId="446">
    <w:abstractNumId w:val="42"/>
    <w:lvlOverride w:ilvl="0">
      <w:startOverride w:val="1"/>
    </w:lvlOverride>
  </w:num>
  <w:num w:numId="447">
    <w:abstractNumId w:val="42"/>
  </w:num>
  <w:num w:numId="448">
    <w:abstractNumId w:val="42"/>
  </w:num>
  <w:num w:numId="449">
    <w:abstractNumId w:val="42"/>
  </w:num>
  <w:num w:numId="450">
    <w:abstractNumId w:val="42"/>
  </w:num>
  <w:num w:numId="451">
    <w:abstractNumId w:val="42"/>
  </w:num>
  <w:num w:numId="452">
    <w:abstractNumId w:val="42"/>
    <w:lvlOverride w:ilvl="0">
      <w:startOverride w:val="1"/>
    </w:lvlOverride>
  </w:num>
  <w:num w:numId="453">
    <w:abstractNumId w:val="42"/>
  </w:num>
  <w:num w:numId="454">
    <w:abstractNumId w:val="42"/>
  </w:num>
  <w:num w:numId="455">
    <w:abstractNumId w:val="42"/>
  </w:num>
  <w:num w:numId="456">
    <w:abstractNumId w:val="42"/>
  </w:num>
  <w:num w:numId="457">
    <w:abstractNumId w:val="42"/>
  </w:num>
  <w:num w:numId="458">
    <w:abstractNumId w:val="185"/>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459">
    <w:abstractNumId w:val="185"/>
  </w:num>
  <w:num w:numId="460">
    <w:abstractNumId w:val="185"/>
  </w:num>
  <w:num w:numId="461">
    <w:abstractNumId w:val="185"/>
  </w:num>
  <w:num w:numId="462">
    <w:abstractNumId w:val="94"/>
    <w:lvlOverride w:ilvl="0">
      <w:startOverride w:val="1"/>
    </w:lvlOverride>
  </w:num>
  <w:num w:numId="463">
    <w:abstractNumId w:val="94"/>
  </w:num>
  <w:num w:numId="464">
    <w:abstractNumId w:val="42"/>
    <w:lvlOverride w:ilvl="0">
      <w:startOverride w:val="1"/>
    </w:lvlOverride>
  </w:num>
  <w:num w:numId="465">
    <w:abstractNumId w:val="42"/>
  </w:num>
  <w:num w:numId="466">
    <w:abstractNumId w:val="94"/>
    <w:lvlOverride w:ilvl="0">
      <w:startOverride w:val="1"/>
    </w:lvlOverride>
  </w:num>
  <w:num w:numId="467">
    <w:abstractNumId w:val="94"/>
  </w:num>
  <w:num w:numId="468">
    <w:abstractNumId w:val="94"/>
  </w:num>
  <w:num w:numId="469">
    <w:abstractNumId w:val="94"/>
  </w:num>
  <w:num w:numId="470">
    <w:abstractNumId w:val="42"/>
    <w:lvlOverride w:ilvl="0">
      <w:startOverride w:val="1"/>
    </w:lvlOverride>
  </w:num>
  <w:num w:numId="471">
    <w:abstractNumId w:val="42"/>
  </w:num>
</w:numbering>
</file>

<file path=word/settings.xml><?xml version="1.0" encoding="utf-8"?>
<w:settings xmlns:w="http://schemas.openxmlformats.org/wordprocessingml/2006/main">
  <w:zoom w:percent="140"/>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kinsoku w:val="true"/>
      <w:overflowPunct w:val="true"/>
      <w:autoSpaceDE w:val="tru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
    <w:name w:val="Footnote Characters"/>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user">
    <w:name w:val="Footnote Characters (user)"/>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
    <w:name w:val="Endnote Characters"/>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user">
    <w:name w:val="Endnote Characters (user)"/>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
    <w:name w:val="Bullets"/>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dark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user">
    <w:name w:val="Bullets (user)"/>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fill="000080" w:val="clear"/>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kinsoku w:val="true"/>
      <w:overflowPunct w:val="true"/>
      <w:autoSpaceDE w:val="tru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kinsoku w:val="true"/>
      <w:overflowPunct w:val="true"/>
      <w:autoSpaceDE w:val="tru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
    <w:name w:val="Frame Contents"/>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kinsoku w:val="true"/>
      <w:overflowPunct w:val="true"/>
      <w:autoSpaceDE w:val="tru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kinsoku w:val="true"/>
      <w:overflowPunct w:val="true"/>
      <w:autoSpaceDE w:val="tru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3"/>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kinsoku w:val="true"/>
      <w:overflowPunct w:val="true"/>
      <w:autoSpaceDE w:val="tru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spacing w:before="0" w:after="0"/>
    </w:pPr>
    <w:rPr>
      <w:sz w:val="16"/>
    </w:rPr>
  </w:style>
  <w:style w:type="paragraph" w:styleId="TableHeading">
    <w:name w:val="Table Heading"/>
    <w:basedOn w:val="TableContents"/>
    <w:qFormat/>
    <w:pPr>
      <w:jc w:val="left"/>
    </w:pPr>
    <w:rPr>
      <w:b/>
    </w:rPr>
  </w:style>
  <w:style w:type="paragraph" w:styleId="BlockQuotation">
    <w:name w:val="Block Quotation"/>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6"/>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fill="F7F9FA" w:val="clear"/>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fill="F1F4F5" w:val="clear"/>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2"/>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dark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user">
    <w:name w:val="Frame Contents (user)"/>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kinsoku w:val="true"/>
      <w:overflowPunct w:val="true"/>
      <w:autoSpaceDE w:val="tru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paragraph" w:styleId="DefaultDrawingStyle">
    <w:name w:val="Default Drawing Style"/>
    <w:qFormat/>
    <w:pPr>
      <w:widowControl w:val="false"/>
      <w:tabs>
        <w:tab w:val="clear" w:pos="720"/>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kinsoku w:val="true"/>
      <w:overflowPunct w:val="true"/>
      <w:autoSpaceDE w:val="true"/>
      <w:bidi w:val="0"/>
      <w:spacing w:lineRule="auto" w:line="226" w:before="0" w:after="0"/>
      <w:jc w:val="center"/>
    </w:pPr>
    <w:rPr>
      <w:rFonts w:ascii="Droid Sans Fallback" w:hAnsi="Droid Sans Fallback" w:eastAsia="DejaVu Sans" w:cs="Brandon Printed"/>
      <w:b w:val="false"/>
      <w:i w:val="false"/>
      <w:caps w:val="false"/>
      <w:smallCaps w:val="false"/>
      <w:strike w:val="false"/>
      <w:dstrike w:val="false"/>
      <w:outline w:val="false"/>
      <w:shadow w:val="false"/>
      <w:color w:val="000000"/>
      <w:kern w:val="0"/>
      <w:sz w:val="22"/>
      <w:szCs w:val="24"/>
      <w:u w:val="none"/>
      <w:em w:val="none"/>
      <w:lang w:val="de-DE" w:eastAsia="de-DE" w:bidi="ar-SA"/>
    </w:rPr>
  </w:style>
  <w:style w:type="paragraph" w:styleId="DefaultLTGliederung3">
    <w:name w:val="Default~LT~Gliederung 3"/>
    <w:basedOn w:val="Default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0" w:leader="none"/>
        <w:tab w:val="left" w:pos="322" w:leader="none"/>
        <w:tab w:val="left" w:pos="1030" w:leader="none"/>
        <w:tab w:val="left" w:pos="1737" w:leader="none"/>
        <w:tab w:val="left" w:pos="2445" w:leader="none"/>
        <w:tab w:val="left" w:pos="3152" w:leader="none"/>
        <w:tab w:val="left" w:pos="3860" w:leader="none"/>
        <w:tab w:val="left" w:pos="4567" w:leader="none"/>
        <w:tab w:val="left" w:pos="5275" w:leader="none"/>
        <w:tab w:val="left" w:pos="5982" w:leader="none"/>
        <w:tab w:val="left" w:pos="6690" w:leader="none"/>
        <w:tab w:val="left" w:pos="7397" w:leader="none"/>
        <w:tab w:val="left" w:pos="8105" w:leader="none"/>
        <w:tab w:val="left" w:pos="8812" w:leader="none"/>
        <w:tab w:val="left" w:pos="9520" w:leader="none"/>
        <w:tab w:val="left" w:pos="10227" w:leader="none"/>
        <w:tab w:val="left" w:pos="10935" w:leader="none"/>
        <w:tab w:val="left" w:pos="11642" w:leader="none"/>
        <w:tab w:val="left" w:pos="12350" w:leader="none"/>
        <w:tab w:val="left" w:pos="13057" w:leader="none"/>
        <w:tab w:val="left" w:pos="13764" w:leader="none"/>
      </w:tabs>
      <w:spacing w:lineRule="auto" w:line="226"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36"/>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bundestag.de/dokumente/textarchiv/2025/kw46-de-nis-2-1123138" TargetMode="External"/><Relationship Id="rId4" Type="http://schemas.openxmlformats.org/officeDocument/2006/relationships/image" Target="media/image2.png"/><Relationship Id="rId5" Type="http://schemas.openxmlformats.org/officeDocument/2006/relationships/hyperlink" Target="https://www.mark-semmler.de/vds/doku.php?id=3473:a2_risikoanalysen" TargetMode="External"/><Relationship Id="rId6" Type="http://schemas.openxmlformats.org/officeDocument/2006/relationships/image" Target="media/image1.png"/><Relationship Id="rId7" Type="http://schemas.openxmlformats.org/officeDocument/2006/relationships/image" Target="media/image1.png"/><Relationship Id="rId8" Type="http://schemas.openxmlformats.org/officeDocument/2006/relationships/hyperlink" Target="https://www.bsi.bund.de/DE/Themen/ITGrundschutz/ITGrundschutzStandards/Standard202/ITGStandard202_node.html" TargetMode="External"/><Relationship Id="rId9" Type="http://schemas.openxmlformats.org/officeDocument/2006/relationships/image" Target="media/image1.png"/><Relationship Id="rId10" Type="http://schemas.openxmlformats.org/officeDocument/2006/relationships/image" Target="media/image1.png"/><Relationship Id="rId11" Type="http://schemas.openxmlformats.org/officeDocument/2006/relationships/hyperlink" Target="https://www.bsi.bund.de/DE/Themen/Unternehmen-und-Organisationen/Standards-und-Zertifizierung/IT-Grundschutz/Zertifizierte-Informationssicherheit/IT-Grundschutzschulung/Online-Kurs-Notfallmanagement/1_Einfuehrung/4_Definitionen/Definitionen_node.html" TargetMode="External"/><Relationship Id="rId12" Type="http://schemas.openxmlformats.org/officeDocument/2006/relationships/image" Target="media/image1.png"/><Relationship Id="rId13" Type="http://schemas.openxmlformats.org/officeDocument/2006/relationships/image" Target="media/image1.png"/><Relationship Id="rId14" Type="http://schemas.openxmlformats.org/officeDocument/2006/relationships/image" Target="media/image1.png"/><Relationship Id="rId15" Type="http://schemas.openxmlformats.org/officeDocument/2006/relationships/image" Target="media/image1.png"/><Relationship Id="rId16" Type="http://schemas.openxmlformats.org/officeDocument/2006/relationships/header" Target="header1.xml"/><Relationship Id="rId17" Type="http://schemas.openxmlformats.org/officeDocument/2006/relationships/header" Target="header2.xml"/><Relationship Id="rId18" Type="http://schemas.openxmlformats.org/officeDocument/2006/relationships/footer" Target="footer1.xml"/><Relationship Id="rId19" Type="http://schemas.openxmlformats.org/officeDocument/2006/relationships/footer" Target="footer2.xml"/><Relationship Id="rId20" Type="http://schemas.openxmlformats.org/officeDocument/2006/relationships/comments" Target="comments.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36715</TotalTime>
  <Application>LibreOffice/25.2.6.2$Linux_X86_64 LibreOffice_project/729c5bfe710f5eb71ed3bbde9e06a6065e9c6c5d</Application>
  <AppVersion>15.0000</AppVersion>
  <Pages>50</Pages>
  <Words>15482</Words>
  <Characters>112126</Characters>
  <CharactersWithSpaces>125875</CharactersWithSpaces>
  <Paragraphs>1304</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2025-11-22T10:21:26Z</cp:lastPrinted>
  <dcterms:modified xsi:type="dcterms:W3CDTF">2025-11-22T16:39:51Z</dcterms:modified>
  <cp:revision>660</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