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pPr>
      <w:r>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pPr>
            <w:r>
              <w:rPr/>
              <w:t>Änderungen bitte im Änderungsmodus (Tracking) verfassen.</w:t>
            </w:r>
          </w:p>
          <w:p>
            <w:pPr>
              <w:pStyle w:val="Normal"/>
              <w:bidi w:val="0"/>
              <w:jc w:val="left"/>
              <w:rPr/>
            </w:pPr>
            <w:r>
              <w:rPr/>
              <w:t>Geänderte Versionen bitte per Mail senden an:</w:t>
              <w:br/>
              <w:t>vds10100-feedback [at] vds-nis2.de</w:t>
            </w:r>
          </w:p>
          <w:p>
            <w:pPr>
              <w:pStyle w:val="Normal"/>
              <w:bidi w:val="0"/>
              <w:jc w:val="left"/>
              <w:rPr/>
            </w:pPr>
            <w:r>
              <w:rPr/>
            </w:r>
          </w:p>
          <w:p>
            <w:pPr>
              <w:pStyle w:val="Normal"/>
              <w:bidi w:val="0"/>
              <w:spacing w:before="0" w:after="120"/>
              <w:jc w:val="left"/>
              <w:rPr/>
            </w:pPr>
            <w:r>
              <w:rPr/>
              <w:t>Feedback welcome!</w:t>
            </w:r>
          </w:p>
        </w:tc>
      </w:tr>
    </w:tbl>
    <w:p>
      <w:pPr>
        <w:pStyle w:val="Title"/>
        <w:spacing w:before="170" w:after="119"/>
        <w:rPr>
          <w:b w:val="false"/>
          <w:bCs w:val="false"/>
        </w:rPr>
      </w:pPr>
      <w:bookmarkStart w:id="0" w:name="__RefHeading___Toc16004_1742933099"/>
      <w:bookmarkEnd w:id="0"/>
      <w:r>
        <w:rPr>
          <w:b w:val="false"/>
          <w:bCs w:val="fals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pPr>
      <w:r>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rPr>
        <w:t>Formatierung</w:t>
      </w:r>
    </w:p>
    <w:p>
      <w:pPr>
        <w:pStyle w:val="Normal"/>
        <w:tabs>
          <w:tab w:val="clear" w:pos="720"/>
          <w:tab w:val="left" w:pos="0" w:leader="none"/>
        </w:tabs>
        <w:bidi w:val="0"/>
        <w:ind w:hanging="0" w:left="0"/>
        <w:jc w:val="left"/>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FFFFFF"/>
          <w:kern w:val="0"/>
          <w:sz w:val="20"/>
          <w:szCs w:val="22"/>
          <w:shd w:fill="999999"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rPr>
        <w:t>Vorbemerkung</w:t>
      </w:r>
    </w:p>
    <w:p>
      <w:pPr>
        <w:pStyle w:val="Normal"/>
        <w:bidi w:val="0"/>
        <w:jc w:val="left"/>
        <w:rPr/>
      </w:pPr>
      <w:r>
        <w:rPr/>
        <w:t xml:space="preserve">Der Aufwand für die Umsetzung gängiger Regelwerke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t xml:space="preserve">Die Erklärung im Entwurf des NIS2UmsuCG stellt klar, dass </w:t>
      </w:r>
      <w:r>
        <w:rPr>
          <w:rFonts w:eastAsia="Bitstream Vera Sans" w:cs="Bitstream Vera Sans"/>
          <w:color w:val="auto"/>
          <w:kern w:val="0"/>
          <w:sz w:val="20"/>
          <w:szCs w:val="24"/>
          <w:lang w:val="de-DE" w:eastAsia="en-US" w:bidi="en-US"/>
        </w:rPr>
        <w:t>„d</w:t>
      </w:r>
      <w:r>
        <w:rPr/>
        <w:t>er Begriff „Erbringung ihrer Dienste“ (</w:t>
      </w:r>
      <w:r>
        <w:rPr>
          <w:rFonts w:eastAsia="Bitstream Vera Sans" w:cs="Bitstream Vera Sans"/>
          <w:color w:val="auto"/>
          <w:kern w:val="0"/>
          <w:sz w:val="20"/>
          <w:szCs w:val="24"/>
          <w:lang w:val="de-DE" w:eastAsia="en-US" w:bidi="en-US"/>
        </w:rPr>
        <w:t>…</w:t>
      </w:r>
      <w:r>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rPr/>
      </w:pPr>
      <w:r>
        <w:rPr/>
      </w:r>
    </w:p>
    <w:p>
      <w:pPr>
        <w:pStyle w:val="Normal"/>
        <w:bidi w:val="0"/>
        <w:jc w:val="left"/>
        <w:rPr/>
      </w:pPr>
      <w:r>
        <w:rPr/>
        <w:t xml:space="preserve">Im </w:t>
      </w:r>
      <w:r>
        <w:rPr>
          <w:rFonts w:eastAsia="Bitstream Vera Sans" w:cs="Bitstream Vera Sans"/>
          <w:color w:val="auto"/>
          <w:kern w:val="0"/>
          <w:sz w:val="20"/>
          <w:szCs w:val="24"/>
          <w:lang w:val="de-DE" w:eastAsia="en-US" w:bidi="en-US"/>
        </w:rPr>
        <w:t>Gesetzestext</w:t>
      </w:r>
      <w:r>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zu minimieren, ohne den Geltungsbereich einzuschränken.</w:t>
      </w:r>
    </w:p>
    <w:p>
      <w:pPr>
        <w:pStyle w:val="Normal"/>
        <w:tabs>
          <w:tab w:val="clear" w:pos="720"/>
          <w:tab w:val="left" w:pos="0" w:leader="none"/>
        </w:tabs>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Normal"/>
        <w:numPr>
          <w:ilvl w:val="1"/>
          <w:numId w:val="32"/>
        </w:numPr>
        <w:spacing w:before="0" w:after="120"/>
        <w:rPr>
          <w:b/>
          <w:bCs/>
          <w:sz w:val="40"/>
          <w:szCs w:val="40"/>
        </w:rPr>
      </w:pPr>
      <w:bookmarkStart w:id="3" w:name="__RefHeading___Toc14089_1976120586"/>
      <w:bookmarkEnd w:id="3"/>
      <w:r>
        <w:rPr>
          <w:b/>
          <w:bCs/>
          <w:sz w:val="40"/>
          <w:szCs w:val="40"/>
        </w:rPr>
        <w:t>Vorgehensweise der VdS 10100</w:t>
      </w:r>
    </w:p>
    <w:p>
      <w:pPr>
        <w:pStyle w:val="Normal"/>
        <w:numPr>
          <w:ilvl w:val="1"/>
          <w:numId w:val="32"/>
        </w:numPr>
        <w:rPr/>
      </w:pPr>
      <w:r>
        <w:rPr/>
        <w:t>Die VdS 10100 unterteilt die IT-Ressourcen in vier Kategorien, wobei für die Einteilung allein die mögliche Schadenshöhe beim Eintritt eines Sicherheitsvorfalls (Bruch der Vertraulichkeit, Verfügbarkeit und/oder Integrität) verwendet wird:</w:t>
      </w:r>
    </w:p>
    <w:p>
      <w:pPr>
        <w:pStyle w:val="Normal"/>
        <w:numPr>
          <w:ilvl w:val="1"/>
          <w:numId w:val="32"/>
        </w:numPr>
        <w:rPr/>
      </w:pPr>
      <w:r>
        <w:rPr/>
      </w:r>
    </w:p>
    <w:tbl>
      <w:tblPr>
        <w:tblW w:w="9075" w:type="dxa"/>
        <w:jc w:val="left"/>
        <w:tblInd w:w="-5" w:type="dxa"/>
        <w:tblLayout w:type="fixed"/>
        <w:tblCellMar>
          <w:top w:w="55" w:type="dxa"/>
          <w:left w:w="55" w:type="dxa"/>
          <w:bottom w:w="55" w:type="dxa"/>
          <w:right w:w="55" w:type="dxa"/>
        </w:tblCellMar>
      </w:tblPr>
      <w:tblGrid>
        <w:gridCol w:w="1867"/>
        <w:gridCol w:w="7207"/>
      </w:tblGrid>
      <w:tr>
        <w:trPr/>
        <w:tc>
          <w:tcPr>
            <w:tcW w:w="1867" w:type="dxa"/>
            <w:tcBorders>
              <w:top w:val="single" w:sz="4" w:space="0" w:color="000000"/>
              <w:left w:val="single" w:sz="4" w:space="0" w:color="000000"/>
              <w:bottom w:val="single" w:sz="4" w:space="0" w:color="000000"/>
            </w:tcBorders>
            <w:shd w:fill="DDDDDD" w:val="clear"/>
            <w:vAlign w:val="center"/>
          </w:tcPr>
          <w:p>
            <w:pPr>
              <w:pStyle w:val="Tabelleninhalt"/>
              <w:spacing w:before="0" w:after="120"/>
              <w:jc w:val="center"/>
              <w:rPr>
                <w:b/>
                <w:bCs/>
              </w:rPr>
            </w:pPr>
            <w:r>
              <w:rPr>
                <w:b/>
                <w:bCs/>
              </w:rPr>
              <w:t>Schutzkategorie</w:t>
            </w:r>
          </w:p>
        </w:tc>
        <w:tc>
          <w:tcPr>
            <w:tcW w:w="7207"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rPr>
              <w:t>‍</w:t>
            </w:r>
            <w:r>
              <w:rPr>
                <w:b/>
                <w:bCs/>
              </w:rPr>
              <w:t>Kriterien</w:t>
            </w:r>
          </w:p>
        </w:tc>
      </w:tr>
      <w:tr>
        <w:trPr/>
        <w:tc>
          <w:tcPr>
            <w:tcW w:w="1867" w:type="dxa"/>
            <w:tcBorders>
              <w:left w:val="single" w:sz="4" w:space="0" w:color="000000"/>
              <w:bottom w:val="single" w:sz="4" w:space="0" w:color="000000"/>
            </w:tcBorders>
          </w:tcPr>
          <w:p>
            <w:pPr>
              <w:pStyle w:val="Tabelleninhalt"/>
              <w:spacing w:before="0" w:after="120"/>
              <w:rPr>
                <w:lang w:val="de-DE" w:eastAsia="en-US" w:bidi="en-US"/>
              </w:rPr>
            </w:pPr>
            <w:r>
              <w:rPr>
                <w:lang w:val="de-DE" w:eastAsia="en-US" w:bidi="en-US"/>
              </w:rPr>
              <w:t xml:space="preserve">(1) </w:t>
            </w:r>
            <w:r>
              <w:rPr>
                <w:rFonts w:eastAsia="Bitstream Vera Sans" w:cs="Bitstream Vera Sans"/>
                <w:color w:val="auto"/>
                <w:kern w:val="0"/>
                <w:sz w:val="20"/>
                <w:szCs w:val="24"/>
                <w:lang w:val="de-DE" w:eastAsia="en-US" w:bidi="en-US"/>
              </w:rPr>
              <w:t>„nachrangig“</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IT-Ressource, bei der ein Sicherheitsvorfall nur zu einem vernachlässigbaren Schaden führen kann (unterhalb der Risikoakzeptanzgrenze, siehe Anhang A 2) und die von der restlichen IT-Infrastruktur abgeschottet ist.</w:t>
            </w:r>
          </w:p>
        </w:tc>
      </w:tr>
      <w:tr>
        <w:trPr/>
        <w:tc>
          <w:tcPr>
            <w:tcW w:w="1867" w:type="dxa"/>
            <w:tcBorders>
              <w:left w:val="single" w:sz="4" w:space="0" w:color="000000"/>
              <w:bottom w:val="single" w:sz="4" w:space="0" w:color="000000"/>
            </w:tcBorders>
          </w:tcPr>
          <w:p>
            <w:pPr>
              <w:pStyle w:val="Tabelleninhalt"/>
              <w:spacing w:before="0" w:after="120"/>
              <w:rPr/>
            </w:pPr>
            <w:r>
              <w:rPr/>
              <w:t>‍‍‍‍‍</w:t>
            </w:r>
            <w:r>
              <w:rPr/>
              <w:t xml:space="preserve">(2) </w:t>
            </w:r>
            <w:r>
              <w:rPr>
                <w:rFonts w:eastAsia="Bitstream Vera Sans" w:cs="Bitstream Vera Sans"/>
                <w:color w:val="auto"/>
                <w:kern w:val="0"/>
                <w:sz w:val="20"/>
                <w:szCs w:val="24"/>
                <w:lang w:val="de-DE" w:eastAsia="en-US" w:bidi="en-US"/>
              </w:rPr>
              <w:t>„standard“</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Alle IT-Ressourcen mit Ausnahme von (1).</w:t>
            </w:r>
          </w:p>
        </w:tc>
      </w:tr>
      <w:tr>
        <w:trPr/>
        <w:tc>
          <w:tcPr>
            <w:tcW w:w="1867" w:type="dxa"/>
            <w:tcBorders>
              <w:left w:val="single" w:sz="4" w:space="0" w:color="000000"/>
              <w:bottom w:val="single" w:sz="4" w:space="0" w:color="000000"/>
            </w:tcBorders>
          </w:tcPr>
          <w:p>
            <w:pPr>
              <w:pStyle w:val="Tabelleninhalt"/>
              <w:spacing w:before="0" w:after="120"/>
              <w:rPr/>
            </w:pPr>
            <w:r>
              <w:rPr/>
              <w:t>(3) “wichtig“</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IT-Ressourcen, die für den Betrieb eines zentralen Prozesses oder eines Prozesses mit hohem Schadenspotential oder für die Datensicherung unbedingt benötigt werden. Untermenge von (2).</w:t>
            </w:r>
          </w:p>
        </w:tc>
      </w:tr>
      <w:tr>
        <w:trPr/>
        <w:tc>
          <w:tcPr>
            <w:tcW w:w="1867" w:type="dxa"/>
            <w:tcBorders>
              <w:left w:val="single" w:sz="4" w:space="0" w:color="000000"/>
              <w:bottom w:val="single" w:sz="4" w:space="0" w:color="000000"/>
            </w:tcBorders>
          </w:tcPr>
          <w:p>
            <w:pPr>
              <w:pStyle w:val="Tabelleninhalt"/>
              <w:spacing w:before="0" w:after="120"/>
              <w:rPr/>
            </w:pPr>
            <w:r>
              <w:rPr/>
              <w:t>‍‍‍‍‍</w:t>
            </w:r>
            <w:r>
              <w:rPr/>
              <w:t>(4) „kritisch</w:t>
            </w:r>
            <w:r>
              <w:rPr>
                <w:rFonts w:eastAsia="Bitstream Vera Sans" w:cs="Bitstream Vera Sans"/>
                <w:color w:val="auto"/>
                <w:kern w:val="0"/>
                <w:sz w:val="20"/>
                <w:szCs w:val="24"/>
                <w:lang w:val="de-DE" w:eastAsia="en-US" w:bidi="en-US"/>
              </w:rPr>
              <w:t>“</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w:t>
            </w:r>
            <w:r>
              <w:rPr/>
              <w:t xml:space="preserve">IT-Ressourcen, die </w:t>
            </w:r>
            <w:r>
              <w:rPr>
                <w:rFonts w:eastAsia="Bitstream Vera Sans" w:cs="Bitstream Vera Sans"/>
                <w:color w:val="auto"/>
                <w:kern w:val="0"/>
                <w:sz w:val="20"/>
                <w:szCs w:val="24"/>
                <w:lang w:val="de-DE" w:eastAsia="en-US" w:bidi="en-US"/>
              </w:rPr>
              <w:t xml:space="preserve">kritische </w:t>
            </w:r>
            <w:r>
              <w:rPr/>
              <w:t>Informationen verarbeiten, speichern oder übertragen oder die für den Betrieb von kritischen IT-Ressourcen zwingend benötigt werden. Untermenge von (3).</w:t>
            </w:r>
          </w:p>
        </w:tc>
      </w:tr>
    </w:tbl>
    <w:p>
      <w:pPr>
        <w:pStyle w:val="BodyText"/>
        <w:widowControl w:val="false"/>
        <w:suppressAutoHyphens w:val="true"/>
        <w:overflowPunct w:val="true"/>
        <w:bidi w:val="0"/>
        <w:spacing w:before="0" w:after="120"/>
        <w:jc w:val="center"/>
        <w:rPr/>
      </w:pPr>
      <w:r>
        <w:rPr/>
      </w:r>
    </w:p>
    <w:p>
      <w:pPr>
        <w:pStyle w:val="BodyText"/>
        <w:widowControl w:val="false"/>
        <w:suppressAutoHyphens w:val="true"/>
        <w:overflowPunct w:val="true"/>
        <w:bidi w:val="0"/>
        <w:spacing w:before="0" w:after="120"/>
        <w:jc w:val="center"/>
        <w:rPr/>
      </w:pPr>
      <w:r>
        <w:rPr/>
        <w:drawing>
          <wp:inline distT="0" distB="0" distL="0" distR="0">
            <wp:extent cx="5352415" cy="4511675"/>
            <wp:effectExtent l="0" t="0" r="0" b="0"/>
            <wp:docPr id="2" name="Image3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Copy 1" descr=""/>
                    <pic:cNvPicPr>
                      <a:picLocks noChangeAspect="1" noChangeArrowheads="1"/>
                    </pic:cNvPicPr>
                  </pic:nvPicPr>
                  <pic:blipFill>
                    <a:blip r:embed="rId3"/>
                    <a:stretch>
                      <a:fillRect/>
                    </a:stretch>
                  </pic:blipFill>
                  <pic:spPr bwMode="auto">
                    <a:xfrm>
                      <a:off x="0" y="0"/>
                      <a:ext cx="5352415" cy="4511675"/>
                    </a:xfrm>
                    <a:prstGeom prst="rect">
                      <a:avLst/>
                    </a:prstGeom>
                    <a:noFill/>
                  </pic:spPr>
                </pic:pic>
              </a:graphicData>
            </a:graphic>
          </wp:inline>
        </w:drawing>
      </w:r>
    </w:p>
    <w:p>
      <w:pPr>
        <w:pStyle w:val="BodyText"/>
        <w:widowControl w:val="false"/>
        <w:suppressAutoHyphens w:val="true"/>
        <w:overflowPunct w:val="true"/>
        <w:bidi w:val="0"/>
        <w:spacing w:before="0" w:after="120"/>
        <w:jc w:val="center"/>
        <w:rPr/>
      </w:pPr>
      <w:r>
        <w:rPr/>
      </w:r>
      <w:r>
        <w:br w:type="page"/>
      </w:r>
    </w:p>
    <w:p>
      <w:pPr>
        <w:pStyle w:val="Normal"/>
        <w:numPr>
          <w:ilvl w:val="2"/>
          <w:numId w:val="32"/>
        </w:numPr>
        <w:spacing w:before="0" w:after="0"/>
        <w:rPr/>
      </w:pPr>
      <w:bookmarkStart w:id="4" w:name="__RefHeading___Toc15925_1742933099"/>
      <w:bookmarkEnd w:id="4"/>
      <w:r>
        <w:rPr/>
        <w:t>Für die einzelnen Kategorien sind aufeinander aufbauende Sicherheitsmaßnahmen definiert, deren Umsetzungsaufwand mit der Bedeutung der IT-Ressourcen zunimmt.</w:t>
      </w:r>
    </w:p>
    <w:p>
      <w:pPr>
        <w:pStyle w:val="Normal"/>
        <w:numPr>
          <w:ilvl w:val="2"/>
          <w:numId w:val="32"/>
        </w:numPr>
        <w:rPr/>
      </w:pPr>
      <w:r>
        <w:rPr/>
      </w:r>
    </w:p>
    <w:p>
      <w:pPr>
        <w:pStyle w:val="Normal"/>
        <w:bidi w:val="0"/>
        <w:spacing w:before="0" w:after="0"/>
        <w:jc w:val="center"/>
        <w:rPr/>
      </w:pPr>
      <w:r>
        <w:rPr/>
        <w:drawing>
          <wp:inline distT="0" distB="0" distL="0" distR="0">
            <wp:extent cx="5761355" cy="319405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5761355" cy="3194050"/>
                    </a:xfrm>
                    <a:prstGeom prst="rect">
                      <a:avLst/>
                    </a:prstGeom>
                    <a:noFill/>
                  </pic:spPr>
                </pic:pic>
              </a:graphicData>
            </a:graphic>
          </wp:inline>
        </w:drawing>
      </w:r>
    </w:p>
    <w:p>
      <w:pPr>
        <w:pStyle w:val="Normal"/>
        <w:bidi w:val="0"/>
        <w:jc w:val="center"/>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Title"/>
        <w:spacing w:before="0" w:after="120"/>
        <w:jc w:val="left"/>
        <w:rPr>
          <w:rFonts w:cs="Arial"/>
          <w:sz w:val="32"/>
        </w:rPr>
      </w:pPr>
      <w:r>
        <w:rPr>
          <w:rFonts w:cs="Arial"/>
          <w:sz w:val="32"/>
        </w:rPr>
        <w:t>VdS-Richtlinien für die Informationsverarbeitung</w:t>
      </w:r>
    </w:p>
    <w:p>
      <w:pPr>
        <w:pStyle w:val="HauptTitel"/>
        <w:jc w:val="left"/>
        <w:rPr>
          <w:rFonts w:cs="Arial"/>
          <w:sz w:val="42"/>
          <w:szCs w:val="42"/>
        </w:rPr>
      </w:pPr>
      <w:r>
        <w:rPr>
          <w:rFonts w:cs="Arial"/>
          <w:sz w:val="42"/>
          <w:szCs w:val="42"/>
        </w:rPr>
        <w:t>Strukturierte Informationssicherheit</w:t>
        <w:br/>
        <w:t>gemäß NIS-2</w:t>
      </w:r>
    </w:p>
    <w:p>
      <w:pPr>
        <w:pStyle w:val="Subtitle"/>
        <w:rPr>
          <w:rFonts w:cs="Arial"/>
          <w:sz w:val="32"/>
        </w:rPr>
      </w:pPr>
      <w:r>
        <w:rPr>
          <w:rFonts w:cs="Arial"/>
          <w:sz w:val="32"/>
        </w:rPr>
        <w:t>Anforderungen</w:t>
      </w:r>
    </w:p>
    <w:p>
      <w:pPr>
        <w:pStyle w:val="Normal"/>
        <w:rPr/>
      </w:pPr>
      <w:r>
        <w:rPr/>
      </w:r>
    </w:p>
    <w:p>
      <w:pPr>
        <w:pStyle w:val="Normal"/>
        <w:rPr/>
      </w:pPr>
      <w:r>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pPr>
      <w:r>
        <w:rPr/>
        <w:t xml:space="preserve">Um eine Beeinträchtigung des Textverständnisses zu vermeiden, verwendet VdS Schadenverhütung durchweg das generische Maskulinum. Eine Bevorzugung oder anderweitige Wertung des männlichen, weiblichen oder sonstigen Geschlechts geht damit ausdrücklich nicht einher.  </w:t>
      </w:r>
    </w:p>
    <w:p>
      <w:pPr>
        <w:pStyle w:val="Normal"/>
        <w:rPr>
          <w:rStyle w:val="Strong"/>
        </w:rPr>
      </w:pPr>
      <w:r>
        <w:rPr/>
      </w:r>
    </w:p>
    <w:p>
      <w:pPr>
        <w:pStyle w:val="Normal"/>
        <w:rPr/>
      </w:pPr>
      <w:r>
        <w:rPr>
          <w:rStyle w:val="Strong"/>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r>
            <w:r>
              <w:rPr>
                <w:rStyle w:val="IndexLink"/>
              </w:rPr>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Normative Verweisungen</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23</w:t>
            </w:r>
          </w:hyperlink>
        </w:p>
        <w:p>
          <w:pPr>
            <w:pStyle w:val="TOC2"/>
            <w:tabs>
              <w:tab w:val="clear" w:pos="9062"/>
              <w:tab w:val="left" w:pos="567" w:leader="none"/>
              <w:tab w:val="right" w:pos="9071" w:leader="dot"/>
            </w:tabs>
            <w:rPr/>
          </w:pPr>
          <w:hyperlink w:anchor="__RefHeading___Toc31992_2021121348">
            <w:r>
              <w:rPr>
                <w:rStyle w:val="IndexLink"/>
              </w:rPr>
              <w:t>8.4</w:t>
              <w:tab/>
              <w:t>Schulung und Sensibilisierung des Topmanagements</w:t>
              <w:tab/>
              <w:t>24</w:t>
            </w:r>
          </w:hyperlink>
        </w:p>
        <w:p>
          <w:pPr>
            <w:pStyle w:val="TOC1"/>
            <w:tabs>
              <w:tab w:val="clear" w:pos="9062"/>
              <w:tab w:val="left" w:pos="426" w:leader="none"/>
              <w:tab w:val="right" w:pos="9071" w:leader="dot"/>
            </w:tabs>
            <w:rPr/>
          </w:pPr>
          <w:hyperlink w:anchor="__RefHeading___Toc31994_2021121348">
            <w:r>
              <w:rPr>
                <w:rStyle w:val="IndexLink"/>
              </w:rPr>
              <w:t>9</w:t>
              <w:tab/>
              <w:t>Identifizieren kritischer IT-Ressourcen</w:t>
              <w:tab/>
              <w:t>24</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0_2021121348">
            <w:r>
              <w:rPr>
                <w:rStyle w:val="IndexLink"/>
              </w:rPr>
              <w:t>9.3</w:t>
              <w:tab/>
              <w:t>IT-Ressourcen</w:t>
              <w:tab/>
              <w:t>25</w:t>
            </w:r>
          </w:hyperlink>
        </w:p>
        <w:p>
          <w:pPr>
            <w:pStyle w:val="TOC3"/>
            <w:tabs>
              <w:tab w:val="clear" w:pos="9062"/>
              <w:tab w:val="left" w:pos="709" w:leader="none"/>
              <w:tab w:val="right" w:pos="9071" w:leader="dot"/>
            </w:tabs>
            <w:rPr/>
          </w:pPr>
          <w:hyperlink w:anchor="__RefHeading___Toc32002_2021121348">
            <w:r>
              <w:rPr>
                <w:rStyle w:val="IndexLink"/>
              </w:rPr>
              <w:t>9.3.1</w:t>
              <w:tab/>
              <w:t>Nachrangige IT-Ressourcen</w:t>
              <w:tab/>
              <w:t>25</w:t>
            </w:r>
          </w:hyperlink>
        </w:p>
        <w:p>
          <w:pPr>
            <w:pStyle w:val="TOC3"/>
            <w:tabs>
              <w:tab w:val="clear" w:pos="9062"/>
              <w:tab w:val="left" w:pos="709" w:leader="none"/>
              <w:tab w:val="right" w:pos="9071" w:leader="dot"/>
            </w:tabs>
            <w:rPr/>
          </w:pPr>
          <w:hyperlink w:anchor="__RefHeading___Toc32004_2021121348">
            <w:r>
              <w:rPr>
                <w:rStyle w:val="IndexLink"/>
              </w:rPr>
              <w:t>9.3.2</w:t>
              <w:tab/>
              <w:t>Wichtige IT-Ressourcen</w:t>
              <w:tab/>
              <w:t>25</w:t>
            </w:r>
          </w:hyperlink>
        </w:p>
        <w:p>
          <w:pPr>
            <w:pStyle w:val="TOC3"/>
            <w:tabs>
              <w:tab w:val="clear" w:pos="9062"/>
              <w:tab w:val="left" w:pos="709" w:leader="none"/>
              <w:tab w:val="right" w:pos="9071" w:leader="dot"/>
            </w:tabs>
            <w:rPr/>
          </w:pPr>
          <w:hyperlink w:anchor="__RefHeading___Toc32006_2021121348">
            <w:r>
              <w:rPr>
                <w:rStyle w:val="IndexLink"/>
              </w:rPr>
              <w:t>9.3.3</w:t>
              <w:tab/>
              <w:t>Kritische Informationen</w:t>
              <w:tab/>
              <w:t>26</w:t>
            </w:r>
          </w:hyperlink>
        </w:p>
        <w:p>
          <w:pPr>
            <w:pStyle w:val="TOC3"/>
            <w:tabs>
              <w:tab w:val="clear" w:pos="9062"/>
              <w:tab w:val="left" w:pos="709" w:leader="none"/>
              <w:tab w:val="right" w:pos="9071" w:leader="dot"/>
            </w:tabs>
            <w:rPr/>
          </w:pPr>
          <w:hyperlink w:anchor="__RefHeading___Toc32008_2021121348">
            <w:r>
              <w:rPr>
                <w:rStyle w:val="IndexLink"/>
              </w:rPr>
              <w:t>9.3.4</w:t>
              <w:tab/>
              <w:t>Kritische IT-Ressourcen</w:t>
              <w:tab/>
              <w:t>26</w:t>
            </w:r>
          </w:hyperlink>
        </w:p>
        <w:p>
          <w:pPr>
            <w:pStyle w:val="TOC3"/>
            <w:tabs>
              <w:tab w:val="clear" w:pos="9062"/>
              <w:tab w:val="left" w:pos="709" w:leader="none"/>
              <w:tab w:val="right" w:pos="9071" w:leader="dot"/>
            </w:tabs>
            <w:rPr/>
          </w:pPr>
          <w:hyperlink w:anchor="__RefHeading___Toc32010_2021121348">
            <w:r>
              <w:rPr>
                <w:rStyle w:val="IndexLink"/>
              </w:rPr>
              <w:t>9.3.5</w:t>
              <w:tab/>
              <w:t>Weitere Kategorien von IT-Ressourcen</w:t>
              <w:tab/>
              <w:t>26</w:t>
            </w:r>
          </w:hyperlink>
        </w:p>
        <w:p>
          <w:pPr>
            <w:pStyle w:val="TOC2"/>
            <w:tabs>
              <w:tab w:val="clear" w:pos="9062"/>
              <w:tab w:val="left" w:pos="567" w:leader="none"/>
              <w:tab w:val="right" w:pos="9071" w:leader="dot"/>
            </w:tabs>
            <w:rPr/>
          </w:pPr>
          <w:hyperlink w:anchor="__RefHeading___Toc42875_2021121348">
            <w:r>
              <w:rPr>
                <w:rStyle w:val="IndexLink"/>
              </w:rPr>
              <w:t>9.4</w:t>
              <w:tab/>
              <w:t>Lieferanten</w:t>
              <w:tab/>
              <w:t>27</w:t>
            </w:r>
          </w:hyperlink>
        </w:p>
        <w:p>
          <w:pPr>
            <w:pStyle w:val="TOC3"/>
            <w:tabs>
              <w:tab w:val="clear" w:pos="9062"/>
              <w:tab w:val="left" w:pos="709" w:leader="none"/>
              <w:tab w:val="right" w:pos="9071" w:leader="dot"/>
            </w:tabs>
            <w:rPr/>
          </w:pPr>
          <w:hyperlink w:anchor="__RefHeading___Toc42877_2021121348">
            <w:r>
              <w:rPr>
                <w:rStyle w:val="IndexLink"/>
              </w:rPr>
              <w:t>9.4.1</w:t>
              <w:tab/>
              <w:t>Wichtige Lieferanten</w:t>
              <w:tab/>
              <w:t>27</w:t>
            </w:r>
          </w:hyperlink>
        </w:p>
        <w:p>
          <w:pPr>
            <w:pStyle w:val="TOC3"/>
            <w:tabs>
              <w:tab w:val="clear" w:pos="9062"/>
              <w:tab w:val="left" w:pos="709" w:leader="none"/>
              <w:tab w:val="right" w:pos="9071" w:leader="dot"/>
            </w:tabs>
            <w:rPr/>
          </w:pPr>
          <w:hyperlink w:anchor="__RefHeading___Toc42879_2021121348">
            <w:r>
              <w:rPr>
                <w:rStyle w:val="IndexLink"/>
              </w:rPr>
              <w:t>9.4.2</w:t>
              <w:tab/>
              <w:t>Kritische Lieferanten</w:t>
              <w:tab/>
              <w:t>27</w:t>
            </w:r>
          </w:hyperlink>
        </w:p>
        <w:p>
          <w:pPr>
            <w:pStyle w:val="TOC3"/>
            <w:tabs>
              <w:tab w:val="clear" w:pos="9062"/>
              <w:tab w:val="left" w:pos="709" w:leader="none"/>
              <w:tab w:val="right" w:pos="9071" w:leader="dot"/>
            </w:tabs>
            <w:rPr/>
          </w:pPr>
          <w:hyperlink w:anchor="__RefHeading___Toc42881_2021121348">
            <w:r>
              <w:rPr>
                <w:rStyle w:val="IndexLink"/>
              </w:rPr>
              <w:t>9.4.3</w:t>
              <w:tab/>
              <w:t>Weitere Kategorien von Lieferanten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29</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kritische_individualsoftw">
            <w:r>
              <w:rPr>
                <w:rStyle w:val="IndexLink"/>
              </w:rPr>
              <w:t>10.6.4</w:t>
              <w:tab/>
              <w:t>Wichtige Individualsoftware</w:t>
              <w:tab/>
              <w:t>32</w:t>
            </w:r>
          </w:hyperlink>
        </w:p>
        <w:p>
          <w:pPr>
            <w:pStyle w:val="TOC3"/>
            <w:tabs>
              <w:tab w:val="clear" w:pos="9062"/>
              <w:tab w:val="left" w:pos="709" w:leader="none"/>
              <w:tab w:val="right" w:pos="9071" w:leader="dot"/>
            </w:tabs>
            <w:rPr/>
          </w:pPr>
          <w:hyperlink w:anchor="__RefHeading___Toc42887_2021121348">
            <w:r>
              <w:rPr>
                <w:rStyle w:val="IndexLink"/>
              </w:rPr>
              <w:t>10.6.5</w:t>
              <w:tab/>
            </w:r>
            <w:r>
              <w:rPr>
                <w:rStyle w:val="IndexLink"/>
                <w:i w:val="false"/>
                <w:iCs w:val="false"/>
              </w:rPr>
              <w:t>Entwicklung, Beschaffung und Wartung wichtiger IT-Systeme, IT-Komponenten und Individualsoftware</w:t>
            </w:r>
            <w:r>
              <w:rPr>
                <w:rStyle w:val="IndexLink"/>
              </w:rPr>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33</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32076_2021121348">
            <w:r>
              <w:rPr>
                <w:rStyle w:val="IndexLink"/>
              </w:rPr>
              <w:t>14</w:t>
              <w:tab/>
              <w:t>IT-Outsourcing und Cloud Computing</w:t>
              <w:tab/>
              <w:t>38</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38</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38</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38</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44</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45</w:t>
            </w:r>
          </w:hyperlink>
        </w:p>
        <w:p>
          <w:pPr>
            <w:pStyle w:val="TOC1"/>
            <w:tabs>
              <w:tab w:val="clear" w:pos="9062"/>
              <w:tab w:val="left" w:pos="426" w:leader="none"/>
              <w:tab w:val="right" w:pos="9071" w:leader="dot"/>
            </w:tabs>
            <w:rPr/>
          </w:pPr>
          <w:hyperlink w:anchor="__RefHeading___Toc42895_2021121348">
            <w:r>
              <w:rPr>
                <w:rStyle w:val="IndexLink"/>
              </w:rPr>
              <w:t>18</w:t>
              <w:tab/>
              <w:t>Lieferkette</w:t>
              <w:tab/>
              <w:t>45</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45</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46</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47</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47</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47</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47</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47</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47</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48</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48</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48</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pPr>
      <w:bookmarkStart w:id="5" w:name="__RefHeading___Toc31906_2021121348"/>
      <w:bookmarkStart w:id="6" w:name="_Toc413808700"/>
      <w:bookmarkStart w:id="7" w:name="_Ref184204200"/>
      <w:bookmarkStart w:id="8" w:name="_Toc178761299"/>
      <w:bookmarkStart w:id="9" w:name="_Toc531165009"/>
      <w:bookmarkStart w:id="10" w:name="_Toc187327020"/>
      <w:bookmarkStart w:id="11" w:name="_Toc409684807"/>
      <w:bookmarkStart w:id="12" w:name="_Toc178588044"/>
      <w:bookmarkStart w:id="13" w:name="_Toc413809510"/>
      <w:bookmarkStart w:id="14" w:name="_Toc413073863"/>
      <w:bookmarkStart w:id="15" w:name="_Toc413814208"/>
      <w:bookmarkStart w:id="16" w:name="_Toc414354570"/>
      <w:bookmarkStart w:id="17" w:name="_Toc12164565"/>
      <w:bookmarkStart w:id="18" w:name="_Toc414345060"/>
      <w:bookmarkStart w:id="19" w:name="_Toc413143655"/>
      <w:bookmarkEnd w:id="5"/>
      <w:bookmarkEnd w:id="6"/>
      <w:bookmarkEnd w:id="11"/>
      <w:bookmarkEnd w:id="13"/>
      <w:bookmarkEnd w:id="14"/>
      <w:bookmarkEnd w:id="15"/>
      <w:bookmarkEnd w:id="16"/>
      <w:bookmarkEnd w:id="17"/>
      <w:bookmarkEnd w:id="18"/>
      <w:bookmarkEnd w:id="19"/>
      <w:r>
        <w:rPr/>
        <w:t>Allgemeines</w:t>
      </w:r>
      <w:bookmarkEnd w:id="7"/>
      <w:bookmarkEnd w:id="8"/>
      <w:bookmarkEnd w:id="9"/>
      <w:bookmarkEnd w:id="10"/>
      <w:bookmarkEnd w:id="12"/>
    </w:p>
    <w:p>
      <w:pPr>
        <w:pStyle w:val="Heading2"/>
        <w:ind w:hanging="0" w:left="0"/>
        <w:rPr/>
      </w:pPr>
      <w:bookmarkStart w:id="20" w:name="__RefHeading___Toc31908_2021121348"/>
      <w:bookmarkStart w:id="21" w:name="_Toc178761300"/>
      <w:bookmarkStart w:id="22" w:name="_Toc413143656"/>
      <w:bookmarkStart w:id="23" w:name="_Ref184204232"/>
      <w:bookmarkStart w:id="24" w:name="_Toc187327021"/>
      <w:bookmarkEnd w:id="20"/>
      <w:bookmarkEnd w:id="22"/>
      <w:r>
        <w:rPr/>
        <w:t>Einleitung</w:t>
      </w:r>
      <w:bookmarkEnd w:id="21"/>
      <w:bookmarkEnd w:id="23"/>
      <w:bookmarkEnd w:id="24"/>
    </w:p>
    <w:p>
      <w:pPr>
        <w:pStyle w:val="Normal"/>
        <w:rPr/>
      </w:pPr>
      <w:r>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pPr>
      <w:r>
        <w:rPr/>
        <w:t>Die vorliegenden Richtlinien legen Mindestanforderungen fest und beschreiben Maßnahmen für die Umsetzung einer strukturierten Informationssicherheit gemäß der EU-Richtlinie NIS-2.</w:t>
      </w:r>
    </w:p>
    <w:p>
      <w:pPr>
        <w:pStyle w:val="Heading2"/>
        <w:ind w:hanging="0" w:left="0"/>
        <w:rPr/>
      </w:pPr>
      <w:bookmarkStart w:id="25" w:name="__RefHeading___Toc31910_2021121348"/>
      <w:bookmarkStart w:id="26" w:name="_Toc531165010"/>
      <w:bookmarkStart w:id="27" w:name="rl%25252525252525252525253Akap_01%252525"/>
      <w:bookmarkStart w:id="28" w:name="_Toc187327022"/>
      <w:bookmarkStart w:id="29" w:name="_Toc178761301"/>
      <w:bookmarkStart w:id="30" w:name="rl%25252525252525252525253Akap_01%252521"/>
      <w:bookmarkStart w:id="31" w:name="_Toc178588045"/>
      <w:bookmarkStart w:id="32" w:name="_Toc530662875"/>
      <w:bookmarkStart w:id="33" w:name="_Ref184204245"/>
      <w:bookmarkStart w:id="34" w:name="del_3del_2_anwendungshinweise"/>
      <w:bookmarkEnd w:id="25"/>
      <w:bookmarkEnd w:id="27"/>
      <w:bookmarkEnd w:id="30"/>
      <w:r>
        <w:rPr/>
        <w:t>Anwendungshinweise</w:t>
      </w:r>
      <w:bookmarkEnd w:id="26"/>
      <w:bookmarkEnd w:id="28"/>
      <w:bookmarkEnd w:id="29"/>
      <w:bookmarkEnd w:id="31"/>
      <w:bookmarkEnd w:id="32"/>
      <w:bookmarkEnd w:id="33"/>
      <w:bookmarkEnd w:id="34"/>
    </w:p>
    <w:p>
      <w:pPr>
        <w:pStyle w:val="10000-DefaultParagraph"/>
        <w:rPr/>
      </w:pPr>
      <w:r>
        <w:rPr/>
        <w:t>Die vorliegenden Richtlinien sind Grundlage für eine Zertifizierung durch VdS Schadenverhütung.</w:t>
      </w:r>
      <w:r>
        <w:rPr/>
        <w:commentReference w:id="0"/>
      </w:r>
    </w:p>
    <w:p>
      <w:pPr>
        <w:pStyle w:val="10000-DefaultParagraph"/>
        <w:rPr/>
      </w:pPr>
      <w:r>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r>
        <w:rPr/>
        <w:commentReference w:id="1"/>
      </w:r>
    </w:p>
    <w:p>
      <w:pPr>
        <w:pStyle w:val="10000-DefaultParagraph"/>
        <w:rPr/>
      </w:pPr>
      <w:r>
        <w:rPr/>
        <w:t>Verpflichtende Maßnahmen sind durch die Schlüsselworte MUSS/MÜSSEN, DARF NICHT/DÜRFEN NICHT/DÜRFEN KEINE gekennzeichnet, empfohlene Maßnahmen durch die Schlüsselworte SOLLTE/SOLLTEN, SOLLTE NICHT/SOLLTEN NICHT, KANN/KÖNNEN, DARF/DÜRFEN.</w:t>
      </w:r>
    </w:p>
    <w:p>
      <w:pPr>
        <w:pStyle w:val="10000-Empfehlung"/>
        <w:rPr/>
      </w:pPr>
      <w:r>
        <w:rPr/>
        <w:t>Diese Richtlinien SOLLTEN in bestehende Managementsysteme integriert werden, um potenzielle Synergieeffekte zu nutzen.</w:t>
      </w:r>
    </w:p>
    <w:p>
      <w:pPr>
        <w:pStyle w:val="Heading2"/>
        <w:ind w:hanging="0" w:left="0"/>
        <w:rPr/>
      </w:pPr>
      <w:bookmarkStart w:id="35" w:name="__RefHeading___Toc31912_2021121348"/>
      <w:bookmarkStart w:id="36" w:name="_Toc187327023"/>
      <w:bookmarkStart w:id="37" w:name="_Toc530662876"/>
      <w:bookmarkStart w:id="38" w:name="_Toc178761302"/>
      <w:bookmarkStart w:id="39" w:name="_Toc531165011"/>
      <w:bookmarkStart w:id="40" w:name="_Toc178588046"/>
      <w:bookmarkEnd w:id="35"/>
      <w:r>
        <w:rPr/>
        <w:t>Anwendungs- und Geltungsbereich</w:t>
      </w:r>
      <w:bookmarkEnd w:id="36"/>
      <w:bookmarkEnd w:id="37"/>
      <w:bookmarkEnd w:id="38"/>
      <w:bookmarkEnd w:id="39"/>
      <w:bookmarkEnd w:id="40"/>
    </w:p>
    <w:p>
      <w:pPr>
        <w:pStyle w:val="Normal"/>
        <w:rPr/>
      </w:pPr>
      <w:r>
        <w:rPr/>
        <w:t>Diese Richtlinie ist für Organisationen anwendbar, die als „wichtige“ oder „besonders wichtige“ Einrichtungen im Sinne des BSIG gelten oder gelten könnten.</w:t>
      </w:r>
    </w:p>
    <w:p>
      <w:pPr>
        <w:pStyle w:val="Normal"/>
        <w:rPr/>
      </w:pPr>
      <w:r>
        <w:rPr/>
        <w:t>Sie ist nicht für die Umsetzung der Anforderungen an Betreiber Kritischer Infrastrukturen im Sinne des IT-Sicherheitsgesetzes gemäß BSI-Gesetz (BSIG) und BSI-Kritisverordnung geeignet.</w:t>
      </w:r>
    </w:p>
    <w:p>
      <w:pPr>
        <w:pStyle w:val="Normal"/>
        <w:rPr/>
      </w:pPr>
      <w:r>
        <w:rPr/>
        <w:t>Diese Richtlinien MÜSSEN auf die gesamte Organisation angewendet werden.</w:t>
      </w:r>
    </w:p>
    <w:p>
      <w:pPr>
        <w:pStyle w:val="Heading3"/>
        <w:ind w:hanging="0" w:left="0"/>
        <w:rPr/>
      </w:pPr>
      <w:bookmarkStart w:id="41" w:name="__RefHeading___Toc31914_2021121348"/>
      <w:bookmarkEnd w:id="41"/>
      <w:r>
        <w:rPr/>
        <w:t>Analyse und Registrierung</w:t>
      </w:r>
    </w:p>
    <w:p>
      <w:pPr>
        <w:pStyle w:val="Normal"/>
        <w:rPr/>
      </w:pPr>
      <w:r>
        <w:rPr/>
        <w:t>Es MUSS ein Verfahren (siehe Anhang A.1 &lt;FIXME&gt;) etabliert werden, das die folgenden Anforderungen erfüllt:</w:t>
      </w:r>
    </w:p>
    <w:p>
      <w:pPr>
        <w:pStyle w:val="Normal"/>
        <w:numPr>
          <w:ilvl w:val="0"/>
          <w:numId w:val="254"/>
        </w:numPr>
        <w:rPr/>
      </w:pPr>
      <w:r>
        <w:rPr/>
        <w:t>Es wird geprüft, ob die Organisation als „wichtige“ oder „sehr wichtige“ Einrichtung im Sinne von § 28 BSIG gilt.</w:t>
      </w:r>
    </w:p>
    <w:p>
      <w:pPr>
        <w:pStyle w:val="Empfehlung"/>
        <w:numPr>
          <w:ilvl w:val="0"/>
          <w:numId w:val="0"/>
        </w:numPr>
        <w:ind w:hanging="0" w:left="360"/>
        <w:rPr/>
      </w:pPr>
      <w:r>
        <w:rPr/>
        <w:t>Hierzu SOLLTE die entsprechende vom BSI zur Verfügung gestellte Vorgehensweise genutzt werden.</w:t>
      </w:r>
    </w:p>
    <w:p>
      <w:pPr>
        <w:pStyle w:val="Normal"/>
        <w:numPr>
          <w:ilvl w:val="0"/>
          <w:numId w:val="255"/>
        </w:numPr>
        <w:rPr/>
      </w:pPr>
      <w:r>
        <w:rPr/>
        <w:t>Das Ergebnis der Prüfung wird zusammen mit seiner Begründung dokumentiert.</w:t>
      </w:r>
    </w:p>
    <w:p>
      <w:pPr>
        <w:pStyle w:val="Normal"/>
        <w:numPr>
          <w:ilvl w:val="0"/>
          <w:numId w:val="256"/>
        </w:numPr>
        <w:rPr/>
      </w:pPr>
      <w:r>
        <w:rPr/>
        <w:t>Es wird jährlich auf seine Aktualität geprüft und bei Bedarf wiederholt.</w:t>
      </w:r>
      <w:del w:id="0" w:author="Mark Semmler" w:date="2025-01-23T20:54:02Z">
        <w:r>
          <w:rPr/>
          <w:commentReference w:id="2"/>
        </w:r>
      </w:del>
    </w:p>
    <w:p>
      <w:pPr>
        <w:pStyle w:val="Normal"/>
        <w:rPr/>
      </w:pPr>
      <w:r>
        <w:rPr/>
        <w:t>Bei positiver Prüfung muss das Verfahren darüber hinaus die folgenden Anforderungen erfüllen:</w:t>
      </w:r>
    </w:p>
    <w:p>
      <w:pPr>
        <w:pStyle w:val="Normal"/>
        <w:numPr>
          <w:ilvl w:val="0"/>
          <w:numId w:val="257"/>
        </w:numPr>
        <w:rPr/>
      </w:pPr>
      <w:r>
        <w:rPr/>
        <w:t>Das Registrierungsverfahren gem. § 33 BSIG wird bei Bedarf durchlaufen.</w:t>
      </w:r>
    </w:p>
    <w:p>
      <w:pPr>
        <w:pStyle w:val="Normal"/>
        <w:numPr>
          <w:ilvl w:val="0"/>
          <w:numId w:val="258"/>
        </w:numPr>
        <w:rPr/>
      </w:pPr>
      <w:r>
        <w:rPr/>
        <w:t>Dabei werden die in § 33 BSIG gesetzten Fristen eingehalten.</w:t>
      </w:r>
    </w:p>
    <w:p>
      <w:pPr>
        <w:pStyle w:val="Normal"/>
        <w:numPr>
          <w:ilvl w:val="0"/>
          <w:numId w:val="259"/>
        </w:numPr>
        <w:rPr/>
      </w:pPr>
      <w:r>
        <w:rPr/>
        <w:t>Die auf der Webseite des BSI veröffentlichten Einzelheiten zur Ausgestaltung des Registrierungs</w:t>
        <w:softHyphen/>
        <w:t>verfahrens werden beachtet.</w:t>
      </w:r>
    </w:p>
    <w:p>
      <w:pPr>
        <w:pStyle w:val="Normal"/>
        <w:numPr>
          <w:ilvl w:val="0"/>
          <w:numId w:val="260"/>
        </w:numPr>
        <w:rPr/>
      </w:pPr>
      <w:r>
        <w:rPr/>
        <w:t>Es wird geprüft, ob die Organisation eine Einrichtung im Sinne von § 60 Absatz 1 Satz 1 BSIG ist.</w:t>
      </w:r>
    </w:p>
    <w:p>
      <w:pPr>
        <w:pStyle w:val="Normal"/>
        <w:numPr>
          <w:ilvl w:val="0"/>
          <w:numId w:val="261"/>
        </w:numPr>
        <w:rPr/>
      </w:pPr>
      <w:r>
        <w:rPr/>
        <w:t>Bei positiver Prüfung werden die in § 34 BSIG geforderten Informationen über den dafür vorgesehenen Meldeweg an das BSI übermittelt.</w:t>
      </w:r>
    </w:p>
    <w:p>
      <w:pPr>
        <w:pStyle w:val="Heading2"/>
        <w:ind w:hanging="0" w:left="0"/>
        <w:rPr/>
      </w:pPr>
      <w:bookmarkStart w:id="42" w:name="__RefHeading___Toc31916_2021121348"/>
      <w:bookmarkStart w:id="43" w:name="rl%25252525252525252525253Akap_01%252522"/>
      <w:bookmarkStart w:id="44" w:name="_Toc187327024"/>
      <w:bookmarkStart w:id="45" w:name="_Toc530662877"/>
      <w:bookmarkStart w:id="46" w:name="_Toc178761303"/>
      <w:bookmarkStart w:id="47" w:name="_Toc531165012"/>
      <w:bookmarkStart w:id="48" w:name="_Toc178588047"/>
      <w:bookmarkStart w:id="49" w:name="del_4del_3_gueltigkeit"/>
      <w:bookmarkEnd w:id="42"/>
      <w:bookmarkEnd w:id="43"/>
      <w:r>
        <w:rPr/>
        <w:t>Gültigkeit</w:t>
      </w:r>
      <w:bookmarkEnd w:id="44"/>
      <w:bookmarkEnd w:id="45"/>
      <w:bookmarkEnd w:id="46"/>
      <w:bookmarkEnd w:id="47"/>
      <w:bookmarkEnd w:id="48"/>
      <w:bookmarkEnd w:id="49"/>
    </w:p>
    <w:p>
      <w:pPr>
        <w:pStyle w:val="Normal"/>
        <w:rPr/>
      </w:pPr>
      <w:r>
        <w:rPr/>
        <w:t>Diese Richtlinien gelten ab dem YY.XX.2025. &lt;FIXME&gt;</w:t>
      </w:r>
    </w:p>
    <w:p>
      <w:pPr>
        <w:pStyle w:val="Heading1"/>
        <w:ind w:hanging="0" w:left="0"/>
        <w:rPr/>
      </w:pPr>
      <w:bookmarkStart w:id="50" w:name="__RefHeading___Toc31918_2021121348"/>
      <w:bookmarkStart w:id="51" w:name="_Toc530662878"/>
      <w:bookmarkStart w:id="52" w:name="normative_verweise"/>
      <w:bookmarkStart w:id="53" w:name="_Toc178761304"/>
      <w:bookmarkStart w:id="54" w:name="_Toc187327025"/>
      <w:bookmarkStart w:id="55" w:name="_Toc531165013"/>
      <w:bookmarkStart w:id="56" w:name="rl%25252525252525252525253Akap_02%252525"/>
      <w:bookmarkStart w:id="57" w:name="_Ref184204270"/>
      <w:bookmarkStart w:id="58" w:name="_Toc178588048"/>
      <w:bookmarkEnd w:id="50"/>
      <w:bookmarkEnd w:id="56"/>
      <w:r>
        <w:rPr/>
        <w:t>Normative Verweisunge</w:t>
      </w:r>
      <w:bookmarkEnd w:id="51"/>
      <w:bookmarkEnd w:id="52"/>
      <w:bookmarkEnd w:id="53"/>
      <w:bookmarkEnd w:id="55"/>
      <w:bookmarkEnd w:id="57"/>
      <w:bookmarkEnd w:id="58"/>
      <w:r>
        <w:rPr/>
        <w:t>n</w:t>
      </w:r>
      <w:bookmarkEnd w:id="54"/>
    </w:p>
    <w:p>
      <w:pPr>
        <w:pStyle w:val="10000-DefaultParagraph"/>
        <w:rPr/>
      </w:pPr>
      <w:r>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BSI-Standard 200-2</w:t>
      </w:r>
      <w:r>
        <w:rPr>
          <w:rStyle w:val="Hyperlink"/>
          <w:color w:val="auto"/>
          <w:u w:val="none"/>
        </w:rPr>
        <w:tab/>
        <w:t>IT-Grundschutz-Methodik</w:t>
      </w:r>
    </w:p>
    <w:p>
      <w:pPr>
        <w:pStyle w:val="10000-DefaultParagraph"/>
        <w:widowControl/>
        <w:suppressAutoHyphens w:val="false"/>
        <w:bidi w:val="0"/>
        <w:spacing w:lineRule="auto" w:line="247" w:before="0" w:after="120"/>
        <w:ind w:hanging="3005" w:left="3005" w:right="0"/>
        <w:jc w:val="both"/>
        <w:rPr>
          <w:lang w:val="en-US"/>
        </w:rPr>
      </w:pPr>
      <w:r>
        <w:rPr>
          <w:rStyle w:val="Hyperlink"/>
          <w:b/>
          <w:color w:val="auto"/>
          <w:u w:val="none"/>
          <w:lang w:val="en-US"/>
        </w:rPr>
        <w:t>BSI-Standard 200-3</w:t>
      </w:r>
      <w:r>
        <w:rPr>
          <w:rStyle w:val="Hyperlink"/>
          <w:color w:val="auto"/>
          <w:u w:val="none"/>
          <w:lang w:val="en-US"/>
        </w:rPr>
        <w:tab/>
        <w:t>Risikomanagement</w:t>
      </w:r>
    </w:p>
    <w:p>
      <w:pPr>
        <w:pStyle w:val="10000-DefaultParagraph"/>
        <w:widowControl/>
        <w:suppressAutoHyphens w:val="false"/>
        <w:bidi w:val="0"/>
        <w:spacing w:lineRule="auto" w:line="247" w:before="0" w:after="120"/>
        <w:ind w:hanging="3005" w:left="3005" w:right="0"/>
        <w:jc w:val="both"/>
        <w:rPr>
          <w:lang w:val="en-US"/>
        </w:rPr>
      </w:pPr>
      <w:r>
        <w:rPr>
          <w:rStyle w:val="Hyperlink"/>
          <w:b/>
          <w:bCs/>
          <w:color w:val="auto"/>
          <w:u w:val="none"/>
          <w:lang w:val="en-US"/>
        </w:rPr>
        <w:t>BSI-Standard 200-4</w:t>
      </w:r>
      <w:r>
        <w:rPr>
          <w:rStyle w:val="Hyperlink"/>
          <w:color w:val="auto"/>
          <w:u w:val="none"/>
          <w:lang w:val="en-US"/>
        </w:rPr>
        <w:tab/>
        <w:t>Business Continuity Management</w:t>
      </w:r>
    </w:p>
    <w:p>
      <w:pPr>
        <w:pStyle w:val="10000-DefaultParagraph"/>
        <w:widowControl/>
        <w:suppressAutoHyphens w:val="false"/>
        <w:bidi w:val="0"/>
        <w:spacing w:lineRule="auto" w:line="247" w:before="0" w:after="120"/>
        <w:ind w:hanging="3005" w:left="3005" w:right="0"/>
        <w:jc w:val="both"/>
        <w:rPr/>
      </w:pPr>
      <w:r>
        <w:rPr>
          <w:b/>
        </w:rPr>
        <w:t>DIN EN 1047-1</w:t>
      </w:r>
      <w:r>
        <w:rPr>
          <w:rStyle w:val="Hyperlink"/>
          <w:color w:val="auto"/>
          <w:u w:val="none"/>
        </w:rPr>
        <w:tab/>
      </w:r>
      <w:r>
        <w:rPr/>
        <w:t xml:space="preserve">Wertbehältnisse </w:t>
      </w:r>
      <w:r>
        <w:rPr>
          <w:rFonts w:cs="Arial"/>
        </w:rPr>
        <w:t>‒</w:t>
      </w:r>
      <w:r>
        <w:rPr/>
        <w:t xml:space="preserve"> Klassifizierung und Methoden zur Prüfung des Widerstandes gegen Brand - Teil 1: Datensicherungsschränke und Disketteneinsätze</w:t>
      </w:r>
    </w:p>
    <w:p>
      <w:pPr>
        <w:pStyle w:val="10000-DefaultParagraph"/>
        <w:widowControl/>
        <w:suppressAutoHyphens w:val="false"/>
        <w:bidi w:val="0"/>
        <w:spacing w:lineRule="auto" w:line="247" w:before="0" w:after="120"/>
        <w:ind w:hanging="3005" w:left="3005" w:right="0"/>
        <w:jc w:val="both"/>
        <w:rPr/>
      </w:pPr>
      <w:r>
        <w:rPr>
          <w:b/>
        </w:rPr>
        <w:t>DIN EN 50173-Reihe</w:t>
      </w:r>
      <w:r>
        <w:rPr/>
        <w:tab/>
        <w:t>Informationstechnik – Anwendungsneutrale Kommunikationskabel</w:t>
        <w:softHyphen/>
        <w:t>anlagen</w:t>
      </w:r>
    </w:p>
    <w:p>
      <w:pPr>
        <w:pStyle w:val="10000-DefaultParagraph"/>
        <w:widowControl/>
        <w:suppressAutoHyphens w:val="false"/>
        <w:bidi w:val="0"/>
        <w:spacing w:lineRule="auto" w:line="247" w:before="0" w:after="120"/>
        <w:ind w:hanging="3005" w:left="3005" w:right="0"/>
        <w:jc w:val="both"/>
        <w:rPr/>
      </w:pPr>
      <w:r>
        <w:rPr>
          <w:b/>
        </w:rPr>
        <w:t>DIN EN 50174-Reihe</w:t>
      </w:r>
      <w:r>
        <w:rPr/>
        <w:tab/>
        <w:t>Informationstechnik – Installation von Kommunikationsverkabelung</w:t>
      </w:r>
    </w:p>
    <w:p>
      <w:pPr>
        <w:pStyle w:val="10000-DefaultParagraph"/>
        <w:widowControl/>
        <w:suppressAutoHyphens w:val="false"/>
        <w:bidi w:val="0"/>
        <w:spacing w:lineRule="auto" w:line="247" w:before="0" w:after="120"/>
        <w:ind w:hanging="3005" w:left="3005" w:right="0"/>
        <w:jc w:val="both"/>
        <w:rPr/>
      </w:pPr>
      <w:r>
        <w:rPr>
          <w:b/>
        </w:rPr>
        <w:t>DIN EN ISO 9001</w:t>
      </w:r>
      <w:r>
        <w:rPr/>
        <w:tab/>
        <w:t>Qualitätsmanagementsysteme – Anforderungen</w:t>
      </w:r>
    </w:p>
    <w:p>
      <w:pPr>
        <w:pStyle w:val="10000-DefaultParagraph"/>
        <w:widowControl/>
        <w:suppressAutoHyphens w:val="false"/>
        <w:bidi w:val="0"/>
        <w:spacing w:lineRule="auto" w:line="247" w:before="0" w:after="120"/>
        <w:ind w:hanging="3005" w:left="3005" w:right="0"/>
        <w:jc w:val="both"/>
        <w:rPr/>
      </w:pPr>
      <w:r>
        <w:rPr>
          <w:b/>
        </w:rPr>
        <w:t>DIN EN ISO 22301</w:t>
      </w:r>
      <w:r>
        <w:rPr/>
        <w:tab/>
        <w:t xml:space="preserve">Sicherheit und Schutz des Gemeinwesens </w:t>
      </w:r>
      <w:r>
        <w:rPr>
          <w:rFonts w:cs="Arial"/>
        </w:rPr>
        <w:t>‒</w:t>
      </w:r>
      <w:r>
        <w:rPr/>
        <w:t xml:space="preserve"> Business Continuity Management System </w:t>
      </w:r>
      <w:r>
        <w:rPr>
          <w:rFonts w:cs="Arial"/>
        </w:rPr>
        <w:t>‒</w:t>
      </w:r>
      <w:r>
        <w:rPr/>
        <w:t xml:space="preserve"> Anforderungen</w:t>
      </w:r>
    </w:p>
    <w:p>
      <w:pPr>
        <w:pStyle w:val="10000-DefaultParagraph"/>
        <w:widowControl/>
        <w:suppressAutoHyphens w:val="false"/>
        <w:bidi w:val="0"/>
        <w:spacing w:lineRule="auto" w:line="247" w:before="0" w:after="120"/>
        <w:ind w:hanging="3005" w:left="3005" w:right="0"/>
        <w:jc w:val="both"/>
        <w:rPr/>
      </w:pPr>
      <w:r>
        <w:rPr>
          <w:b/>
        </w:rPr>
        <w:t>DIN VDE 0100</w:t>
      </w:r>
      <w:r>
        <w:rPr/>
        <w:tab/>
        <w:t>Normenreihe zum Errichten von Niederspannungsanlagen</w:t>
      </w:r>
    </w:p>
    <w:p>
      <w:pPr>
        <w:pStyle w:val="10000-DefaultParagraph"/>
        <w:widowControl/>
        <w:suppressAutoHyphens w:val="false"/>
        <w:bidi w:val="0"/>
        <w:spacing w:lineRule="auto" w:line="247" w:before="0" w:after="120"/>
        <w:ind w:hanging="3005" w:left="3005" w:right="0"/>
        <w:jc w:val="both"/>
        <w:rPr/>
      </w:pPr>
      <w:r>
        <w:rPr>
          <w:b/>
          <w:bCs/>
        </w:rPr>
        <w:t>Elementare Gefährdungen</w:t>
      </w:r>
      <w:r>
        <w:rPr/>
        <w:tab/>
        <w:t>Aufstellung elementarer Gefährdungen des BSI für die IT-Grundschutz-Methodik und für die Arbeit mit dem IT-Grundschutz-Kompendium</w:t>
      </w:r>
    </w:p>
    <w:p>
      <w:pPr>
        <w:pStyle w:val="10000-DefaultParagraph"/>
        <w:widowControl/>
        <w:suppressAutoHyphens w:val="false"/>
        <w:bidi w:val="0"/>
        <w:spacing w:lineRule="auto" w:line="247" w:before="0" w:after="120"/>
        <w:ind w:hanging="3005" w:left="3005" w:right="0"/>
        <w:jc w:val="both"/>
        <w:rPr/>
      </w:pPr>
      <w:r>
        <w:rPr>
          <w:b/>
          <w:bCs/>
        </w:rPr>
        <w:t>ENISA Thread Taxonomy</w:t>
      </w:r>
      <w:r>
        <w:rPr/>
        <w:tab/>
        <w:t>Bedrohungstaxonomie die auf der Grundlage des verfügbaren ENISA-Materials erstellt wurde</w:t>
      </w:r>
    </w:p>
    <w:p>
      <w:pPr>
        <w:pStyle w:val="10000-DefaultParagraph"/>
        <w:widowControl/>
        <w:suppressAutoHyphens w:val="false"/>
        <w:bidi w:val="0"/>
        <w:spacing w:lineRule="auto" w:line="247" w:before="0" w:after="120"/>
        <w:ind w:hanging="3005" w:left="3005" w:right="0"/>
        <w:jc w:val="both"/>
        <w:rPr>
          <w:lang w:val="en-US"/>
        </w:rPr>
      </w:pPr>
      <w:r>
        <w:rPr>
          <w:b/>
          <w:lang w:val="en-GB"/>
        </w:rPr>
        <w:t>ISO 31000</w:t>
      </w:r>
      <w:r>
        <w:rPr>
          <w:lang w:val="en-GB"/>
        </w:rPr>
        <w:tab/>
        <w:t>Risk Management – Principles and guidelines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27001</w:t>
      </w:r>
      <w:r>
        <w:rPr>
          <w:lang w:val="en-GB"/>
        </w:rPr>
        <w:tab/>
      </w:r>
      <w:r>
        <w:rPr>
          <w:spacing w:val="-2"/>
          <w:lang w:val="en-GB"/>
        </w:rPr>
        <w:t>Information technology – Security techniques – Information security management systems – Requirements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27005</w:t>
        <w:tab/>
      </w:r>
      <w:r>
        <w:rPr>
          <w:spacing w:val="-3"/>
          <w:lang w:val="en-GB"/>
        </w:rPr>
        <w:t>Information technology — Security techniques — Information security risk management</w:t>
      </w:r>
    </w:p>
    <w:p>
      <w:pPr>
        <w:pStyle w:val="10000-DefaultParagraph"/>
        <w:widowControl/>
        <w:suppressAutoHyphens w:val="false"/>
        <w:bidi w:val="0"/>
        <w:spacing w:lineRule="auto" w:line="247" w:before="0" w:after="120"/>
        <w:ind w:hanging="3005" w:left="3005" w:right="0"/>
        <w:jc w:val="both"/>
        <w:rPr/>
      </w:pPr>
      <w:r>
        <w:rPr>
          <w:b/>
          <w:bCs/>
        </w:rPr>
        <w:t>ISO/IEC 31010</w:t>
      </w:r>
      <w:r>
        <w:rPr/>
        <w:tab/>
        <w:t>Risk assessment techniques</w:t>
      </w:r>
    </w:p>
    <w:p>
      <w:pPr>
        <w:pStyle w:val="10000-DefaultParagraph"/>
        <w:widowControl/>
        <w:suppressAutoHyphens w:val="false"/>
        <w:bidi w:val="0"/>
        <w:spacing w:lineRule="auto" w:line="247" w:before="0" w:after="120"/>
        <w:ind w:hanging="3005" w:left="3005" w:right="0"/>
        <w:jc w:val="both"/>
        <w:rPr>
          <w:color w:val="auto"/>
          <w:u w:val="none"/>
        </w:rPr>
      </w:pPr>
      <w:r>
        <w:rPr>
          <w:rStyle w:val="Hyperlink"/>
          <w:b/>
          <w:color w:val="auto"/>
          <w:u w:val="none"/>
        </w:rPr>
        <w:t>VdS 2007</w:t>
      </w:r>
      <w:r>
        <w:rPr>
          <w:rStyle w:val="Hyperlink"/>
          <w:color w:val="auto"/>
          <w:u w:val="none"/>
        </w:rPr>
        <w:tab/>
        <w:t xml:space="preserve">Anlagen der Informationstechnologie (IT-Anlagen) </w:t>
      </w:r>
      <w:r>
        <w:rPr>
          <w:rFonts w:cs="Arial"/>
        </w:rPr>
        <w:t>‒</w:t>
      </w:r>
      <w:r>
        <w:rPr>
          <w:rStyle w:val="Hyperlink"/>
          <w:color w:val="auto"/>
          <w:u w:val="none"/>
        </w:rPr>
        <w:t xml:space="preserve"> Merkblatt zur Schadenverhütung</w:t>
      </w:r>
    </w:p>
    <w:p>
      <w:pPr>
        <w:pStyle w:val="Normal"/>
        <w:ind w:hanging="3005" w:left="3005"/>
        <w:rPr>
          <w:bCs/>
          <w:color w:val="auto"/>
          <w:u w:val="none"/>
        </w:rPr>
      </w:pPr>
      <w:r>
        <w:rPr>
          <w:rStyle w:val="Hyperlink"/>
          <w:b/>
          <w:color w:val="auto"/>
          <w:u w:val="none"/>
        </w:rPr>
        <w:t>VdS 10000</w:t>
        <w:tab/>
      </w:r>
      <w:r>
        <w:rPr>
          <w:rStyle w:val="Hyperlink"/>
          <w:b w:val="false"/>
          <w:bCs w:val="false"/>
          <w:color w:val="auto"/>
          <w:u w:val="none"/>
        </w:rPr>
        <w:t>Informationssicherheitsmanagementsystem für kleine und mittlere Unternehmen (KMU)</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VdS 10003</w:t>
        <w:tab/>
      </w:r>
      <w:r>
        <w:rPr>
          <w:rStyle w:val="Hyperlink"/>
          <w:bCs/>
          <w:color w:val="auto"/>
          <w:u w:val="none"/>
        </w:rPr>
        <w:t>Richtlinien für die Anerkennung von Beratern für Cyber-Security</w:t>
      </w:r>
    </w:p>
    <w:p>
      <w:pPr>
        <w:pStyle w:val="Heading1"/>
        <w:ind w:hanging="0" w:left="0"/>
        <w:rPr/>
      </w:pPr>
      <w:bookmarkStart w:id="59" w:name="__RefHeading___Toc31920_2021121348"/>
      <w:bookmarkStart w:id="60" w:name="_Toc530662879"/>
      <w:bookmarkStart w:id="61" w:name="rl%25252525252525252525253Akap_03%252525"/>
      <w:bookmarkStart w:id="62" w:name="_Toc178588049"/>
      <w:bookmarkStart w:id="63" w:name="_Ref184204279"/>
      <w:bookmarkStart w:id="64" w:name="_Toc531165014"/>
      <w:bookmarkStart w:id="65" w:name="_Toc178761305"/>
      <w:bookmarkStart w:id="66" w:name="_Toc187327026"/>
      <w:bookmarkEnd w:id="59"/>
      <w:bookmarkEnd w:id="61"/>
      <w:r>
        <w:rPr/>
        <w:t>Begriffe</w:t>
      </w:r>
      <w:bookmarkEnd w:id="60"/>
      <w:bookmarkEnd w:id="62"/>
      <w:bookmarkEnd w:id="64"/>
      <w:r>
        <w:rPr/>
        <w:t xml:space="preserve"> und Abkürzungen</w:t>
      </w:r>
      <w:bookmarkEnd w:id="63"/>
      <w:bookmarkEnd w:id="65"/>
      <w:bookmarkEnd w:id="66"/>
    </w:p>
    <w:p>
      <w:pPr>
        <w:pStyle w:val="Heading2"/>
        <w:ind w:hanging="0" w:left="0"/>
        <w:rPr/>
      </w:pPr>
      <w:bookmarkStart w:id="67" w:name="__RefHeading___Toc31922_2021121348"/>
      <w:bookmarkStart w:id="68" w:name="_Toc178761306"/>
      <w:bookmarkStart w:id="69" w:name="_Toc187327027"/>
      <w:bookmarkEnd w:id="67"/>
      <w:r>
        <w:rPr/>
        <w:t>Begriffe</w:t>
      </w:r>
      <w:bookmarkEnd w:id="68"/>
      <w:bookmarkEnd w:id="69"/>
    </w:p>
    <w:p>
      <w:pPr>
        <w:pStyle w:val="10000-DefaultParagraph"/>
        <w:rPr/>
      </w:pPr>
      <w:r>
        <w:rPr>
          <w:rStyle w:val="StrongEmphasis"/>
        </w:rPr>
        <w:t>administrativer Zugang:</w:t>
      </w:r>
      <w:r>
        <w:rPr/>
        <w:t xml:space="preserve"> Zugang, der einen Nutzer dazu befähigt, ein IT-System zu verwalten, d. h. der einem Nutzer umfangreiche Rechte in einem IT-System einräumt</w:t>
      </w:r>
    </w:p>
    <w:p>
      <w:pPr>
        <w:pStyle w:val="10000-DefaultParagraph"/>
        <w:rPr/>
      </w:pPr>
      <w:r>
        <w:rPr>
          <w:rStyle w:val="StrongEmphasis"/>
        </w:rPr>
        <w:t>Administrator:</w:t>
      </w:r>
      <w:r>
        <w:rPr/>
        <w:t xml:space="preserve"> für Einrichtung, Betrieb, Überwachung und/oder Wartung eines IT-Systems oder Netzwerks zuständige Person</w:t>
      </w:r>
    </w:p>
    <w:p>
      <w:pPr>
        <w:pStyle w:val="10000-DefaultParagraph"/>
        <w:rPr/>
      </w:pPr>
      <w:r>
        <w:rPr>
          <w:rStyle w:val="StrongEmphasis"/>
        </w:rPr>
        <w:t>aktive Netzwerkkomponente:</w:t>
      </w:r>
      <w:r>
        <w:rPr/>
        <w:t xml:space="preserve"> über eine eigene Logik wie z. B. Hub, Switch, Repeater, Bridge, Medienkonverter, Gateway, Firewall usw. verfügende Netzwerkkomponente</w:t>
      </w:r>
    </w:p>
    <w:p>
      <w:pPr>
        <w:pStyle w:val="10000-Empfehlung"/>
        <w:rPr>
          <w:i/>
          <w:i/>
          <w:iCs/>
        </w:rPr>
      </w:pPr>
      <w:r>
        <w:rPr/>
        <w:t>Hinweis: Eine aktive Netzwerkkomponente benötigt in aller Regel eine Stromversorgung. Eine aktive Netzwerkkomponente ist ein IT-System.</w:t>
      </w:r>
    </w:p>
    <w:p>
      <w:pPr>
        <w:pStyle w:val="10000-DefaultParagraph"/>
        <w:rPr/>
      </w:pPr>
      <w:r>
        <w:rPr>
          <w:rStyle w:val="StrongEmphasis"/>
        </w:rPr>
        <w:t>Aufgabe:</w:t>
      </w:r>
      <w:r>
        <w:rPr/>
        <w:t xml:space="preserve"> dauerhaft wirksame Aufforderung an Handlungsträger, festgelegte Handlungen wahrzunehmen</w:t>
      </w:r>
    </w:p>
    <w:p>
      <w:pPr>
        <w:pStyle w:val="10000-DefaultParagraph"/>
        <w:rPr/>
      </w:pPr>
      <w:r>
        <w:rPr>
          <w:rStyle w:val="StrongEmphasis"/>
        </w:rPr>
        <w:t>Ausfall:</w:t>
      </w:r>
      <w:r>
        <w:rPr/>
        <w:t xml:space="preserve"> Erliegen eines Prozesses, weil notwendige Ressourcen nicht in ausreichender Menge und/oder in ausreichender Qualität zur Verfügung stehen</w:t>
      </w:r>
    </w:p>
    <w:p>
      <w:pPr>
        <w:pStyle w:val="10000-DefaultParagraph"/>
        <w:rPr/>
      </w:pPr>
      <w:r>
        <w:rPr>
          <w:rStyle w:val="StrongEmphasis"/>
        </w:rPr>
        <w:t>Authentifizierungsmerkmal:</w:t>
      </w:r>
      <w:r>
        <w:rPr/>
        <w:t xml:space="preserve"> Merkmal, mit dessen Hilfe eine anfragende Instanz ihre Identität nachweisen kann</w:t>
      </w:r>
    </w:p>
    <w:p>
      <w:pPr>
        <w:pStyle w:val="10000-Empfehlung"/>
        <w:rPr>
          <w:i/>
          <w:i/>
          <w:iCs/>
        </w:rPr>
      </w:pPr>
      <w:r>
        <w:rPr/>
        <w:t>Hinweis: Authentifizierungsmerkmale können Wissen (z. B. Passwort oder PIN), Besitz (z. B. Chipkarte oder Token) oder biometrische Merkmale (z. B. Fingerabdruck oder Iris) sein.</w:t>
      </w:r>
    </w:p>
    <w:p>
      <w:pPr>
        <w:pStyle w:val="10000-DefaultParagraph"/>
        <w:rPr/>
      </w:pPr>
      <w:r>
        <w:rPr>
          <w:rStyle w:val="StrongEmphasis"/>
        </w:rPr>
        <w:t>Authentizität:</w:t>
      </w:r>
      <w:r>
        <w:rPr/>
        <w:t xml:space="preserve"> Echtheit, Überprüfbarkeit und Vertrauenswürdigkeit</w:t>
      </w:r>
    </w:p>
    <w:p>
      <w:pPr>
        <w:pStyle w:val="10000-DefaultParagraph"/>
        <w:rPr/>
      </w:pPr>
      <w:r>
        <w:rPr>
          <w:rStyle w:val="StrongEmphasis"/>
        </w:rPr>
        <w:t>Bedrohung:</w:t>
      </w:r>
      <w:r>
        <w:rPr/>
        <w:t xml:space="preserve"> Umstand oder Ereignis, durch den oder durch das ein Schaden entstehen kann </w:t>
      </w:r>
    </w:p>
    <w:p>
      <w:pPr>
        <w:pStyle w:val="10000-Empfehlung"/>
        <w:rPr>
          <w:i/>
          <w:i/>
          <w:iCs/>
        </w:rPr>
      </w:pPr>
      <w:r>
        <w:rPr/>
        <w:t>Hinweis: Trifft eine Bedrohung auf eine Schwachstelle (insbesondere technische oder organisatorische Mängel), so entsteht eine Gefährdung.</w:t>
      </w:r>
    </w:p>
    <w:p>
      <w:pPr>
        <w:pStyle w:val="10000-DefaultParagraph"/>
        <w:rPr/>
      </w:pPr>
      <w:r>
        <w:rPr>
          <w:rStyle w:val="StrongEmphasis"/>
        </w:rPr>
        <w:t>Business Continuity Management (BCM):</w:t>
      </w:r>
      <w:r>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10000-DefaultParagraph"/>
        <w:rPr/>
      </w:pPr>
      <w:r>
        <w:rPr>
          <w:rStyle w:val="StrongEmphasis"/>
        </w:rPr>
        <w:t>Cloud Computing:</w:t>
      </w:r>
      <w:r>
        <w:rPr/>
        <w:t xml:space="preserve"> Technologie, die es ermöglicht, IT-Ressourcen wie Speicher, Rechenleistung oder Anwendungen aus einem zentralen Pool über ein Netzwerk bereitzustellen und zu nutzen</w:t>
      </w:r>
    </w:p>
    <w:p>
      <w:pPr>
        <w:pStyle w:val="10000-DefaultParagraph"/>
        <w:rPr/>
      </w:pPr>
      <w:r>
        <w:rPr>
          <w:rStyle w:val="StrongEmphasis"/>
        </w:rPr>
        <w:t>Daten:</w:t>
      </w:r>
      <w:r>
        <w:rPr/>
        <w:t xml:space="preserve"> Anordnung von Zeichen, die auf Basis vereinbarter Konventionen zur Darstellung von Informationen verwendet werden</w:t>
      </w:r>
    </w:p>
    <w:p>
      <w:pPr>
        <w:pStyle w:val="10000-DefaultParagraph"/>
        <w:rPr/>
      </w:pPr>
      <w:r>
        <w:rPr>
          <w:rStyle w:val="StrongEmphasis"/>
        </w:rPr>
        <w:t>Datenleitung:</w:t>
      </w:r>
      <w:r>
        <w:rPr/>
        <w:t xml:space="preserve"> physisches Medium, über das Daten ausgetauscht werden können</w:t>
      </w:r>
    </w:p>
    <w:p>
      <w:pPr>
        <w:pStyle w:val="10000-DefaultParagraph"/>
        <w:rPr/>
      </w:pPr>
      <w:r>
        <w:rPr>
          <w:b/>
          <w:bCs/>
        </w:rPr>
        <w:t>Dienst:</w:t>
      </w:r>
      <w:r>
        <w:rPr/>
        <w:t xml:space="preserve"> von IT-Systemen bereitgestellte Funktionalität oder Leistung, die bestimmte Aufgaben oder Funktionen erfüllt</w:t>
      </w:r>
    </w:p>
    <w:p>
      <w:pPr>
        <w:pStyle w:val="10000-DefaultParagraph"/>
        <w:rPr/>
      </w:pPr>
      <w:r>
        <w:rPr>
          <w:rStyle w:val="StrongEmphasis"/>
        </w:rPr>
        <w:t>Echtzeitbetrieb:</w:t>
      </w:r>
      <w:r>
        <w:rPr>
          <w:rStyle w:val="StrongEmphasis"/>
          <w:b w:val="false"/>
          <w:bCs w:val="false"/>
        </w:rPr>
        <w:t xml:space="preserve"> Fähigkeit eines Systems, auf ein Ereignis innerhalb eines vorgegebenen Zeitraums zu reagieren</w:t>
      </w:r>
    </w:p>
    <w:p>
      <w:pPr>
        <w:pStyle w:val="10000-DefaultParagraph"/>
        <w:rPr/>
      </w:pPr>
      <w:r>
        <w:rPr>
          <w:rStyle w:val="StrongEmphasis"/>
          <w:bCs w:val="false"/>
        </w:rPr>
        <w:t>Eigenmächtigkeit:</w:t>
      </w:r>
      <w:r>
        <w:rPr>
          <w:rStyle w:val="StrongEmphasis"/>
          <w:b w:val="false"/>
          <w:bCs w:val="false"/>
        </w:rPr>
        <w:t xml:space="preserve"> Handeln ohne Auftrag, Erlaubnis oder Befugnis</w:t>
      </w:r>
    </w:p>
    <w:p>
      <w:pPr>
        <w:pStyle w:val="Normal"/>
        <w:bidi w:val="0"/>
        <w:jc w:val="left"/>
        <w:rPr/>
      </w:pPr>
      <w:r>
        <w:rPr>
          <w:rStyle w:val="StrongEmphasis"/>
          <w:rFonts w:eastAsia="Bitstream Vera Sans" w:cs="Bitstream Vera Sans"/>
          <w:b/>
          <w:bCs/>
          <w:color w:val="auto"/>
          <w:sz w:val="20"/>
          <w:szCs w:val="24"/>
          <w:lang w:val="de-DE" w:eastAsia="en-US" w:bidi="en-US"/>
        </w:rPr>
        <w:t>Einrichtung:</w:t>
      </w:r>
      <w:r>
        <w:rPr>
          <w:rStyle w:val="StrongEmphasis"/>
          <w:rFonts w:eastAsia="Bitstream Vera Sans" w:cs="Bitstream Vera Sans"/>
          <w:b w:val="false"/>
          <w:bCs w:val="false"/>
          <w:color w:val="auto"/>
          <w:sz w:val="20"/>
          <w:szCs w:val="24"/>
          <w:lang w:val="de-DE" w:eastAsia="en-US" w:bidi="en-US"/>
        </w:rPr>
        <w:t xml:space="preserve"> Organisation im Sinne von NIS-2, siehe Organisation</w:t>
      </w:r>
    </w:p>
    <w:p>
      <w:pPr>
        <w:pStyle w:val="Normal"/>
        <w:rPr/>
      </w:pPr>
      <w:r>
        <w:rPr>
          <w:rStyle w:val="StrongEmphasis"/>
          <w:b/>
          <w:bCs/>
        </w:rPr>
        <w:t xml:space="preserve">Erheblicher Sicherheitsvorfall: </w:t>
      </w:r>
      <w:r>
        <w:rPr>
          <w:rStyle w:val="StrongEmphasis"/>
          <w:b w:val="false"/>
          <w:bCs w:val="false"/>
        </w:rPr>
        <w:t>Sicherheitsvorfall, der schwerwiegende Betriebsstörungen der Dienste oder finanzielle Verluste für die betreffende Einrichtung verursachen oder Dritte durch erhebliche materielle oder immaterielle Schäden beeinträchtigen kann.</w:t>
      </w:r>
    </w:p>
    <w:p>
      <w:pPr>
        <w:pStyle w:val="10000-DefaultParagraph"/>
        <w:rPr>
          <w:b w:val="false"/>
          <w:bCs w:val="false"/>
        </w:rPr>
      </w:pPr>
      <w:r>
        <w:rPr>
          <w:rStyle w:val="StrongEmphasis"/>
          <w:bCs w:val="false"/>
        </w:rPr>
        <w:t>externe Person:</w:t>
      </w:r>
      <w:r>
        <w:rPr>
          <w:rStyle w:val="StrongEmphasis"/>
          <w:b w:val="false"/>
          <w:bCs w:val="false"/>
        </w:rPr>
        <w:t xml:space="preserve"> natürliche Person, die kein Mitarbeiter ist</w:t>
      </w:r>
    </w:p>
    <w:p>
      <w:pPr>
        <w:pStyle w:val="10000-Empfehlung"/>
        <w:rPr/>
      </w:pPr>
      <w:r>
        <w:rPr>
          <w:rStyle w:val="StrongEmphasis"/>
          <w:b w:val="false"/>
          <w:bCs w:val="false"/>
        </w:rPr>
        <w:t>Hinweis: Im normalen Geschäftsbetrieb fallen z. B. Geschäftspartner oder Gäste unter diese Definition.</w:t>
      </w:r>
    </w:p>
    <w:p>
      <w:pPr>
        <w:pStyle w:val="10000-DefaultParagraph"/>
        <w:rPr/>
      </w:pPr>
      <w:r>
        <w:rPr>
          <w:rStyle w:val="StrongEmphasis"/>
        </w:rPr>
        <w:t>Funktion:</w:t>
      </w:r>
      <w:r>
        <w:rPr/>
        <w:t xml:space="preserve"> Bündel von Aufgaben, durch deren Umsetzung Teile der Ziele der Organisation erreicht werden sollen</w:t>
      </w:r>
    </w:p>
    <w:p>
      <w:pPr>
        <w:pStyle w:val="10000-DefaultParagraph"/>
        <w:rPr/>
      </w:pPr>
      <w:r>
        <w:rPr>
          <w:rStyle w:val="StrongEmphasis"/>
        </w:rPr>
        <w:t>Gefahr:</w:t>
      </w:r>
      <w:r>
        <w:rPr/>
        <w:t xml:space="preserve"> Möglichkeit einer Schadwirkung auf ein Objekt</w:t>
      </w:r>
    </w:p>
    <w:p>
      <w:pPr>
        <w:pStyle w:val="10000-DefaultParagraph"/>
        <w:rPr/>
      </w:pPr>
      <w:r>
        <w:rPr>
          <w:rStyle w:val="StrongEmphasis"/>
        </w:rPr>
        <w:t>Gefährdung:</w:t>
      </w:r>
      <w:r>
        <w:rPr/>
        <w:t xml:space="preserve"> Bedrohung, die über eine Schwachstelle auf ein zu schützendes Objekt konkret einwirkt (Bedrohung plus Schwachstelle)</w:t>
      </w:r>
    </w:p>
    <w:p>
      <w:pPr>
        <w:pStyle w:val="10000-DefaultParagraph"/>
        <w:rPr/>
      </w:pPr>
      <w:r>
        <w:rPr>
          <w:rStyle w:val="StrongEmphasis"/>
        </w:rPr>
        <w:t>Information:</w:t>
      </w:r>
      <w:r>
        <w:rPr/>
        <w:t xml:space="preserve">  Sinn und Bedeutung, die der Empfänger aus erhaltenen Daten interpretiert</w:t>
      </w:r>
    </w:p>
    <w:p>
      <w:pPr>
        <w:pStyle w:val="10000-DefaultParagraph"/>
        <w:rPr/>
      </w:pPr>
      <w:r>
        <w:rPr>
          <w:rStyle w:val="StrongEmphasis"/>
        </w:rPr>
        <w:t>Informationssicherheit:</w:t>
      </w:r>
      <w:r>
        <w:rPr/>
        <w:t xml:space="preserve"> Schutz von Informationen hinsichtlich gegebener Sicherheitsanforderungen </w:t>
      </w:r>
    </w:p>
    <w:p>
      <w:pPr>
        <w:pStyle w:val="10000-Empfehlung"/>
        <w:rPr/>
      </w:pPr>
      <w:r>
        <w:rPr/>
        <w:t>Hinweis: Anforderungen beziehen sich i. d. R. auf da Maß an Vertraulichkeit, Verfügbarkeit oder Integrität.</w:t>
      </w:r>
    </w:p>
    <w:p>
      <w:pPr>
        <w:pStyle w:val="10000-DefaultParagraph"/>
        <w:rPr/>
      </w:pPr>
      <w:r>
        <w:rPr>
          <w:rStyle w:val="StrongEmphasis"/>
        </w:rPr>
        <w:t>Informationssicherheitsbeauftragter (ISB):</w:t>
      </w:r>
      <w:r>
        <w:rPr/>
        <w:t xml:space="preserve"> Person, </w:t>
      </w:r>
      <w:bookmarkStart w:id="70" w:name="_Hlk178666096"/>
      <w:r>
        <w:rPr/>
        <w:t>die nach Bestellung und im Auftrag des Topmanagements eines Unternehmens für die Umsetzung der Leitlinie zur Informationssicherheit des Unternehmens zuständig is</w:t>
      </w:r>
      <w:bookmarkEnd w:id="70"/>
      <w:r>
        <w:rPr/>
        <w:t>t</w:t>
      </w:r>
    </w:p>
    <w:p>
      <w:pPr>
        <w:pStyle w:val="10000-DefaultParagraph"/>
        <w:rPr/>
      </w:pPr>
      <w:r>
        <w:rPr>
          <w:rStyle w:val="StrongEmphasis"/>
        </w:rPr>
        <w:t>Informationssicherheitsteam (IST):</w:t>
      </w:r>
      <w:r>
        <w:rPr/>
        <w:t xml:space="preserve"> Gremium, das nach Bestellung und im Auftrag des Topmanagements eines Unternehmens zusammengestellt und für definierte Aufgaben zur Aufrechterhaltung der Informationssicherheit zuständig ist</w:t>
      </w:r>
    </w:p>
    <w:p>
      <w:pPr>
        <w:pStyle w:val="10000-DefaultParagraph"/>
        <w:rPr/>
      </w:pPr>
      <w:r>
        <w:rPr>
          <w:rStyle w:val="StrongEmphasis"/>
        </w:rPr>
        <w:t xml:space="preserve">Informationstechnik (IT): </w:t>
      </w:r>
      <w:r>
        <w:rPr/>
        <w:t xml:space="preserve">Oberbegriff für die Informations- und Datenverarbeitung sowie </w:t>
        <w:br/>
        <w:t>-übertragung inklusive der dafür benötigten Hard- und Software</w:t>
      </w:r>
    </w:p>
    <w:p>
      <w:pPr>
        <w:pStyle w:val="10000-DefaultParagraph"/>
        <w:rPr/>
      </w:pPr>
      <w:r>
        <w:rPr>
          <w:rStyle w:val="StrongEmphasis"/>
        </w:rPr>
        <w:t>Integrität:</w:t>
      </w:r>
      <w:r>
        <w:rPr/>
        <w:t xml:space="preserve"> Korrektheit und Unversehrtheit von Informationen bzw. die korrekte Funktionsweise der Datenverarbeitung</w:t>
      </w:r>
    </w:p>
    <w:p>
      <w:pPr>
        <w:pStyle w:val="10000-DefaultParagraph"/>
        <w:rPr/>
      </w:pPr>
      <w:r>
        <w:rPr>
          <w:rStyle w:val="StrongEmphasis"/>
        </w:rPr>
        <w:t>Inventarisierung:</w:t>
      </w:r>
      <w:r>
        <w:rPr/>
        <w:t xml:space="preserve"> Bestandsaufnahme zu einem definierten Zeitpunkt</w:t>
      </w:r>
    </w:p>
    <w:p>
      <w:pPr>
        <w:pStyle w:val="10000-DefaultParagraph"/>
        <w:rPr>
          <w:b w:val="false"/>
          <w:bCs w:val="false"/>
        </w:rPr>
      </w:pPr>
      <w:r>
        <w:rPr>
          <w:rStyle w:val="StrongEmphasis"/>
        </w:rPr>
        <w:t xml:space="preserve">IS-Leitlinie: </w:t>
      </w:r>
      <w:r>
        <w:rPr/>
        <w:t>Leitlinie zur vollumfänglichen Beschreibung und Definition der Informationssicherheit einer Organisationseinheit</w:t>
      </w:r>
    </w:p>
    <w:p>
      <w:pPr>
        <w:pStyle w:val="10000-DefaultParagraph"/>
        <w:rPr/>
      </w:pPr>
      <w:r>
        <w:rPr>
          <w:rStyle w:val="StrongEmphasis"/>
        </w:rPr>
        <w:t>IS-Richtlinie:</w:t>
      </w:r>
      <w:r>
        <w:rPr/>
        <w:t xml:space="preserve"> unterstützendes, zur Umsetzung der IS-Leitlinie erforderliches Dokument, welches alle erforderliche Zusatzinformationen subsummiert</w:t>
      </w:r>
    </w:p>
    <w:p>
      <w:pPr>
        <w:pStyle w:val="10000-DefaultParagraph"/>
        <w:rPr/>
      </w:pPr>
      <w:r>
        <w:rPr>
          <w:rStyle w:val="StrongEmphasis"/>
        </w:rPr>
        <w:t>IT-Infrastruktur:</w:t>
      </w:r>
      <w:r>
        <w:rPr/>
        <w:t xml:space="preserve"> Gesamtheit aller langlebiger Einrichtungen materieller und institutioneller Art für den Betrieb von Anwendungssoftware</w:t>
      </w:r>
    </w:p>
    <w:p>
      <w:pPr>
        <w:pStyle w:val="10000-DefaultParagraph"/>
        <w:rPr/>
      </w:pPr>
      <w:r>
        <w:rPr>
          <w:rStyle w:val="StrongEmphasis"/>
        </w:rPr>
        <w:t>IT-Ressource:</w:t>
      </w:r>
      <w:r>
        <w:rPr/>
        <w:t xml:space="preserve"> Betriebsmittel für die elektronische Informationsverarbeitung. </w:t>
      </w:r>
    </w:p>
    <w:p>
      <w:pPr>
        <w:pStyle w:val="10000-Empfehlung"/>
        <w:rPr>
          <w:i/>
          <w:i/>
          <w:iCs/>
        </w:rPr>
      </w:pPr>
      <w:r>
        <w:rPr/>
        <w:t>Hinweis: Hierzu zählen u. a. IT-Systeme, Datenträger, Verbindungen, Daten, Informationen sowie Mitarbeitende.</w:t>
      </w:r>
    </w:p>
    <w:p>
      <w:pPr>
        <w:pStyle w:val="10000-DefaultParagraph"/>
        <w:rPr/>
      </w:pPr>
      <w:r>
        <w:rPr>
          <w:rStyle w:val="StrongEmphasis"/>
        </w:rPr>
        <w:t>IT-Verantwortlicher:</w:t>
      </w:r>
      <w:r>
        <w:rPr/>
        <w:t xml:space="preserve"> Leiter der IT-Abteilung, bzw. das für die Informationstechnik zuständige Management</w:t>
      </w:r>
    </w:p>
    <w:p>
      <w:pPr>
        <w:pStyle w:val="10000-DefaultParagraph"/>
        <w:rPr/>
      </w:pPr>
      <w:r>
        <w:rPr>
          <w:rStyle w:val="StrongEmphasis"/>
        </w:rPr>
        <w:t>IT-Outsourcing:</w:t>
      </w:r>
      <w:r>
        <w:rPr/>
        <w:t xml:space="preserve"> Auslagerung von IT-Aufgaben an einen von der Organisation rechtlich unabhängigen Anbieter</w:t>
      </w:r>
    </w:p>
    <w:p>
      <w:pPr>
        <w:pStyle w:val="10000-DefaultParagraph"/>
        <w:rPr/>
      </w:pPr>
      <w:r>
        <w:rPr>
          <w:rStyle w:val="StrongEmphasis"/>
        </w:rPr>
        <w:t>IT-Sicherheit:</w:t>
      </w:r>
      <w:r>
        <w:rPr/>
        <w:t xml:space="preserve"> technische und organisatorische Maßnahmen zum Schutz der IT-Infrastruktur</w:t>
      </w:r>
    </w:p>
    <w:p>
      <w:pPr>
        <w:pStyle w:val="10000-DefaultParagraph"/>
        <w:rPr>
          <w:i/>
          <w:i/>
          <w:iCs/>
        </w:rPr>
      </w:pPr>
      <w:r>
        <w:rPr/>
        <w:t>Hinweis: Die IT-Sicherheit ist ein Teilbereich der Informationssicherheit.</w:t>
      </w:r>
    </w:p>
    <w:p>
      <w:pPr>
        <w:pStyle w:val="10000-DefaultParagraph"/>
        <w:rPr/>
      </w:pPr>
      <w:r>
        <w:rPr>
          <w:rStyle w:val="StrongEmphasis"/>
        </w:rPr>
        <w:t>IT-System:</w:t>
      </w:r>
      <w:r>
        <w:rPr/>
        <w:t xml:space="preserve"> technische Anlage, die der Informationsverarbeitung dient und eine abgeschlossene Funktionseinheit aus Hard- und Software bildet</w:t>
      </w:r>
    </w:p>
    <w:p>
      <w:pPr>
        <w:pStyle w:val="10000-Empfehlung"/>
        <w:rPr>
          <w:i/>
          <w:i/>
          <w:iCs/>
        </w:rPr>
      </w:pPr>
      <w:commentRangeStart w:id="3"/>
      <w:r>
        <w:rPr/>
        <w:t>Beispiele: Typische IT-Systeme sind z. B. Server (physisch und virtuell), Clients, Drucker, Mobiltelefone, Smartphones, Telefonanlagen, Laptops, Tablets und aktive Netzwerkkomponenten</w:t>
      </w:r>
      <w:ins w:id="1" w:author="Mark Semmler" w:date="2025-01-29T18:30:09Z">
        <w:r>
          <w:rPr>
            <w:shd w:fill="auto" w:val="clear"/>
          </w:rPr>
          <w:t xml:space="preserve"> </w:t>
        </w:r>
      </w:ins>
      <w:ins w:id="2" w:author="Mark Semmler" w:date="2025-01-29T18:30:09Z">
        <w:r>
          <w:rPr>
            <w:shd w:fill="auto" w:val="clear"/>
          </w:rPr>
          <w:t>aber auch Steuerungen</w:t>
        </w:r>
      </w:ins>
      <w:ins w:id="3" w:author="Mark Semmler" w:date="2025-01-29T18:32:21Z">
        <w:r>
          <w:rPr>
            <w:shd w:fill="auto" w:val="clear"/>
          </w:rPr>
          <w:t xml:space="preserve"> Steuerungsanlagen von Maschinen und Prozessen</w:t>
        </w:r>
      </w:ins>
      <w:r>
        <w:rPr/>
        <w:t>.</w:t>
      </w:r>
      <w:commentRangeEnd w:id="3"/>
      <w:r>
        <w:commentReference w:id="3"/>
      </w:r>
      <w:r>
        <w:rPr/>
      </w:r>
    </w:p>
    <w:p>
      <w:pPr>
        <w:pStyle w:val="10000-DefaultParagraph"/>
        <w:rPr/>
      </w:pPr>
      <w:r>
        <w:rPr>
          <w:rStyle w:val="StrongEmphasis"/>
        </w:rPr>
        <w:t>katastrophaler Schaden:</w:t>
      </w:r>
      <w:r>
        <w:rPr/>
        <w:t xml:space="preserve"> Schaden, mit relevanter oder ruinöser Wirkung auf Leib und Leben von Personen, auf zentrale Prozesse, auf zentrale Werte oder auf die Rechtskonformität einer Organisation.</w:t>
      </w:r>
    </w:p>
    <w:p>
      <w:pPr>
        <w:pStyle w:val="10000-Empfehlung"/>
        <w:rPr>
          <w:i/>
          <w:i/>
          <w:iCs/>
        </w:rPr>
      </w:pPr>
      <w:r>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10000-DefaultParagraph"/>
        <w:rPr/>
      </w:pPr>
      <w:r>
        <w:rPr>
          <w:rStyle w:val="StrongEmphasis"/>
        </w:rPr>
        <w:t>kritische Individualsoftware:</w:t>
      </w:r>
      <w:r>
        <w:rPr/>
        <w:t xml:space="preserve"> für den Betrieb von kritischen IT-Systemen zwingend benötigte und individuell für die Organisation erstellte oder angepasste Software</w:t>
      </w:r>
    </w:p>
    <w:p>
      <w:pPr>
        <w:pStyle w:val="10000-DefaultParagraph"/>
        <w:rPr/>
      </w:pPr>
      <w:r>
        <w:rPr>
          <w:rStyle w:val="StrongEmphasis"/>
        </w:rPr>
        <w:t>kritische Informationen:</w:t>
      </w:r>
      <w:r>
        <w:rPr/>
        <w:t xml:space="preserve"> Informationen, mit denen bei bestimmten Aktionen katastrophale Schäden erwirkt werden können</w:t>
      </w:r>
    </w:p>
    <w:p>
      <w:pPr>
        <w:pStyle w:val="10000-Empfehlung"/>
        <w:rPr/>
      </w:pPr>
      <w:r>
        <w:rPr/>
        <w:t>Hinweis: Im Textverlauf sind hierzu Erläuterungen und Konkretisierungen formuliert.</w:t>
      </w:r>
    </w:p>
    <w:p>
      <w:pPr>
        <w:pStyle w:val="10000-DefaultParagraph"/>
        <w:rPr/>
      </w:pPr>
      <w:r>
        <w:rPr>
          <w:rStyle w:val="StrongEmphasis"/>
        </w:rPr>
        <w:t>kritisches IT-System:</w:t>
      </w:r>
      <w:r>
        <w:rPr/>
        <w:t xml:space="preserve"> IT-System, das kritische Informationen verarbeitet, speichert oder überträgt oder das für den Betrieb von kritischen IT-Ressourcen zwingend benötigt wird </w:t>
      </w:r>
    </w:p>
    <w:p>
      <w:pPr>
        <w:pStyle w:val="10000-Empfehlung"/>
        <w:rPr/>
      </w:pPr>
      <w:r>
        <w:rPr/>
        <w:t>Hinweis: Im Textverlauf sind hierzu Erläuterungen und Konkretisierungen formuliert.</w:t>
      </w:r>
    </w:p>
    <w:p>
      <w:pPr>
        <w:pStyle w:val="10000-DefaultParagraph"/>
        <w:rPr/>
      </w:pPr>
      <w:r>
        <w:rPr>
          <w:rStyle w:val="StrongEmphasis"/>
        </w:rPr>
        <w:t>kritischer mobiler Datenträger:</w:t>
      </w:r>
      <w:r>
        <w:rPr/>
        <w:t xml:space="preserve"> mobiler Datenträger, der die Eigenschaften eines kritischen IT-Systems erfüllt </w:t>
      </w:r>
    </w:p>
    <w:p>
      <w:pPr>
        <w:pStyle w:val="10000-Empfehlung"/>
        <w:rPr/>
      </w:pPr>
      <w:r>
        <w:rPr/>
        <w:t>Hinweis: Im Textverlauf sind hierzu Erläuterungen und Konkretisierungen formuliert.</w:t>
      </w:r>
    </w:p>
    <w:p>
      <w:pPr>
        <w:pStyle w:val="10000-DefaultParagraph"/>
        <w:rPr/>
      </w:pPr>
      <w:r>
        <w:rPr>
          <w:rStyle w:val="StrongEmphasis"/>
        </w:rPr>
        <w:t>kritische Verbindung:</w:t>
      </w:r>
      <w:r>
        <w:rPr/>
        <w:t xml:space="preserve"> Verbindung, die Bestandteil eines kritischen IT-Systems ist</w:t>
      </w:r>
    </w:p>
    <w:p>
      <w:pPr>
        <w:pStyle w:val="10000-Empfehlung"/>
        <w:rPr/>
      </w:pPr>
      <w:r>
        <w:rPr/>
        <w:t>Hinweis: Im Textverlauf sind hierzu Erläuterungen und Konkretisierungen formuliert.</w:t>
      </w:r>
    </w:p>
    <w:p>
      <w:pPr>
        <w:pStyle w:val="10000-DefaultParagraph"/>
        <w:rPr/>
      </w:pPr>
      <w:r>
        <w:rPr>
          <w:rStyle w:val="StrongEmphasis"/>
        </w:rPr>
        <w:t>Leitlinie:</w:t>
      </w:r>
      <w:r>
        <w:rPr/>
        <w:t xml:space="preserve"> vom Topmanagement bereitgestelltes Dokument, das Ziele der Organisation sowie dessen Priorität definiert sowie Verantwortlichkeiten zu deren Erreichung festlegt</w:t>
      </w:r>
    </w:p>
    <w:p>
      <w:pPr>
        <w:pStyle w:val="Normal"/>
        <w:rPr/>
      </w:pPr>
      <w:r>
        <w:rPr>
          <w:rStyle w:val="StrongEmphasis"/>
        </w:rPr>
        <w:t>Lieferant:</w:t>
      </w:r>
      <w:r>
        <w:rPr>
          <w:rStyle w:val="StrongEmphasis"/>
          <w:b w:val="false"/>
          <w:bCs w:val="false"/>
        </w:rPr>
        <w:t xml:space="preserve"> Organisation oder Person, die Produkte oder Dienstleistungen liefert.</w:t>
      </w:r>
    </w:p>
    <w:p>
      <w:pPr>
        <w:pStyle w:val="Normal"/>
        <w:rPr/>
      </w:pPr>
      <w:r>
        <w:rPr>
          <w:rStyle w:val="StrongEmphasis"/>
        </w:rPr>
        <w:t>Lieferkette:</w:t>
      </w:r>
      <w:r>
        <w:rPr>
          <w:rStyle w:val="StrongEmphasis"/>
          <w:b w:val="false"/>
          <w:bCs w:val="false"/>
        </w:rPr>
        <w:t xml:space="preserve"> Alle Schritte und Aktivitäten, die notwendig sind, um Produkte oder Dienstleistungen zum jeweiligen Konsumenten zu bringen. An einer Lieferkette ist die Organisation, ihre Lieferanten und der Konsument beteiligt.</w:t>
      </w:r>
    </w:p>
    <w:p>
      <w:pPr>
        <w:pStyle w:val="10000-DefaultParagraph"/>
        <w:rPr>
          <w:rFonts w:eastAsia="Bitstream Vera Sans" w:cs="Bitstream Vera Sans"/>
          <w:szCs w:val="24"/>
          <w:lang w:bidi="en-US"/>
        </w:rPr>
      </w:pPr>
      <w:r>
        <w:rPr>
          <w:rStyle w:val="StrongEmphasis"/>
        </w:rPr>
        <w:t>maximal tolerierbare Ausfallzeit (MTA):</w:t>
      </w:r>
      <w:r>
        <w:rPr/>
        <w:t xml:space="preserve"> definierte </w:t>
      </w:r>
      <w:r>
        <w:rPr>
          <w:rFonts w:eastAsia="Bitstream Vera Sans" w:cs="Bitstream Vera Sans"/>
          <w:szCs w:val="24"/>
          <w:lang w:bidi="en-US"/>
        </w:rPr>
        <w:t>Zeitspanne, innerhalb der eine definierte Leistung (z. B. ein Notbetriebsniveau) wiederhergestellt sein muss</w:t>
      </w:r>
    </w:p>
    <w:p>
      <w:pPr>
        <w:pStyle w:val="10000-DefaultParagraph"/>
        <w:rPr/>
      </w:pPr>
      <w:r>
        <w:rPr>
          <w:rStyle w:val="StrongEmphasis"/>
        </w:rPr>
        <w:t>maximal tolerierbarer Datenverlust (MTD):</w:t>
      </w:r>
      <w:r>
        <w:rPr/>
        <w:t xml:space="preserve"> definierte Höchstmenge bzw. Werte oder Inhalte von Daten, deren Verlust im Rahmen eines Systemfehlers oder -ausfalls akzeptabel sind</w:t>
      </w:r>
    </w:p>
    <w:p>
      <w:pPr>
        <w:pStyle w:val="10000-Empfehlung"/>
        <w:rPr>
          <w:rFonts w:eastAsia="Bitstream Vera Sans" w:cs="Bitstream Vera Sans"/>
          <w:i/>
          <w:i/>
          <w:iCs/>
          <w:szCs w:val="24"/>
          <w:lang w:bidi="en-US"/>
        </w:rPr>
      </w:pPr>
      <w:r>
        <w:rPr/>
        <w:t>Hinweis: Die definierte Höchstmenge kann sich sowohl auf die Anzahl der Daten als auch auf eine Zeitspanne beziehen, z. B. die Daten der letzten 24 Stunden.</w:t>
      </w:r>
    </w:p>
    <w:p>
      <w:pPr>
        <w:pStyle w:val="10000-DefaultParagraph"/>
        <w:rPr/>
      </w:pPr>
      <w:r>
        <w:rPr>
          <w:rStyle w:val="StrongEmphasis"/>
          <w:rFonts w:eastAsia="Arial" w:cs="DejaVu Sans"/>
          <w:szCs w:val="22"/>
          <w:shd w:fill="999999" w:val="clear"/>
          <w:lang w:eastAsia="en-US"/>
        </w:rPr>
        <w:t xml:space="preserve">Mehr-Faktor-Authentifizierung: </w:t>
      </w:r>
      <w:r>
        <w:rPr/>
        <w:t>Nachweis der Authentizität mit Hilfe mehrerer, unabhängiger Merkmale</w:t>
      </w:r>
    </w:p>
    <w:p>
      <w:pPr>
        <w:pStyle w:val="10000-DefaultParagraph"/>
        <w:rPr/>
      </w:pPr>
      <w:r>
        <w:rPr>
          <w:rStyle w:val="StrongEmphasis"/>
        </w:rPr>
        <w:t>Mitarbeiter:</w:t>
      </w:r>
      <w:r>
        <w:rPr/>
        <w:t xml:space="preserve"> natürliche Person, die in einem Vertragsverhältnis oder in einem öffentlich-rechtlichen Dienst- und Treueverhältnis mit der Organisation steht und eine oder mehrere Positionen in der Organisation einnimmt</w:t>
      </w:r>
    </w:p>
    <w:p>
      <w:pPr>
        <w:pStyle w:val="10000-DefaultParagraph"/>
        <w:rPr>
          <w:i/>
          <w:i/>
          <w:iCs/>
        </w:rPr>
      </w:pPr>
      <w:r>
        <w:rPr>
          <w:i/>
          <w:iCs/>
        </w:rPr>
        <w:t>Hinweis: Mitarbeiter sind z. B. Angestellte, Arbeiter, Beamte, freie Mitarbeiter, Dienstleister oder deren Mitarbeiter bzw. Erfüllungsgehilfen.</w:t>
      </w:r>
    </w:p>
    <w:p>
      <w:pPr>
        <w:pStyle w:val="10000-DefaultParagraph"/>
        <w:rPr/>
      </w:pPr>
      <w:r>
        <w:rPr>
          <w:rStyle w:val="StrongEmphasis"/>
        </w:rPr>
        <w:t>mobiler Datenträger:</w:t>
      </w:r>
      <w:r>
        <w:rPr/>
        <w:t xml:space="preserve"> nicht fest installierter, sondern transportabel und an unterschiedlichen Örtlichkeiten einsetzbarer Datenträger</w:t>
      </w:r>
    </w:p>
    <w:p>
      <w:pPr>
        <w:pStyle w:val="10000-Empfehlung"/>
        <w:rPr>
          <w:i/>
          <w:i/>
          <w:iCs/>
        </w:rPr>
      </w:pPr>
      <w:r>
        <w:rPr/>
        <w:t>Hinweis: Typische mobile Datenträger sind z. B. Speichersticks und -karten sowie externe Festplatten aber auch Speichermedien wie CD-ROMs, DVDs und Disketten.</w:t>
      </w:r>
    </w:p>
    <w:p>
      <w:pPr>
        <w:pStyle w:val="10000-DefaultParagraph"/>
        <w:rPr/>
      </w:pPr>
      <w:r>
        <w:rPr>
          <w:rStyle w:val="StrongEmphasis"/>
        </w:rPr>
        <w:t>mobiles IT-System:</w:t>
      </w:r>
      <w:r>
        <w:rPr/>
        <w:t xml:space="preserve"> nicht fest installiertes, sondern transportabel und an unterschiedlichen Örtlichkeiten einsetzbares IT-System </w:t>
      </w:r>
    </w:p>
    <w:p>
      <w:pPr>
        <w:pStyle w:val="10000-Empfehlung"/>
        <w:rPr>
          <w:i/>
          <w:i/>
          <w:iCs/>
        </w:rPr>
      </w:pPr>
      <w:r>
        <w:rPr/>
        <w:t>Hinweis: Typische mobile IT-Systeme sind z. B. Notebooks, Smartphones, Tablets oder Digitalkameras.</w:t>
      </w:r>
    </w:p>
    <w:p>
      <w:pPr>
        <w:pStyle w:val="10000-DefaultParagraph"/>
        <w:rPr/>
      </w:pPr>
      <w:r>
        <w:rPr>
          <w:rStyle w:val="StrongEmphasis"/>
        </w:rPr>
        <w:t>Netzwerkkomponente:</w:t>
      </w:r>
      <w:r>
        <w:rPr/>
        <w:t xml:space="preserve"> eine der Weiterleitung von Daten dienende technische Anlage</w:t>
      </w:r>
    </w:p>
    <w:p>
      <w:pPr>
        <w:pStyle w:val="10000-Empfehlung"/>
        <w:rPr>
          <w:i/>
          <w:i/>
          <w:iCs/>
        </w:rPr>
      </w:pPr>
      <w:r>
        <w:rPr/>
        <w:t>Hinweis: Es werden aktive und passive Netzwerkkomponenten unterschieden.</w:t>
      </w:r>
    </w:p>
    <w:p>
      <w:pPr>
        <w:pStyle w:val="10000-DefaultParagraph"/>
        <w:rPr/>
      </w:pPr>
      <w:r>
        <w:rPr>
          <w:rStyle w:val="StrongEmphasis"/>
        </w:rPr>
        <w:t>Netzübergang:</w:t>
      </w:r>
      <w:r>
        <w:rPr/>
        <w:t xml:space="preserve"> Schnittstelle zwischen zwei Netzwerken, die sich hinsichtlich ihrer physikalischen Übertragungsmedien, der verwendeten Protokolle, durch ihre administrative Hoheit oder durch eine unterschiedliche Vertrauenswürdigkeit voneinander unterscheiden</w:t>
      </w:r>
    </w:p>
    <w:p>
      <w:pPr>
        <w:pStyle w:val="10000-DefaultParagraph"/>
        <w:rPr/>
      </w:pPr>
      <w:r>
        <w:rPr>
          <w:rStyle w:val="StrongEmphasis"/>
        </w:rPr>
        <w:t>Notbetrieb:</w:t>
      </w:r>
      <w:r>
        <w:rPr/>
        <w:t xml:space="preserve"> auf ein Minimum reduzierte Funktionstüchtigkeit, mit der ein Prozess aufrechterhalten werden kann</w:t>
      </w:r>
    </w:p>
    <w:p>
      <w:pPr>
        <w:pStyle w:val="10000-DefaultParagraph"/>
        <w:rPr/>
      </w:pPr>
      <w:r>
        <w:rPr>
          <w:rStyle w:val="StrongEmphasis"/>
        </w:rPr>
        <w:t>Notbetriebsniveau:</w:t>
      </w:r>
      <w:r>
        <w:rPr/>
        <w:t xml:space="preserve"> Definition, welche Funktionen von einer IT-Ressource erbracht werden müssen, damit ein Notbetrieb aufrechterhalten werden kann</w:t>
      </w:r>
    </w:p>
    <w:p>
      <w:pPr>
        <w:pStyle w:val="Normal"/>
        <w:rPr>
          <w:ins w:id="6" w:author="Mark Semmler" w:date="2025-01-29T10:56:21Z"/>
        </w:rPr>
      </w:pPr>
      <w:ins w:id="4" w:author="Mark Semmler" w:date="2025-01-29T10:56:21Z">
        <w:r>
          <w:rPr>
            <w:b/>
            <w:bCs/>
          </w:rPr>
          <w:t>Nutzer: alle juristischen und natürlichen Personen, die Zugang zur IT der Organisation besitzen</w:t>
        </w:r>
      </w:ins>
      <w:ins w:id="5" w:author="Mark Semmler" w:date="2025-01-29T10:56:21Z">
        <w:r>
          <w:rPr>
            <w:b/>
            <w:bCs/>
          </w:rPr>
          <w:commentReference w:id="4"/>
        </w:r>
      </w:ins>
    </w:p>
    <w:p>
      <w:pPr>
        <w:pStyle w:val="Normal"/>
        <w:rPr/>
      </w:pPr>
      <w:r>
        <w:rPr>
          <w:b/>
          <w:bCs/>
        </w:rPr>
        <w:t xml:space="preserve">Organisation: </w:t>
      </w:r>
      <w:r>
        <w:rPr/>
        <w:t>Eine rechtlich verfasste Einheit wie ein Unternehmen, eine Behörde oder eine Institution, die strukturiert ist, um bestimmte Ziele zu verfolgen.</w:t>
      </w:r>
    </w:p>
    <w:p>
      <w:pPr>
        <w:pStyle w:val="10000-DefaultParagraph"/>
        <w:rPr/>
      </w:pPr>
      <w:r>
        <w:rPr>
          <w:rStyle w:val="StrongEmphasis"/>
        </w:rPr>
        <w:t>Organisationseinheit:</w:t>
      </w:r>
      <w:r>
        <w:rPr/>
        <w:t xml:space="preserve"> in einer Organisation prozedural zusammengefasste (Teil-)Aufgaben oder Tätigkeiten</w:t>
      </w:r>
    </w:p>
    <w:p>
      <w:pPr>
        <w:pStyle w:val="10000-DefaultParagraph"/>
        <w:rPr/>
      </w:pPr>
      <w:r>
        <w:rPr>
          <w:rStyle w:val="StrongEmphasis"/>
        </w:rPr>
        <w:t>passive Netzwerkkomponente:</w:t>
      </w:r>
      <w:r>
        <w:rPr/>
        <w:t xml:space="preserve"> Netzwerkkomponente, die keine eigene Logik besitzt und keine aktiven Datenverarbeitungs- oder Steuerungsfunktionen ausführt, </w:t>
      </w:r>
    </w:p>
    <w:p>
      <w:pPr>
        <w:pStyle w:val="10000-Empfehlung"/>
        <w:rPr>
          <w:i/>
          <w:i/>
          <w:iCs/>
        </w:rPr>
      </w:pPr>
      <w:r>
        <w:rPr/>
        <w:t>Hinweis: Typische passive Netzwerkkomponenten sind z. B. Kabel, Stecker, Patchfelder oder Anschlusspunkte.</w:t>
      </w:r>
    </w:p>
    <w:p>
      <w:pPr>
        <w:pStyle w:val="10000-DefaultParagraph"/>
        <w:rPr/>
      </w:pPr>
      <w:r>
        <w:rPr>
          <w:rStyle w:val="StrongEmphasis"/>
        </w:rPr>
        <w:t>Position:</w:t>
      </w:r>
      <w:r>
        <w:rPr/>
        <w:t xml:space="preserve"> Stellung, die ein Mitarbeiter in der Hierarchie einer Organisation einnimmt</w:t>
      </w:r>
    </w:p>
    <w:p>
      <w:pPr>
        <w:pStyle w:val="10000-DefaultParagraph"/>
        <w:rPr/>
      </w:pPr>
      <w:r>
        <w:rPr>
          <w:rStyle w:val="StrongEmphasis"/>
        </w:rPr>
        <w:t>Projektverantwortlicher:</w:t>
      </w:r>
      <w:r>
        <w:rPr/>
        <w:t xml:space="preserve"> für die Planung, Steuerung und Überwachung eines Projekts verantwortliche Person</w:t>
      </w:r>
    </w:p>
    <w:p>
      <w:pPr>
        <w:pStyle w:val="10000-DefaultParagraph"/>
        <w:rPr/>
      </w:pPr>
      <w:r>
        <w:rPr>
          <w:rStyle w:val="StrongEmphasis"/>
        </w:rPr>
        <w:t>Prozess:</w:t>
      </w:r>
      <w:r>
        <w:rPr/>
        <w:t xml:space="preserve"> System von Tätigkeiten, das Eingaben mit Hilfe von Ressourcen in Ergebnisse umwandelt</w:t>
      </w:r>
    </w:p>
    <w:p>
      <w:pPr>
        <w:pStyle w:val="10000-DefaultParagraph"/>
        <w:rPr/>
      </w:pPr>
      <w:r>
        <w:rPr>
          <w:rStyle w:val="StrongEmphasis"/>
        </w:rPr>
        <w:t>Prozess mit hohem Schadenpotential:</w:t>
      </w:r>
      <w:r>
        <w:rPr/>
        <w:t xml:space="preserve"> Prozess, bei dem eine Fehlfunktion oder die Verletzung der zugesicherten Verfügbarkeit ein katastrophaler Schaden entstehen kann. </w:t>
      </w:r>
    </w:p>
    <w:p>
      <w:pPr>
        <w:pStyle w:val="10000-Empfehlung"/>
        <w:rPr>
          <w:i/>
          <w:i/>
          <w:iCs/>
        </w:rPr>
      </w:pPr>
      <w:r>
        <w:rPr>
          <w:i/>
          <w:iCs/>
        </w:rPr>
        <w:t xml:space="preserve">Hinweis: Typische Prozesse mit hohem Schadenpotenzial sind z. B. die </w:t>
      </w:r>
      <w:r>
        <w:rPr>
          <w:rFonts w:eastAsia="Bitstream Vera Sans" w:cs="Bitstream Vera Sans"/>
          <w:i/>
          <w:iCs/>
          <w:szCs w:val="24"/>
          <w:lang w:bidi="en-US"/>
        </w:rPr>
        <w:t xml:space="preserve">Datensicherung und </w:t>
        <w:br/>
        <w:t>-wiederherstellung.</w:t>
      </w:r>
    </w:p>
    <w:p>
      <w:pPr>
        <w:pStyle w:val="10000-DefaultParagraph"/>
        <w:rPr/>
      </w:pPr>
      <w:r>
        <w:rPr>
          <w:rStyle w:val="StrongEmphasis"/>
        </w:rPr>
        <w:t>Prozessverantwortlicher:</w:t>
      </w:r>
      <w:r>
        <w:rPr/>
        <w:t xml:space="preserve"> inhaltlich für einen oder mehrere Prozesse verantwortliche Person </w:t>
      </w:r>
    </w:p>
    <w:p>
      <w:pPr>
        <w:pStyle w:val="10000-Empfehlung"/>
        <w:rPr>
          <w:i/>
          <w:i/>
          <w:iCs/>
        </w:rPr>
      </w:pPr>
      <w:r>
        <w:rPr/>
        <w:t>Hinweis: Der Prozessverantwortliche muss den Überblick über die für diese Prozesse benötigten Ressourcen und über die an sie gestellten Anforderungen besitzen.</w:t>
      </w:r>
    </w:p>
    <w:p>
      <w:pPr>
        <w:pStyle w:val="10000-DefaultParagraph"/>
        <w:rPr/>
      </w:pPr>
      <w:r>
        <w:rPr>
          <w:rStyle w:val="StrongEmphasis"/>
        </w:rPr>
        <w:t>Regelung:</w:t>
      </w:r>
      <w:r>
        <w:rPr/>
        <w:t xml:space="preserve"> verbindliche Vorgabe</w:t>
      </w:r>
    </w:p>
    <w:p>
      <w:pPr>
        <w:pStyle w:val="10000-DefaultParagraph"/>
        <w:rPr/>
      </w:pPr>
      <w:r>
        <w:rPr>
          <w:rStyle w:val="StrongEmphasis"/>
        </w:rPr>
        <w:t>Ressource:</w:t>
      </w:r>
      <w:r>
        <w:rPr/>
        <w:t xml:space="preserve"> der Organisation gehörendes und/oder von ihr nutzbares  Betriebsmittel</w:t>
      </w:r>
    </w:p>
    <w:p>
      <w:pPr>
        <w:pStyle w:val="10000-DefaultParagraph"/>
        <w:rPr/>
      </w:pPr>
      <w:r>
        <w:rPr>
          <w:rStyle w:val="StrongEmphasis"/>
        </w:rPr>
        <w:t>Risiko:</w:t>
      </w:r>
      <w:r>
        <w:rPr/>
        <w:t xml:space="preserve"> nach Eintrittswahrscheinlichkeit und Schadenhöhe bewertete Gefährdung</w:t>
      </w:r>
    </w:p>
    <w:p>
      <w:pPr>
        <w:pStyle w:val="10000-DefaultParagraph"/>
        <w:rPr/>
      </w:pPr>
      <w:r>
        <w:rPr>
          <w:rStyle w:val="StrongEmphasis"/>
        </w:rPr>
        <w:t>Schnittstelle:</w:t>
      </w:r>
      <w:r>
        <w:rPr/>
        <w:t xml:space="preserve"> der Kommunikation dienender Teil eines IT-Systems</w:t>
      </w:r>
    </w:p>
    <w:p>
      <w:pPr>
        <w:pStyle w:val="10000-Empfehlung"/>
        <w:rPr>
          <w:i/>
          <w:i/>
          <w:iCs/>
        </w:rPr>
      </w:pPr>
      <w:r>
        <w:rPr/>
        <w:t>Hinweis: Dies können z. B. Ethernet- und Wireless-LAN-Adapter, ISDN-Karten, Modems, USB-Ports, NFC- und Infrarot-Schnittstellen, SD-Slots oder Tastaturen sein.</w:t>
      </w:r>
    </w:p>
    <w:p>
      <w:pPr>
        <w:pStyle w:val="10000-DefaultParagraph"/>
        <w:rPr/>
      </w:pPr>
      <w:r>
        <w:rPr>
          <w:rStyle w:val="StrongEmphasis"/>
        </w:rPr>
        <w:t>Schwachstelle:</w:t>
      </w:r>
      <w:r>
        <w:rPr/>
        <w:t xml:space="preserve"> Umstand, der es ermöglicht, dass eine Bedrohung mit einem zu schützenden Objekt räumlich und/oder zeitlich zusammentreffen kann</w:t>
      </w:r>
    </w:p>
    <w:p>
      <w:pPr>
        <w:pStyle w:val="10000-DefaultParagraph"/>
        <w:rPr/>
      </w:pPr>
      <w:r>
        <w:rPr>
          <w:rStyle w:val="StrongEmphasis"/>
        </w:rPr>
        <w:t>Server:</w:t>
      </w:r>
      <w:r>
        <w:rPr/>
        <w:t xml:space="preserve"> Dienste über Verbindungen zur Verfügung stellendes zentrales IT-System</w:t>
      </w:r>
    </w:p>
    <w:p>
      <w:pPr>
        <w:pStyle w:val="10000-DefaultParagraph"/>
        <w:rPr/>
      </w:pPr>
      <w:r>
        <w:rPr>
          <w:rStyle w:val="StrongEmphasis"/>
          <w:rFonts w:eastAsia="Arial" w:cs="DejaVu Sans"/>
          <w:szCs w:val="22"/>
          <w:shd w:fill="999999" w:val="clear"/>
          <w:lang w:eastAsia="en-US"/>
        </w:rPr>
        <w:t>Sicherheit:</w:t>
      </w:r>
      <w:r>
        <w:rPr/>
        <w:t xml:space="preserve"> Abwesenheit nicht beherrschbarer Gefahren </w:t>
      </w:r>
    </w:p>
    <w:p>
      <w:pPr>
        <w:pStyle w:val="10000-Empfehlung"/>
        <w:rPr>
          <w:i/>
          <w:i/>
          <w:iCs/>
        </w:rPr>
      </w:pPr>
      <w:r>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10000-DefaultParagraph"/>
        <w:rPr/>
      </w:pPr>
      <w:r>
        <w:rPr>
          <w:rStyle w:val="StrongEmphasis"/>
        </w:rPr>
        <w:t>Sicherheitsvorfall:</w:t>
      </w:r>
      <w:r>
        <w:rPr/>
        <w:t xml:space="preserve"> unerwünschtes Ereignis, das die Informationssicherheit beeinträchtigt</w:t>
      </w:r>
    </w:p>
    <w:p>
      <w:pPr>
        <w:pStyle w:val="10000-DefaultParagraph"/>
        <w:rPr/>
      </w:pPr>
      <w:r>
        <w:rPr>
          <w:rStyle w:val="StrongEmphasis"/>
        </w:rPr>
        <w:t>Speicherort:</w:t>
      </w:r>
      <w:r>
        <w:rPr/>
        <w:t xml:space="preserve"> Ort, an dem die dauerhafte Speicherung von Daten durch Nutzer oder Applikationen erfolgt </w:t>
      </w:r>
    </w:p>
    <w:p>
      <w:pPr>
        <w:pStyle w:val="10000-Empfehlung"/>
        <w:rPr>
          <w:i/>
          <w:i/>
          <w:iCs/>
        </w:rPr>
      </w:pPr>
      <w:r>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
    </w:p>
    <w:p>
      <w:pPr>
        <w:pStyle w:val="10000-DefaultParagraph"/>
        <w:rPr/>
      </w:pPr>
      <w:r>
        <w:rPr>
          <w:rStyle w:val="StrongEmphasis"/>
        </w:rPr>
        <w:t>Systemsoftware:</w:t>
      </w:r>
      <w:r>
        <w:rPr/>
        <w:t xml:space="preserve"> Firmware, Betriebssystem und systemnahe Software, die interne und externe Hardwarekomponenten eines IT-Systems verwaltet</w:t>
      </w:r>
    </w:p>
    <w:p>
      <w:pPr>
        <w:pStyle w:val="10000-DefaultParagraph"/>
        <w:rPr/>
      </w:pPr>
      <w:r>
        <w:rPr>
          <w:rStyle w:val="StrongEmphasis"/>
        </w:rPr>
        <w:t>Topmanagement:</w:t>
      </w:r>
      <w:r>
        <w:rPr/>
        <w:t xml:space="preserve"> oberste Führungsebene einer Organisation</w:t>
      </w:r>
    </w:p>
    <w:p>
      <w:pPr>
        <w:pStyle w:val="10000-Empfehlung"/>
        <w:rPr>
          <w:i/>
          <w:i/>
          <w:iCs/>
        </w:rPr>
      </w:pPr>
      <w:r>
        <w:rPr/>
        <w:t>Hinweis: Dies können Vorstände, Geschäftsführer oder Behördenleiter sein.</w:t>
      </w:r>
    </w:p>
    <w:p>
      <w:pPr>
        <w:pStyle w:val="10000-DefaultParagraph"/>
        <w:rPr/>
      </w:pPr>
      <w:r>
        <w:rPr>
          <w:rStyle w:val="StrongEmphasis"/>
        </w:rPr>
        <w:t>Verbindung:</w:t>
      </w:r>
      <w:r>
        <w:rPr/>
        <w:t xml:space="preserve"> Kanal, über den Daten ausgetauscht werden können</w:t>
      </w:r>
    </w:p>
    <w:p>
      <w:pPr>
        <w:pStyle w:val="10000-DefaultParagraph"/>
        <w:rPr/>
      </w:pPr>
      <w:r>
        <w:rPr>
          <w:rStyle w:val="StrongEmphasis"/>
        </w:rPr>
        <w:t>Verfahren:</w:t>
      </w:r>
      <w:r>
        <w:rPr/>
        <w:t xml:space="preserve"> festgelegte Art und Weise, wie ein Prozess (oder eine einzelne Tätigkeit innerhalb eines Prozesses) auszuführen ist</w:t>
      </w:r>
    </w:p>
    <w:p>
      <w:pPr>
        <w:pStyle w:val="10000-DefaultParagraph"/>
        <w:rPr/>
      </w:pPr>
      <w:r>
        <w:rPr>
          <w:rStyle w:val="StrongEmphasis"/>
        </w:rPr>
        <w:t>Verfügbarkeit:</w:t>
      </w:r>
      <w:r>
        <w:rPr/>
        <w:t xml:space="preserve"> Eigenschaft einer Ressource, nutzbar zu sein</w:t>
      </w:r>
    </w:p>
    <w:p>
      <w:pPr>
        <w:pStyle w:val="10000-DefaultParagraph"/>
        <w:rPr/>
      </w:pPr>
      <w:r>
        <w:rPr>
          <w:rStyle w:val="StrongEmphasis"/>
        </w:rPr>
        <w:t>Vertraulichkeit:</w:t>
      </w:r>
      <w:r>
        <w:rPr/>
        <w:t xml:space="preserve"> Eigenschaft einer Information, nur für einen beschränkten Empfängerkreis vorgesehen zu sein</w:t>
      </w:r>
    </w:p>
    <w:p>
      <w:pPr>
        <w:pStyle w:val="10000-DefaultParagraph"/>
        <w:rPr/>
      </w:pPr>
      <w:r>
        <w:rPr>
          <w:rStyle w:val="StrongEmphasis"/>
        </w:rPr>
        <w:t>zentraler Prozess:</w:t>
      </w:r>
      <w:r>
        <w:rPr/>
        <w:t xml:space="preserve"> Prozess, der mitentscheidend für die Aufgabenerfüllung der Organisation ist </w:t>
      </w:r>
    </w:p>
    <w:p>
      <w:pPr>
        <w:pStyle w:val="10000-Empfehlung"/>
        <w:rPr>
          <w:i/>
          <w:i/>
          <w:iCs/>
        </w:rPr>
      </w:pPr>
      <w:r>
        <w:rPr/>
        <w:t>Hinweis: Dies kann z. B. ein Prozess für die Wertschöpfung oder für den Erhalt bzw. die Verbesserung der Wettbewerbsfähigkeit sein.</w:t>
      </w:r>
    </w:p>
    <w:p>
      <w:pPr>
        <w:pStyle w:val="10000-DefaultParagraph"/>
        <w:rPr/>
      </w:pPr>
      <w:r>
        <w:rPr>
          <w:b/>
        </w:rPr>
        <w:t>zentraler Wert:</w:t>
      </w:r>
      <w:r>
        <w:rPr/>
        <w:t xml:space="preserve"> materielles oder immaterielles Element, das für die Aufgabenerfüllung der Organisation, insbesondere für die Durchführung zentraler Prozesse und solche mit hohem Schadenspotenzial, unverzichtbar ist</w:t>
      </w:r>
    </w:p>
    <w:p>
      <w:pPr>
        <w:pStyle w:val="10000-Empfehlung"/>
        <w:rPr>
          <w:i/>
          <w:i/>
          <w:iCs/>
        </w:rPr>
      </w:pPr>
      <w:r>
        <w:rPr/>
        <w:t>Hinweis: Hierzu sind beispielsweise Produktionsanlagen, Wissen, Mitarbeiter sowie das Vertrauen von Kunden und Geschäftspartnern zu zählen.</w:t>
      </w:r>
    </w:p>
    <w:p>
      <w:pPr>
        <w:pStyle w:val="10000-DefaultParagraph"/>
        <w:rPr/>
      </w:pPr>
      <w:r>
        <w:rPr>
          <w:rStyle w:val="StrongEmphasis"/>
        </w:rPr>
        <w:t>Zugang:</w:t>
      </w:r>
      <w:r>
        <w:rPr/>
        <w:t xml:space="preserve"> Einrichtung, die es erlaubt, die nichtöffentliche IT einer Organisation zu nutzen</w:t>
      </w:r>
    </w:p>
    <w:p>
      <w:pPr>
        <w:pStyle w:val="10000-DefaultParagraph"/>
        <w:rPr/>
      </w:pPr>
      <w:r>
        <w:rPr>
          <w:rStyle w:val="StrongEmphasis"/>
        </w:rPr>
        <w:t>Zugriff:</w:t>
      </w:r>
      <w:r>
        <w:rPr/>
        <w:t xml:space="preserve"> Datenaustausch zwischen einer zugreifenden Instanz und einer IT-Ressource</w:t>
      </w:r>
    </w:p>
    <w:p>
      <w:pPr>
        <w:pStyle w:val="10000-DefaultParagraph"/>
        <w:rPr/>
      </w:pPr>
      <w:r>
        <w:rPr>
          <w:rStyle w:val="StrongEmphasis"/>
        </w:rPr>
        <w:t>Zutritt:</w:t>
      </w:r>
      <w:r>
        <w:rPr/>
        <w:t xml:space="preserve"> Umstand, der es ermöglicht, physisch mit einer IT-Ressource zu interagieren</w:t>
      </w:r>
    </w:p>
    <w:p>
      <w:pPr>
        <w:pStyle w:val="Heading2"/>
        <w:ind w:hanging="0" w:left="0"/>
        <w:rPr/>
      </w:pPr>
      <w:bookmarkStart w:id="71" w:name="__RefHeading___Toc31924_2021121348"/>
      <w:bookmarkStart w:id="72" w:name="_Toc187327028"/>
      <w:bookmarkStart w:id="73" w:name="_Toc178761307"/>
      <w:bookmarkEnd w:id="71"/>
      <w:r>
        <w:rPr/>
        <w:t>Abkürzungen</w:t>
      </w:r>
      <w:bookmarkEnd w:id="72"/>
      <w:bookmarkEnd w:id="73"/>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 xml:space="preserve">BCM </w:t>
        <w:tab/>
        <w:t>Business Continuity Management</w:t>
      </w:r>
    </w:p>
    <w:p>
      <w:pPr>
        <w:pStyle w:val="Normal"/>
        <w:rPr/>
      </w:pPr>
      <w:r>
        <w:rPr>
          <w:rStyle w:val="Strong"/>
        </w:rPr>
        <w:t>BSI</w:t>
        <w:tab/>
        <w:t>Bundesamt für Sicherheit in der Informationstechnik</w:t>
      </w:r>
    </w:p>
    <w:p>
      <w:pPr>
        <w:pStyle w:val="Normal"/>
        <w:rPr/>
      </w:pPr>
      <w:r>
        <w:rPr>
          <w:rStyle w:val="Strong"/>
        </w:rPr>
        <w:t>BSIG</w:t>
        <w:tab/>
        <w:t>BSI-Gesetz</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ISB</w:t>
        <w:tab/>
        <w:t>Informationssicherheitsbeauftragter</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ISMS</w:t>
        <w:tab/>
        <w:t>Informationssicherheitsmanagementsystem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IST</w:t>
        <w:tab/>
        <w:t>Informationssicherheitsteam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KMU</w:t>
        <w:tab/>
        <w:t>kleine und mittlere Unternehmen</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MTA</w:t>
        <w:tab/>
        <w:t>maximal tolerierbare Ausfallzeit</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MTD</w:t>
        <w:tab/>
        <w:t>maximal tolerierbarer Datenverlust</w:t>
      </w:r>
    </w:p>
    <w:p>
      <w:pPr>
        <w:pStyle w:val="Heading1"/>
        <w:ind w:hanging="0" w:left="0"/>
        <w:rPr/>
      </w:pPr>
      <w:bookmarkStart w:id="74" w:name="__RefHeading___Toc31926_2021121348"/>
      <w:bookmarkStart w:id="75" w:name="_Toc178761308"/>
      <w:bookmarkStart w:id="76" w:name="rl%25252525252525252525253Akap_04%252525"/>
      <w:bookmarkStart w:id="77" w:name="_Ref184204313"/>
      <w:bookmarkStart w:id="78" w:name="_Toc531165015"/>
      <w:bookmarkStart w:id="79" w:name="organisation_der_informationssicherheit"/>
      <w:bookmarkStart w:id="80" w:name="_Toc178588050"/>
      <w:bookmarkStart w:id="81" w:name="_Toc530662880"/>
      <w:bookmarkStart w:id="82" w:name="_Toc187327029"/>
      <w:bookmarkEnd w:id="74"/>
      <w:bookmarkEnd w:id="76"/>
      <w:r>
        <w:rPr/>
        <w:t>Organisation der Informationssicherheit</w:t>
      </w:r>
      <w:bookmarkEnd w:id="75"/>
      <w:bookmarkEnd w:id="77"/>
      <w:bookmarkEnd w:id="78"/>
      <w:bookmarkEnd w:id="79"/>
      <w:bookmarkEnd w:id="80"/>
      <w:bookmarkEnd w:id="81"/>
      <w:bookmarkEnd w:id="82"/>
    </w:p>
    <w:p>
      <w:pPr>
        <w:pStyle w:val="Heading2"/>
        <w:ind w:hanging="0" w:left="0"/>
        <w:rPr/>
      </w:pPr>
      <w:bookmarkStart w:id="83" w:name="__RefHeading___Toc31928_2021121348"/>
      <w:bookmarkStart w:id="84" w:name="_Toc187327030"/>
      <w:bookmarkStart w:id="85" w:name="_Toc178761309"/>
      <w:bookmarkEnd w:id="83"/>
      <w:r>
        <w:rPr/>
        <w:t>Grundlagen</w:t>
      </w:r>
      <w:bookmarkEnd w:id="84"/>
      <w:bookmarkEnd w:id="85"/>
    </w:p>
    <w:p>
      <w:pPr>
        <w:pStyle w:val="10000-DefaultParagraph"/>
        <w:rPr/>
      </w:pPr>
      <w:r>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pPr>
      <w:bookmarkStart w:id="86" w:name="__RefHeading___Toc31930_2021121348"/>
      <w:bookmarkStart w:id="87" w:name="_Toc178588051"/>
      <w:bookmarkStart w:id="88" w:name="_Toc187327031"/>
      <w:bookmarkStart w:id="89" w:name="_Toc531165016"/>
      <w:bookmarkStart w:id="90" w:name="_Toc178761310"/>
      <w:bookmarkStart w:id="91" w:name="_Toc530662881"/>
      <w:bookmarkStart w:id="92" w:name="verantwortlichkeiten"/>
      <w:bookmarkStart w:id="93" w:name="rl%25252525252525252525253Akap_04%252521"/>
      <w:bookmarkEnd w:id="86"/>
      <w:bookmarkEnd w:id="93"/>
      <w:r>
        <w:rPr/>
        <w:t>Verantwortlichkeiten</w:t>
      </w:r>
      <w:bookmarkEnd w:id="87"/>
      <w:bookmarkEnd w:id="88"/>
      <w:bookmarkEnd w:id="89"/>
      <w:bookmarkEnd w:id="90"/>
      <w:bookmarkEnd w:id="91"/>
      <w:bookmarkEnd w:id="92"/>
    </w:p>
    <w:p>
      <w:pPr>
        <w:pStyle w:val="Heading3"/>
        <w:ind w:hanging="0" w:left="0"/>
        <w:rPr/>
      </w:pPr>
      <w:bookmarkStart w:id="94" w:name="__RefHeading___Toc31932_2021121348"/>
      <w:bookmarkStart w:id="95" w:name="_Toc178761311"/>
      <w:bookmarkStart w:id="96" w:name="_Toc187327032"/>
      <w:bookmarkEnd w:id="94"/>
      <w:r>
        <w:rPr/>
        <w:t>Anforderungen</w:t>
      </w:r>
      <w:bookmarkEnd w:id="95"/>
      <w:bookmarkEnd w:id="96"/>
    </w:p>
    <w:p>
      <w:pPr>
        <w:pStyle w:val="10000-DefaultParagraph"/>
        <w:rPr/>
      </w:pPr>
      <w:r>
        <w:rPr/>
        <w:t xml:space="preserve">Verantwortlichkeiten (siehe Abschnitte </w:t>
      </w:r>
      <w:r>
        <w:rPr/>
        <w:fldChar w:fldCharType="begin"/>
      </w:r>
      <w:r>
        <w:rPr/>
        <w:instrText xml:space="preserve"> REF verantwortlichkeiten \n \n \h </w:instrText>
      </w:r>
      <w:r>
        <w:rPr/>
        <w:fldChar w:fldCharType="separate"/>
      </w:r>
      <w:r>
        <w:rPr/>
        <w:t>4.2</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MÜSSEN eindeutig und widerspruchsfrei zugewiesen werden.</w:t>
      </w:r>
    </w:p>
    <w:p>
      <w:pPr>
        <w:pStyle w:val="Heading3"/>
        <w:ind w:hanging="0" w:left="0"/>
        <w:rPr/>
      </w:pPr>
      <w:bookmarkStart w:id="97" w:name="__RefHeading___zuweisung_und_dokumentati"/>
      <w:bookmarkStart w:id="98" w:name="zuweisung_und_dokumentation"/>
      <w:bookmarkStart w:id="99" w:name="_Toc178761312"/>
      <w:bookmarkStart w:id="100" w:name="_Toc530662882"/>
      <w:bookmarkStart w:id="101" w:name="_Toc187327033"/>
      <w:bookmarkStart w:id="102" w:name="_Toc531165017"/>
      <w:bookmarkStart w:id="103" w:name="rl%25252525252525252525253Akap_04%252522"/>
      <w:bookmarkEnd w:id="97"/>
      <w:bookmarkEnd w:id="103"/>
      <w:r>
        <w:rPr/>
        <w:t>Zuweisung und Dokumentation</w:t>
      </w:r>
      <w:bookmarkEnd w:id="98"/>
      <w:bookmarkEnd w:id="99"/>
      <w:bookmarkEnd w:id="100"/>
      <w:bookmarkEnd w:id="101"/>
      <w:bookmarkEnd w:id="102"/>
    </w:p>
    <w:p>
      <w:pPr>
        <w:pStyle w:val="10000-DefaultParagraph"/>
        <w:rPr/>
      </w:pPr>
      <w:r>
        <w:rPr/>
        <w:t>Es MUSS für jede Verantwortlichkeit dokumentiert werden</w:t>
      </w:r>
    </w:p>
    <w:p>
      <w:pPr>
        <w:pStyle w:val="10000-DefaultParagraph"/>
        <w:numPr>
          <w:ilvl w:val="0"/>
          <w:numId w:val="262"/>
        </w:numPr>
        <w:rPr/>
      </w:pPr>
      <w:r>
        <w:rPr/>
        <w:t>welche Ziele erreicht werden sollen</w:t>
      </w:r>
    </w:p>
    <w:p>
      <w:pPr>
        <w:pStyle w:val="10000-DefaultParagraph"/>
        <w:numPr>
          <w:ilvl w:val="0"/>
          <w:numId w:val="263"/>
        </w:numPr>
        <w:rPr/>
      </w:pPr>
      <w:r>
        <w:rPr/>
        <w:t>für welche Ressourcen die Verantwortlichkeit besteht</w:t>
      </w:r>
    </w:p>
    <w:p>
      <w:pPr>
        <w:pStyle w:val="10000-DefaultParagraph"/>
        <w:numPr>
          <w:ilvl w:val="0"/>
          <w:numId w:val="264"/>
        </w:numPr>
        <w:rPr/>
      </w:pPr>
      <w:r>
        <w:rPr/>
        <w:t>welche Aufgaben erfüllt werden müssen, damit die Ziele erreicht werden</w:t>
      </w:r>
    </w:p>
    <w:p>
      <w:pPr>
        <w:pStyle w:val="10000-DefaultParagraph"/>
        <w:numPr>
          <w:ilvl w:val="0"/>
          <w:numId w:val="265"/>
        </w:numPr>
        <w:rPr/>
      </w:pPr>
      <w:r>
        <w:rPr/>
        <w:t>welche Berechtigungen an die Verantwortlichkeit gebunden sind, um diese wahrnehmen zu können</w:t>
      </w:r>
    </w:p>
    <w:p>
      <w:pPr>
        <w:pStyle w:val="10000-DefaultParagraph"/>
        <w:numPr>
          <w:ilvl w:val="0"/>
          <w:numId w:val="266"/>
        </w:numPr>
        <w:rPr>
          <w:spacing w:val="-2"/>
        </w:rPr>
      </w:pPr>
      <w:r>
        <w:rPr/>
        <w:t>welche Ressourcen für die Wahrnehmung der Verantwortlichkeit zur Verfügung stehen</w:t>
      </w:r>
    </w:p>
    <w:p>
      <w:pPr>
        <w:pStyle w:val="10000-DefaultParagraph"/>
        <w:numPr>
          <w:ilvl w:val="0"/>
          <w:numId w:val="267"/>
        </w:numPr>
        <w:rPr/>
      </w:pPr>
      <w:r>
        <w:rPr/>
        <w:t>wie und durch welche Position(en) die Erfüllung der Verantwortlichkeit überprüft wird</w:t>
      </w:r>
    </w:p>
    <w:p>
      <w:pPr>
        <w:pStyle w:val="10000-DefaultParagraph"/>
        <w:numPr>
          <w:ilvl w:val="0"/>
          <w:numId w:val="268"/>
        </w:numPr>
        <w:rPr/>
      </w:pPr>
      <w:r>
        <w:rPr/>
        <w:t>welche Positionen die Verantwortlichen wahrnehmen.</w:t>
      </w:r>
    </w:p>
    <w:p>
      <w:pPr>
        <w:pStyle w:val="Heading3"/>
        <w:ind w:hanging="0" w:left="0"/>
        <w:pPrChange w:id="0" w:author="Mark Semmler" w:date="2025-01-29T16:27:23Z">
          <w:pPr>
            <w:pStyle w:val="Heading2"/>
          </w:pPr>
        </w:pPrChange>
        <w:rPr/>
      </w:pPr>
      <w:bookmarkStart w:id="104" w:name="__RefHeading___funktionstrennungen_14"/>
      <w:bookmarkStart w:id="105" w:name="_Toc531165018"/>
      <w:bookmarkStart w:id="106" w:name="_Toc178761313"/>
      <w:bookmarkStart w:id="107" w:name="funktionstrennungen"/>
      <w:bookmarkStart w:id="108" w:name="_Toc187327034"/>
      <w:bookmarkStart w:id="109" w:name="_Toc530662883"/>
      <w:bookmarkStart w:id="110" w:name="rl%25252525252525252525253Akap_04%252523"/>
      <w:bookmarkEnd w:id="104"/>
      <w:bookmarkEnd w:id="110"/>
      <w:r>
        <w:rPr/>
        <w:t>Funktionstrennungen</w:t>
      </w:r>
      <w:bookmarkEnd w:id="105"/>
      <w:bookmarkEnd w:id="106"/>
      <w:bookmarkEnd w:id="107"/>
      <w:bookmarkEnd w:id="108"/>
      <w:bookmarkEnd w:id="109"/>
    </w:p>
    <w:p>
      <w:pPr>
        <w:pStyle w:val="10000-DefaultParagraph"/>
        <w:rPr/>
      </w:pPr>
      <w:r>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pPr>
      <w:r>
        <w:rPr/>
        <w:t>In diesem Fall MÜSSEN folgende Anforderungen erfüllt werden:</w:t>
      </w:r>
    </w:p>
    <w:p>
      <w:pPr>
        <w:pStyle w:val="10000-DefaultParagraph"/>
        <w:numPr>
          <w:ilvl w:val="0"/>
          <w:numId w:val="269"/>
        </w:numPr>
        <w:rPr/>
      </w:pPr>
      <w:r>
        <w:rPr/>
        <w:t>Die rechtliche Zulässigkeit wurde geprüft.</w:t>
      </w:r>
    </w:p>
    <w:p>
      <w:pPr>
        <w:pStyle w:val="10000-DefaultParagraph"/>
        <w:numPr>
          <w:ilvl w:val="0"/>
          <w:numId w:val="270"/>
        </w:numPr>
        <w:rPr/>
      </w:pPr>
      <w:r>
        <w:rPr/>
        <w:t>Es werden andere Maßnahmen wie Überwachung von Tätigkeiten, Kontrollen oder Leitungsaufsicht umgesetzt.</w:t>
      </w:r>
    </w:p>
    <w:p>
      <w:pPr>
        <w:pStyle w:val="10000-DefaultParagraph"/>
        <w:numPr>
          <w:ilvl w:val="0"/>
          <w:numId w:val="271"/>
        </w:numPr>
        <w:rPr/>
      </w:pPr>
      <w:r>
        <w:rPr/>
        <w:t xml:space="preserve">Die nicht durchgeführte Funktionstrennung wird in der Dokumentation der Funktionsverteilung (siehe Abschnitt </w:t>
      </w:r>
      <w:r>
        <w:rPr/>
        <w:fldChar w:fldCharType="begin"/>
      </w:r>
      <w:r>
        <w:rPr/>
        <w:instrText xml:space="preserve"> REF zuweisung_und_dokumentation \n \n \h </w:instrText>
      </w:r>
      <w:r>
        <w:rPr/>
        <w:fldChar w:fldCharType="separate"/>
      </w:r>
      <w:r>
        <w:rPr/>
        <w:t>4.2.2</w:t>
      </w:r>
      <w:r>
        <w:rPr/>
        <w:fldChar w:fldCharType="end"/>
      </w:r>
      <w:r>
        <w:rPr/>
        <w:t>) besonders hervorgehoben und begründet.</w:t>
      </w:r>
    </w:p>
    <w:p>
      <w:pPr>
        <w:pStyle w:val="10000-DefaultParagraph"/>
        <w:rPr/>
      </w:pPr>
      <w:r>
        <w:rPr/>
        <w:t>Um Zuständigkeitslücken oder Überschneidungen von Verantwortlichkeiten zu vermeiden, MÜSSEN die entsprechenden Regelungen jährlich vom Informationssicherheitsbeauftragten (ISB) überprüft werden.</w:t>
      </w:r>
    </w:p>
    <w:p>
      <w:pPr>
        <w:pStyle w:val="Heading3"/>
        <w:ind w:hanging="0" w:left="0"/>
        <w:pPrChange w:id="0" w:author="Mark Semmler" w:date="2025-01-29T16:27:37Z">
          <w:pPr>
            <w:pStyle w:val="Heading2"/>
          </w:pPr>
        </w:pPrChange>
        <w:rPr/>
      </w:pPr>
      <w:bookmarkStart w:id="111" w:name="__RefHeading___zeitliche_ressourcen_15"/>
      <w:bookmarkStart w:id="112" w:name="_Toc531165019"/>
      <w:bookmarkStart w:id="113" w:name="_Toc178761314"/>
      <w:bookmarkStart w:id="114" w:name="rl%25252525252525252525253Akap_04%252524"/>
      <w:bookmarkStart w:id="115" w:name="_Toc530662884"/>
      <w:bookmarkStart w:id="116" w:name="zeitliche_ressourcen"/>
      <w:bookmarkStart w:id="117" w:name="_Toc187327035"/>
      <w:bookmarkEnd w:id="111"/>
      <w:bookmarkEnd w:id="114"/>
      <w:r>
        <w:rPr/>
        <w:t>Zeitliche Ressourcen</w:t>
      </w:r>
      <w:bookmarkEnd w:id="112"/>
      <w:bookmarkEnd w:id="113"/>
      <w:bookmarkEnd w:id="115"/>
      <w:bookmarkEnd w:id="116"/>
      <w:bookmarkEnd w:id="117"/>
    </w:p>
    <w:p>
      <w:pPr>
        <w:pStyle w:val="10000-DefaultParagraph"/>
        <w:rPr/>
      </w:pPr>
      <w:r>
        <w:rPr/>
        <w:t xml:space="preserve">Um zugewiesene Verantwortlichkeiten wahrzunehmen, MÜSSEN die entsprechenden Mitarbeiter im erforderlichen Umfang (siehe Abschnitt </w:t>
      </w:r>
      <w:r>
        <w:rPr/>
        <w:fldChar w:fldCharType="begin"/>
      </w:r>
      <w:r>
        <w:rPr/>
        <w:instrText xml:space="preserve"> REF zuweisung_und_dokumentation \n \n \h </w:instrText>
      </w:r>
      <w:r>
        <w:rPr/>
        <w:fldChar w:fldCharType="separate"/>
      </w:r>
      <w:r>
        <w:rPr/>
        <w:t>4.2.2</w:t>
      </w:r>
      <w:r>
        <w:rPr/>
        <w:fldChar w:fldCharType="end"/>
      </w:r>
      <w:r>
        <w:rPr/>
        <w:t>) von anderen Tätigkeiten freigestellt werden.</w:t>
      </w:r>
    </w:p>
    <w:p>
      <w:pPr>
        <w:pStyle w:val="Heading3"/>
        <w:ind w:hanging="0" w:left="0"/>
        <w:pPrChange w:id="0" w:author="Mark Semmler" w:date="2025-01-29T16:27:50Z">
          <w:pPr>
            <w:pStyle w:val="Heading2"/>
          </w:pPr>
        </w:pPrChange>
        <w:rPr/>
      </w:pPr>
      <w:bookmarkStart w:id="118" w:name="__RefHeading___delegieren_von_aufgaben_1"/>
      <w:bookmarkStart w:id="119" w:name="_Toc531165020"/>
      <w:bookmarkStart w:id="120" w:name="_Toc530662885"/>
      <w:bookmarkStart w:id="121" w:name="rl%25252525252525252525253Akap_04%252526"/>
      <w:bookmarkStart w:id="122" w:name="delegieren_von_aufgaben"/>
      <w:bookmarkStart w:id="123" w:name="_Toc178761315"/>
      <w:bookmarkStart w:id="124" w:name="_Toc187327036"/>
      <w:bookmarkEnd w:id="118"/>
      <w:bookmarkEnd w:id="121"/>
      <w:r>
        <w:rPr/>
        <w:t>Delegieren von Aufgaben</w:t>
      </w:r>
      <w:bookmarkEnd w:id="119"/>
      <w:bookmarkEnd w:id="120"/>
      <w:bookmarkEnd w:id="122"/>
      <w:bookmarkEnd w:id="123"/>
      <w:bookmarkEnd w:id="124"/>
    </w:p>
    <w:p>
      <w:pPr>
        <w:pStyle w:val="10000-Empfehlung"/>
        <w:rPr/>
      </w:pPr>
      <w:r>
        <w:rPr>
          <w:rStyle w:val="Emphasis"/>
          <w:i/>
        </w:rPr>
        <w:t>Verantwortliche für Informationssicherheit KÖNNEN Aufgaben an andere Personen delegieren.</w:t>
      </w:r>
    </w:p>
    <w:p>
      <w:pPr>
        <w:pStyle w:val="10000-DefaultParagraph"/>
        <w:rPr/>
      </w:pPr>
      <w:r>
        <w:rPr/>
        <w:t>Die Verantwortung für delegierte Aufgaben verbleibt jedoch bei der ursprünglich verantwortlichen Person, so dass sie die Erfüllung und das Ergebnis der delegierten Aufgaben überprüfen MÜSSEN.</w:t>
      </w:r>
    </w:p>
    <w:p>
      <w:pPr>
        <w:pStyle w:val="Heading2"/>
        <w:ind w:hanging="0" w:left="0"/>
        <w:rPr/>
      </w:pPr>
      <w:bookmarkStart w:id="125" w:name="__RefHeading___Toc31934_2021121348"/>
      <w:bookmarkStart w:id="126" w:name="rl%25252525252525252525253Akap_04%252527"/>
      <w:bookmarkStart w:id="127" w:name="topmanagement"/>
      <w:bookmarkStart w:id="128" w:name="_Ref178760601"/>
      <w:bookmarkStart w:id="129" w:name="_Toc178588052"/>
      <w:bookmarkStart w:id="130" w:name="_Toc187327037"/>
      <w:bookmarkStart w:id="131" w:name="_Toc530662886"/>
      <w:bookmarkStart w:id="132" w:name="_Toc531165021"/>
      <w:bookmarkStart w:id="133" w:name="_Toc178761316"/>
      <w:bookmarkEnd w:id="125"/>
      <w:bookmarkEnd w:id="126"/>
      <w:r>
        <w:rPr/>
        <w:t>Topmanagement</w:t>
      </w:r>
      <w:bookmarkEnd w:id="127"/>
      <w:bookmarkEnd w:id="128"/>
      <w:bookmarkEnd w:id="129"/>
      <w:bookmarkEnd w:id="130"/>
      <w:bookmarkEnd w:id="131"/>
      <w:bookmarkEnd w:id="132"/>
      <w:bookmarkEnd w:id="133"/>
    </w:p>
    <w:p>
      <w:pPr>
        <w:pStyle w:val="10000-DefaultParagraph"/>
        <w:rPr/>
      </w:pPr>
      <w:r>
        <w:rPr/>
        <w:t>Das Topmanagement MUSS sich zur Wahrnehmung folgender Verantwortlichkeiten verpflichten:</w:t>
      </w:r>
    </w:p>
    <w:p>
      <w:pPr>
        <w:pStyle w:val="10000-DefaultParagraph"/>
        <w:numPr>
          <w:ilvl w:val="0"/>
          <w:numId w:val="272"/>
        </w:numPr>
        <w:rPr/>
      </w:pPr>
      <w:r>
        <w:rPr/>
        <w:t>Übernahme der Gesamtverantwortung für die Informationssicherheit</w:t>
      </w:r>
    </w:p>
    <w:p>
      <w:pPr>
        <w:pStyle w:val="10000-DefaultParagraph"/>
        <w:numPr>
          <w:ilvl w:val="0"/>
          <w:numId w:val="273"/>
        </w:numPr>
        <w:rPr>
          <w:shd w:fill="auto" w:val="clear"/>
        </w:rPr>
      </w:pPr>
      <w:r>
        <w:rPr>
          <w:shd w:fill="auto" w:val="clear"/>
        </w:rPr>
        <w:t>Überwachung der Umsetzung der in diesen Richtlinien geforderten Maßnahmen</w:t>
      </w:r>
    </w:p>
    <w:p>
      <w:pPr>
        <w:pStyle w:val="10000-DefaultParagraph"/>
        <w:numPr>
          <w:ilvl w:val="0"/>
          <w:numId w:val="274"/>
        </w:numPr>
        <w:rPr/>
      </w:pPr>
      <w:r>
        <w:rPr/>
        <w:t>In Kraft Setzung von Richtlinien für die Informationssicherheit (IS-Richtlinien)</w:t>
      </w:r>
    </w:p>
    <w:p>
      <w:pPr>
        <w:pStyle w:val="10000-DefaultParagraph"/>
        <w:numPr>
          <w:ilvl w:val="0"/>
          <w:numId w:val="275"/>
        </w:numPr>
        <w:rPr/>
      </w:pPr>
      <w:r>
        <w:rPr/>
        <w:t>Bereitstellung der notwendigen technischen, finanziellen und personellen Ressourcen für die Informationssicherheit</w:t>
      </w:r>
    </w:p>
    <w:p>
      <w:pPr>
        <w:pStyle w:val="10000-DefaultParagraph"/>
        <w:numPr>
          <w:ilvl w:val="0"/>
          <w:numId w:val="276"/>
        </w:numPr>
        <w:rPr/>
      </w:pPr>
      <w:r>
        <w:rPr/>
        <w:t>Einbettung der Informationssicherheit in die Strukturen, Hierarchien und Arbeitsabläufe der Organisation</w:t>
      </w:r>
    </w:p>
    <w:p>
      <w:pPr>
        <w:pStyle w:val="Heading2"/>
        <w:ind w:hanging="0" w:left="0"/>
        <w:rPr/>
      </w:pPr>
      <w:bookmarkStart w:id="134" w:name="__RefHeading___Toc31936_2021121348"/>
      <w:bookmarkStart w:id="135" w:name="_Toc178588053"/>
      <w:bookmarkStart w:id="136" w:name="rl%25252525252525252525253Akap_04%252528"/>
      <w:bookmarkStart w:id="137" w:name="_Toc178761317"/>
      <w:bookmarkStart w:id="138" w:name="_Toc530662887"/>
      <w:bookmarkStart w:id="139" w:name="_Toc187327038"/>
      <w:bookmarkStart w:id="140" w:name="_Toc531165022"/>
      <w:bookmarkStart w:id="141" w:name="informationssicherheitsbeauftragter_isb"/>
      <w:bookmarkEnd w:id="134"/>
      <w:bookmarkEnd w:id="136"/>
      <w:r>
        <w:rPr/>
        <w:t>Informationssicherheitsbeauftragter</w:t>
      </w:r>
      <w:bookmarkEnd w:id="135"/>
      <w:bookmarkEnd w:id="137"/>
      <w:bookmarkEnd w:id="138"/>
      <w:bookmarkEnd w:id="139"/>
      <w:bookmarkEnd w:id="140"/>
      <w:bookmarkEnd w:id="141"/>
    </w:p>
    <w:p>
      <w:pPr>
        <w:pStyle w:val="10000-DefaultParagraph"/>
        <w:rPr/>
      </w:pPr>
      <w:r>
        <w:rPr/>
        <w:t>Das Topmanagement MUSS einen Informationssicherheitsbeauftragten (ISB) bestellen.</w:t>
      </w:r>
    </w:p>
    <w:p>
      <w:pPr>
        <w:pStyle w:val="10000-DefaultParagraph"/>
        <w:rPr/>
      </w:pPr>
      <w:r>
        <w:rPr/>
        <w:t>Dieser MUSS darauf hinwirken, dass die in der Leitlinie zur Informationssicherheit (IS-Leitlinie) definierten Ziele der Informationssicherheit erreicht werden.</w:t>
      </w:r>
    </w:p>
    <w:p>
      <w:pPr>
        <w:pStyle w:val="10000-DefaultParagraph"/>
        <w:rPr/>
      </w:pPr>
      <w:r>
        <w:rPr/>
        <w:t>Hierfür MUSS er insbesondere die folgenden Verantwortlichkeiten wahrnehmen:</w:t>
      </w:r>
    </w:p>
    <w:p>
      <w:pPr>
        <w:pStyle w:val="10000-DefaultParagraph"/>
        <w:numPr>
          <w:ilvl w:val="0"/>
          <w:numId w:val="27"/>
        </w:numPr>
        <w:rPr/>
      </w:pPr>
      <w:r>
        <w:rPr>
          <w:rStyle w:val="Strong"/>
          <w:b w:val="false"/>
          <w:bCs w:val="false"/>
          <w:color w:val="auto"/>
        </w:rPr>
        <w:t>Steuerung, Koordinierung und Prüfung der technischen und organisatorischen Maßnahmen im Bereich der Informationssicherheit</w:t>
      </w:r>
    </w:p>
    <w:p>
      <w:pPr>
        <w:pStyle w:val="10000-DefaultParagraph"/>
        <w:numPr>
          <w:ilvl w:val="0"/>
          <w:numId w:val="27"/>
        </w:numPr>
        <w:rPr/>
      </w:pPr>
      <w:r>
        <w:rPr>
          <w:rStyle w:val="Strong"/>
          <w:rFonts w:eastAsia="Arial" w:cs="DejaVu Sans"/>
          <w:b w:val="false"/>
          <w:bCs w:val="false"/>
          <w:color w:val="FFFFFF"/>
          <w:szCs w:val="22"/>
          <w:shd w:fill="999999" w:val="clear"/>
          <w:lang w:eastAsia="en-US"/>
        </w:rPr>
        <w:t>Kontinuierliche Verbesserung der Informationssicherheit</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Anpassung der Informationssicherheit an neue Bedrohungen, neue Schwachstellen und an neue gesetzliche, betriebliche und vertragliche Anforderungen</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jährlicher Bericht an das Informationssicherheitsteam (IST) über den aktuellen Stand der Informationssicherheit, insbesondere über Mängel, Risiken und Sicherheitsvorfälle</w:t>
      </w:r>
    </w:p>
    <w:p>
      <w:pPr>
        <w:pStyle w:val="10000-Empfehlung"/>
        <w:rPr>
          <w:i/>
          <w:i/>
        </w:rPr>
      </w:pPr>
      <w:r>
        <w:rPr/>
        <w:t>Es SOLLTE sichergestellt werden, dass die Verantwortlichkeiten des ISB auch in seiner Abwesenheit wahrgenommen werden.</w:t>
      </w:r>
    </w:p>
    <w:p>
      <w:pPr>
        <w:pStyle w:val="10000-Empfehlung"/>
        <w:rPr>
          <w:i/>
          <w:i/>
        </w:rPr>
      </w:pPr>
      <w:r>
        <w:rPr/>
        <w:t>Dies KANN z. B. durch eine Stellvertreterregelung umgesetzt werden.</w:t>
      </w:r>
    </w:p>
    <w:p>
      <w:pPr>
        <w:pStyle w:val="Heading2"/>
        <w:ind w:hanging="0" w:left="0"/>
        <w:rPr/>
      </w:pPr>
      <w:bookmarkStart w:id="142" w:name="__RefHeading___Toc31938_2021121348"/>
      <w:bookmarkStart w:id="143" w:name="_Ref184204363"/>
      <w:bookmarkStart w:id="144" w:name="_Toc178761318"/>
      <w:bookmarkStart w:id="145" w:name="_Toc530662888"/>
      <w:bookmarkStart w:id="146" w:name="rl%25252525252525252525253Akap_04%252529"/>
      <w:bookmarkStart w:id="147" w:name="_Toc187327039"/>
      <w:bookmarkStart w:id="148" w:name="informationssicherheitsteam_ist"/>
      <w:bookmarkStart w:id="149" w:name="_Toc178588054"/>
      <w:bookmarkStart w:id="150" w:name="_Toc531165023"/>
      <w:bookmarkStart w:id="151" w:name="_Ref184200602"/>
      <w:bookmarkEnd w:id="142"/>
      <w:bookmarkEnd w:id="146"/>
      <w:r>
        <w:rPr/>
        <w:t>Informationssicherheitsteam</w:t>
      </w:r>
      <w:bookmarkEnd w:id="143"/>
      <w:bookmarkEnd w:id="144"/>
      <w:bookmarkEnd w:id="145"/>
      <w:bookmarkEnd w:id="147"/>
      <w:bookmarkEnd w:id="148"/>
      <w:bookmarkEnd w:id="149"/>
      <w:bookmarkEnd w:id="150"/>
      <w:bookmarkEnd w:id="151"/>
    </w:p>
    <w:p>
      <w:pPr>
        <w:pStyle w:val="10000-DefaultParagraph"/>
        <w:rPr/>
      </w:pPr>
      <w:r>
        <w:rPr/>
        <w:t>Das Topmanagement MUSS ein Informationssicherheitsteam (IST) bestellen.</w:t>
      </w:r>
    </w:p>
    <w:p>
      <w:pPr>
        <w:pStyle w:val="10000-DefaultParagraph"/>
        <w:rPr/>
      </w:pPr>
      <w:r>
        <w:rPr/>
        <w:t>In diesem MÜSSEN folgende Organisationseinheiten bzw. Positionen persönlich oder durch einen Repräsentanten vertreten sein:</w:t>
      </w:r>
    </w:p>
    <w:p>
      <w:pPr>
        <w:pStyle w:val="10000-DefaultParagraph"/>
        <w:numPr>
          <w:ilvl w:val="0"/>
          <w:numId w:val="277"/>
        </w:numPr>
        <w:rPr/>
      </w:pPr>
      <w:r>
        <w:rPr/>
        <w:t>Topmanagement</w:t>
      </w:r>
    </w:p>
    <w:p>
      <w:pPr>
        <w:pStyle w:val="10000-DefaultParagraph"/>
        <w:numPr>
          <w:ilvl w:val="0"/>
          <w:numId w:val="278"/>
        </w:numPr>
        <w:rPr/>
      </w:pPr>
      <w:r>
        <w:rPr/>
        <w:t>ISB</w:t>
      </w:r>
    </w:p>
    <w:p>
      <w:pPr>
        <w:pStyle w:val="10000-DefaultParagraph"/>
        <w:numPr>
          <w:ilvl w:val="0"/>
          <w:numId w:val="279"/>
        </w:numPr>
        <w:rPr/>
      </w:pPr>
      <w:r>
        <w:rPr/>
        <w:t>IT-Verantwortliche</w:t>
      </w:r>
    </w:p>
    <w:p>
      <w:pPr>
        <w:pStyle w:val="10000-DefaultParagraph"/>
        <w:numPr>
          <w:ilvl w:val="0"/>
          <w:numId w:val="280"/>
        </w:numPr>
        <w:rPr/>
      </w:pPr>
      <w:r>
        <w:rPr/>
        <w:t>Mitarbeiter (z. B. über Betriebsrat)</w:t>
      </w:r>
    </w:p>
    <w:p>
      <w:pPr>
        <w:pStyle w:val="10000-DefaultParagraph"/>
        <w:numPr>
          <w:ilvl w:val="0"/>
          <w:numId w:val="281"/>
        </w:numPr>
        <w:rPr/>
      </w:pPr>
      <w:r>
        <w:rPr/>
        <w:t>Verantwortliche für den Datenschutz (z. B. Datenschutzmanager und/oder Datenschutzbeauftragter)</w:t>
      </w:r>
    </w:p>
    <w:p>
      <w:pPr>
        <w:pStyle w:val="10000-DefaultParagraph"/>
        <w:rPr/>
      </w:pPr>
      <w:r>
        <w:rPr/>
        <w:t>Das Team MUSS den ISB unterstützen, insbesondere bei den folgenden Tätigkeiten:</w:t>
      </w:r>
    </w:p>
    <w:p>
      <w:pPr>
        <w:pStyle w:val="10000-DefaultParagraph"/>
        <w:numPr>
          <w:ilvl w:val="0"/>
          <w:numId w:val="282"/>
        </w:numPr>
        <w:rPr/>
      </w:pPr>
      <w:r>
        <w:rPr/>
        <w:t>Erkennen und Bewerten neuer Bedrohungen und Schwachstellen</w:t>
      </w:r>
    </w:p>
    <w:p>
      <w:pPr>
        <w:pStyle w:val="10000-DefaultParagraph"/>
        <w:numPr>
          <w:ilvl w:val="0"/>
          <w:numId w:val="283"/>
        </w:numPr>
        <w:rPr/>
      </w:pPr>
      <w:r>
        <w:rPr/>
        <w:t>Entwickeln und Bewerten von Maßnahmen zur Informationssicherheit</w:t>
      </w:r>
    </w:p>
    <w:p>
      <w:pPr>
        <w:pStyle w:val="10000-DefaultParagraph"/>
        <w:numPr>
          <w:ilvl w:val="0"/>
          <w:numId w:val="284"/>
        </w:numPr>
        <w:rPr>
          <w:i/>
          <w:i/>
        </w:rPr>
      </w:pPr>
      <w:r>
        <w:rPr/>
        <w:t>Organisationsweites Steuern und Koordinieren der Maßnahmen zur Informations</w:t>
        <w:softHyphen/>
        <w:t>sicherheit</w:t>
      </w:r>
    </w:p>
    <w:p>
      <w:pPr>
        <w:pStyle w:val="Heading2"/>
        <w:ind w:hanging="0" w:left="0"/>
        <w:rPr/>
      </w:pPr>
      <w:bookmarkStart w:id="152" w:name="__RefHeading___Toc31940_2021121348"/>
      <w:bookmarkStart w:id="153" w:name="_Toc530662889"/>
      <w:bookmarkStart w:id="154" w:name="_Toc531165024"/>
      <w:bookmarkStart w:id="155" w:name="_Toc178761319"/>
      <w:bookmarkStart w:id="156" w:name="_Toc187327040"/>
      <w:bookmarkStart w:id="157" w:name="it-verantwortliche_del_rdel"/>
      <w:bookmarkStart w:id="158" w:name="rl%25252525252525252525253Akap_04%25252a"/>
      <w:bookmarkStart w:id="159" w:name="_Toc178588055"/>
      <w:bookmarkEnd w:id="152"/>
      <w:bookmarkEnd w:id="158"/>
      <w:r>
        <w:rPr/>
        <w:t>IT-Verantwortliche</w:t>
      </w:r>
      <w:bookmarkEnd w:id="153"/>
      <w:bookmarkEnd w:id="154"/>
      <w:bookmarkEnd w:id="155"/>
      <w:bookmarkEnd w:id="156"/>
      <w:bookmarkEnd w:id="157"/>
      <w:bookmarkEnd w:id="159"/>
    </w:p>
    <w:p>
      <w:pPr>
        <w:pStyle w:val="10000-DefaultParagraph"/>
        <w:rPr/>
      </w:pPr>
      <w:r>
        <w:rPr/>
        <w:t>Die Aufgaben eines IT-Verantwortlichen MÜSSEN vom Topmanagement mindestens einem Mitarbeiter zugewiesen werden.</w:t>
      </w:r>
    </w:p>
    <w:p>
      <w:pPr>
        <w:pStyle w:val="10000-DefaultParagraph"/>
        <w:rPr/>
      </w:pPr>
      <w:r>
        <w:rPr/>
        <w:t>IT-Verantwortliche MÜSSEN folgende Aufgaben wahrnehmen:</w:t>
      </w:r>
    </w:p>
    <w:p>
      <w:pPr>
        <w:pStyle w:val="10000-DefaultParagraph"/>
        <w:numPr>
          <w:ilvl w:val="0"/>
          <w:numId w:val="285"/>
        </w:numPr>
        <w:rPr/>
      </w:pPr>
      <w:r>
        <w:rPr/>
        <w:t>Umsetzen der IS-Richtlinien in ihrem Verantwortungsbereich durch entsprechende technische und organisatorische Maßnahmen</w:t>
      </w:r>
    </w:p>
    <w:p>
      <w:pPr>
        <w:pStyle w:val="10000-DefaultParagraph"/>
        <w:numPr>
          <w:ilvl w:val="0"/>
          <w:numId w:val="286"/>
        </w:numPr>
        <w:rPr/>
      </w:pPr>
      <w:r>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pPr>
      <w:bookmarkStart w:id="160" w:name="__RefHeading___Toc31942_2021121348"/>
      <w:bookmarkStart w:id="161" w:name="_Toc530662890"/>
      <w:bookmarkStart w:id="162" w:name="rl%25252525252525252525253Akap_04%25252b"/>
      <w:bookmarkStart w:id="163" w:name="_Toc531165025"/>
      <w:bookmarkStart w:id="164" w:name="_Toc178761320"/>
      <w:bookmarkStart w:id="165" w:name="administratoren"/>
      <w:bookmarkStart w:id="166" w:name="_Toc178588056"/>
      <w:bookmarkStart w:id="167" w:name="_Toc187327041"/>
      <w:bookmarkEnd w:id="160"/>
      <w:bookmarkEnd w:id="162"/>
      <w:r>
        <w:rPr/>
        <w:t>Administratoren</w:t>
      </w:r>
      <w:bookmarkEnd w:id="161"/>
      <w:bookmarkEnd w:id="163"/>
      <w:bookmarkEnd w:id="164"/>
      <w:bookmarkEnd w:id="165"/>
      <w:bookmarkEnd w:id="166"/>
      <w:bookmarkEnd w:id="167"/>
    </w:p>
    <w:p>
      <w:pPr>
        <w:pStyle w:val="10000-DefaultParagraph"/>
        <w:rPr/>
      </w:pPr>
      <w:r>
        <w:rPr/>
        <w:t>Die Verantwortlichkeiten eines Administrators MÜSSEN mindestens einem Mitarbeiter zugewiesen werden.</w:t>
      </w:r>
    </w:p>
    <w:p>
      <w:pPr>
        <w:pStyle w:val="10000-DefaultParagraph"/>
        <w:rPr/>
      </w:pPr>
      <w:r>
        <w:rPr/>
        <w:t>Administratoren MÜSSEN in Abstimmung mit dem IT-Verantwortlichen die technischen Maßnahmen für die Informationssicherheit implementieren.</w:t>
      </w:r>
    </w:p>
    <w:p>
      <w:pPr>
        <w:pStyle w:val="Heading2"/>
        <w:ind w:hanging="0" w:left="0"/>
        <w:rPr/>
      </w:pPr>
      <w:bookmarkStart w:id="168" w:name="__RefHeading___Toc31944_2021121348"/>
      <w:bookmarkStart w:id="169" w:name="_Toc178761321"/>
      <w:bookmarkStart w:id="170" w:name="_Toc178588057"/>
      <w:bookmarkStart w:id="171" w:name="_Toc530662891"/>
      <w:bookmarkStart w:id="172" w:name="vorgesetzte_del_mit_personalverantwortun"/>
      <w:bookmarkStart w:id="173" w:name="rl%25252525252525252525253Akap_04%25252c"/>
      <w:bookmarkStart w:id="174" w:name="_Toc187327042"/>
      <w:bookmarkStart w:id="175" w:name="_Toc531165026"/>
      <w:bookmarkEnd w:id="168"/>
      <w:bookmarkEnd w:id="173"/>
      <w:r>
        <w:rPr/>
        <w:t>Vorgesetzte</w:t>
      </w:r>
      <w:bookmarkEnd w:id="169"/>
      <w:bookmarkEnd w:id="170"/>
      <w:bookmarkEnd w:id="171"/>
      <w:bookmarkEnd w:id="172"/>
      <w:bookmarkEnd w:id="174"/>
      <w:bookmarkEnd w:id="175"/>
    </w:p>
    <w:p>
      <w:pPr>
        <w:pStyle w:val="10000-DefaultParagraph"/>
        <w:rPr/>
      </w:pPr>
      <w:r>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pPr>
      <w:bookmarkStart w:id="176" w:name="__RefHeading___Toc31946_2021121348"/>
      <w:bookmarkStart w:id="177" w:name="_Toc187327043"/>
      <w:bookmarkStart w:id="178" w:name="rl%25252525252525252525253Akap_04%25252d"/>
      <w:bookmarkStart w:id="179" w:name="_Toc178761322"/>
      <w:bookmarkStart w:id="180" w:name="_Toc531165027"/>
      <w:bookmarkStart w:id="181" w:name="_Toc178588058"/>
      <w:bookmarkStart w:id="182" w:name="_Toc530662892"/>
      <w:bookmarkStart w:id="183" w:name="del_personaldel_mitarbeiter"/>
      <w:bookmarkEnd w:id="176"/>
      <w:bookmarkEnd w:id="178"/>
      <w:r>
        <w:rPr/>
        <w:t>Mitarbeiter</w:t>
      </w:r>
      <w:bookmarkEnd w:id="177"/>
      <w:bookmarkEnd w:id="179"/>
      <w:bookmarkEnd w:id="180"/>
      <w:bookmarkEnd w:id="181"/>
      <w:bookmarkEnd w:id="182"/>
      <w:bookmarkEnd w:id="183"/>
    </w:p>
    <w:p>
      <w:pPr>
        <w:pStyle w:val="10000-DefaultParagraph"/>
        <w:rPr/>
      </w:pPr>
      <w:r>
        <w:rPr/>
        <w:t>Mitarbeiter MÜSSEN folgende Aufgaben wahrnehmen:</w:t>
      </w:r>
    </w:p>
    <w:p>
      <w:pPr>
        <w:pStyle w:val="10000-DefaultParagraph"/>
        <w:numPr>
          <w:ilvl w:val="0"/>
          <w:numId w:val="287"/>
        </w:numPr>
        <w:rPr/>
      </w:pPr>
      <w:r>
        <w:rPr/>
        <w:t>Einhalten und Umsetzen aller sie oder ihre Tätigkeit betreffenden Maßnahmen zur Informationssicherheit</w:t>
      </w:r>
    </w:p>
    <w:p>
      <w:pPr>
        <w:pStyle w:val="10000-DefaultParagraph"/>
        <w:numPr>
          <w:ilvl w:val="0"/>
          <w:numId w:val="288"/>
        </w:numPr>
        <w:rPr/>
      </w:pPr>
      <w:r>
        <w:rPr/>
        <w:t>Melden von Sicherheitsvorfällen</w:t>
      </w:r>
    </w:p>
    <w:p>
      <w:pPr>
        <w:pStyle w:val="Heading2"/>
        <w:ind w:hanging="0" w:left="0"/>
        <w:rPr/>
      </w:pPr>
      <w:bookmarkStart w:id="184" w:name="__RefHeading___Toc31948_2021121348"/>
      <w:bookmarkStart w:id="185" w:name="_Toc530662893"/>
      <w:bookmarkStart w:id="186" w:name="_Toc187327044"/>
      <w:bookmarkStart w:id="187" w:name="projektverantwortliche"/>
      <w:bookmarkStart w:id="188" w:name="_Toc531165028"/>
      <w:bookmarkStart w:id="189" w:name="rl%25252525252525252525253Akap_04%25252e"/>
      <w:bookmarkStart w:id="190" w:name="_Toc178588059"/>
      <w:bookmarkStart w:id="191" w:name="_Toc178761323"/>
      <w:bookmarkEnd w:id="184"/>
      <w:bookmarkEnd w:id="189"/>
      <w:r>
        <w:rPr/>
        <w:t>Projektverantwortliche</w:t>
      </w:r>
      <w:bookmarkEnd w:id="185"/>
      <w:bookmarkEnd w:id="186"/>
      <w:bookmarkEnd w:id="187"/>
      <w:bookmarkEnd w:id="188"/>
      <w:bookmarkEnd w:id="190"/>
      <w:bookmarkEnd w:id="191"/>
    </w:p>
    <w:p>
      <w:pPr>
        <w:pStyle w:val="10000-DefaultParagraph"/>
        <w:rPr/>
      </w:pPr>
      <w:r>
        <w:rPr/>
        <w:t>Projektverantwortliche MÜSSEN den ISB bei allen Projekten mit Auswirkung auf die Informationsverarbeitung konsultieren, um sicherzustellen, dass sicherheitsrelevante Aspekte ausreichend beachtet werden.</w:t>
      </w:r>
    </w:p>
    <w:p>
      <w:pPr>
        <w:pStyle w:val="Heading2"/>
        <w:ind w:hanging="0" w:left="0"/>
        <w:rPr/>
      </w:pPr>
      <w:bookmarkStart w:id="192" w:name="__RefHeading___Toc31950_2021121348"/>
      <w:bookmarkStart w:id="193" w:name="rl%25252525252525252525253Akap_04%25252f"/>
      <w:bookmarkStart w:id="194" w:name="_Toc178761324"/>
      <w:bookmarkStart w:id="195" w:name="_Toc178588060"/>
      <w:bookmarkStart w:id="196" w:name="_Toc530662894"/>
      <w:bookmarkStart w:id="197" w:name="del_lieferanten_und_sonstige_auftragnehm"/>
      <w:bookmarkStart w:id="198" w:name="_Toc531165029"/>
      <w:bookmarkStart w:id="199" w:name="_Toc187327045"/>
      <w:bookmarkEnd w:id="192"/>
      <w:bookmarkEnd w:id="193"/>
      <w:r>
        <w:rPr/>
        <w:t>Externe</w:t>
      </w:r>
      <w:bookmarkEnd w:id="194"/>
      <w:bookmarkEnd w:id="195"/>
      <w:bookmarkEnd w:id="196"/>
      <w:bookmarkEnd w:id="197"/>
      <w:bookmarkEnd w:id="198"/>
      <w:r>
        <w:rPr/>
        <w:t xml:space="preserve"> Personen</w:t>
      </w:r>
      <w:bookmarkEnd w:id="199"/>
    </w:p>
    <w:p>
      <w:pPr>
        <w:pStyle w:val="10000-DefaultParagraph"/>
        <w:rPr/>
      </w:pPr>
      <w:r>
        <w:rPr/>
        <w:t>Externe Personen MÜSSEN verpflichtet werden, die sie betreffenden Maßnahmen und Regelungen zur Informationssicherheit einzuhalten bzw. umzusetzen, sofern sie Zugriff auf kritische Informationen besitzen oder sie nichtöffentliche Bereiche der Informationstechnologie (IT) der Organisation nutzen.</w:t>
      </w:r>
    </w:p>
    <w:p>
      <w:pPr>
        <w:pStyle w:val="Heading1"/>
        <w:ind w:hanging="0" w:left="0"/>
        <w:rPr/>
      </w:pPr>
      <w:bookmarkStart w:id="200" w:name="__RefHeading___Toc31952_2021121348"/>
      <w:bookmarkStart w:id="201" w:name="_Toc187327046"/>
      <w:bookmarkStart w:id="202" w:name="leitlinie_zur_informationssicherheit_is-"/>
      <w:bookmarkStart w:id="203" w:name="_Toc178761325"/>
      <w:bookmarkStart w:id="204" w:name="_Ref184204380"/>
      <w:bookmarkStart w:id="205" w:name="_Toc178588061"/>
      <w:bookmarkStart w:id="206" w:name="_Ref184200681"/>
      <w:bookmarkStart w:id="207" w:name="rl%25252525252525252525253Akap_05%252525"/>
      <w:bookmarkStart w:id="208" w:name="_Toc531165030"/>
      <w:bookmarkStart w:id="209" w:name="_Toc530662895"/>
      <w:bookmarkEnd w:id="200"/>
      <w:bookmarkEnd w:id="207"/>
      <w:r>
        <w:rPr/>
        <w:t>Leitlinie zur Informationssicherheit (IS-Leitlinie)</w:t>
      </w:r>
      <w:bookmarkEnd w:id="201"/>
      <w:bookmarkEnd w:id="202"/>
      <w:bookmarkEnd w:id="203"/>
      <w:bookmarkEnd w:id="204"/>
      <w:bookmarkEnd w:id="205"/>
      <w:bookmarkEnd w:id="206"/>
      <w:bookmarkEnd w:id="208"/>
      <w:bookmarkEnd w:id="209"/>
    </w:p>
    <w:p>
      <w:pPr>
        <w:pStyle w:val="Heading2"/>
        <w:ind w:hanging="0" w:left="0"/>
        <w:rPr/>
      </w:pPr>
      <w:bookmarkStart w:id="210" w:name="__RefHeading___Toc31954_2021121348"/>
      <w:bookmarkStart w:id="211" w:name="_Toc178761326"/>
      <w:bookmarkStart w:id="212" w:name="_Toc187327047"/>
      <w:bookmarkEnd w:id="210"/>
      <w:r>
        <w:rPr/>
        <w:t>Grundlagen</w:t>
      </w:r>
      <w:bookmarkEnd w:id="211"/>
      <w:bookmarkEnd w:id="212"/>
      <w:r>
        <w:rPr/>
        <w:t xml:space="preserve"> </w:t>
      </w:r>
    </w:p>
    <w:p>
      <w:pPr>
        <w:pStyle w:val="10000-DefaultParagraph"/>
        <w:rPr/>
      </w:pPr>
      <w:r>
        <w:rPr/>
        <w:t>Die Leitlinie zur Informationssicherheit (IS-Leitlinie) ist das zentrale Dokument für die gesamte Informationssicherheit. In ihr werden die zu erreichenden Ziele durch das Topmanagement vorgegeben und Verantwortlichkeiten definiert.</w:t>
      </w:r>
    </w:p>
    <w:p>
      <w:pPr>
        <w:pStyle w:val="Heading2"/>
        <w:ind w:hanging="0" w:left="0"/>
        <w:rPr/>
      </w:pPr>
      <w:bookmarkStart w:id="213" w:name="__RefHeading___Toc31956_2021121348"/>
      <w:bookmarkStart w:id="214" w:name="_Ref184204394"/>
      <w:bookmarkStart w:id="215" w:name="_Toc178761327"/>
      <w:bookmarkStart w:id="216" w:name="_Toc187327048"/>
      <w:bookmarkStart w:id="217" w:name="_Toc178588062"/>
      <w:bookmarkStart w:id="218" w:name="rl%25252525252525252525253Akap_05%252521"/>
      <w:bookmarkStart w:id="219" w:name="allgemeine_anforderungen"/>
      <w:bookmarkStart w:id="220" w:name="_Toc530662896"/>
      <w:bookmarkStart w:id="221" w:name="_Toc531165031"/>
      <w:bookmarkEnd w:id="213"/>
      <w:bookmarkEnd w:id="218"/>
      <w:r>
        <w:rPr/>
        <w:t>Allgemeine Anforderungen</w:t>
      </w:r>
      <w:bookmarkEnd w:id="214"/>
      <w:bookmarkEnd w:id="215"/>
      <w:bookmarkEnd w:id="216"/>
      <w:bookmarkEnd w:id="217"/>
      <w:bookmarkEnd w:id="219"/>
      <w:bookmarkEnd w:id="220"/>
      <w:bookmarkEnd w:id="221"/>
    </w:p>
    <w:p>
      <w:pPr>
        <w:pStyle w:val="10000-DefaultParagraph"/>
        <w:rPr/>
      </w:pPr>
      <w:r>
        <w:rPr/>
        <w:t>Die Leitlinie MUSS vom Topmanagement erstellt und in Kraft gesetzt werden.</w:t>
      </w:r>
    </w:p>
    <w:p>
      <w:pPr>
        <w:pStyle w:val="10000-DefaultParagraph"/>
        <w:rPr/>
      </w:pPr>
      <w:r>
        <w:rPr/>
        <w:t>Das Topmanagement MUSS die Leitlinie jährlich auf Aktualität prüfen und bei Bedarf aktualisieren.</w:t>
      </w:r>
    </w:p>
    <w:p>
      <w:pPr>
        <w:pStyle w:val="10000-DefaultParagraph"/>
        <w:rPr/>
      </w:pPr>
      <w:r>
        <w:rPr/>
        <w:t xml:space="preserve">Die Leitlinie MUSS initial und nach jeder Aktualisierung zeitnah bekannt gegeben werden und in der jeweils aktuellen </w:t>
      </w:r>
      <w:commentRangeStart w:id="5"/>
      <w:r>
        <w:rPr/>
        <w:t>Form</w:t>
      </w:r>
      <w:r>
        <w:rPr/>
      </w:r>
      <w:commentRangeEnd w:id="5"/>
      <w:r>
        <w:commentReference w:id="5"/>
      </w:r>
      <w:r>
        <w:rPr/>
        <w:t xml:space="preserve"> allen Betroffenen zur Verfügung stehen.</w:t>
      </w:r>
    </w:p>
    <w:p>
      <w:pPr>
        <w:pStyle w:val="Heading2"/>
        <w:ind w:hanging="0" w:left="0"/>
        <w:rPr/>
      </w:pPr>
      <w:bookmarkStart w:id="222" w:name="__RefHeading___Toc31958_2021121348"/>
      <w:bookmarkStart w:id="223" w:name="inhalte"/>
      <w:bookmarkStart w:id="224" w:name="_Toc531165032"/>
      <w:bookmarkStart w:id="225" w:name="rl%25252525252525252525253Akap_05%252522"/>
      <w:bookmarkStart w:id="226" w:name="_Toc530662897"/>
      <w:bookmarkStart w:id="227" w:name="_Toc178588063"/>
      <w:bookmarkStart w:id="228" w:name="_Toc187327049"/>
      <w:bookmarkStart w:id="229" w:name="_Toc178761328"/>
      <w:bookmarkEnd w:id="222"/>
      <w:bookmarkEnd w:id="225"/>
      <w:r>
        <w:rPr/>
        <w:t>Inhalte</w:t>
      </w:r>
      <w:bookmarkEnd w:id="223"/>
      <w:bookmarkEnd w:id="224"/>
      <w:bookmarkEnd w:id="226"/>
      <w:bookmarkEnd w:id="227"/>
      <w:bookmarkEnd w:id="228"/>
      <w:bookmarkEnd w:id="229"/>
    </w:p>
    <w:p>
      <w:pPr>
        <w:pStyle w:val="10000-DefaultParagraph"/>
        <w:rPr/>
      </w:pPr>
      <w:r>
        <w:rPr/>
        <w:t xml:space="preserve">Die Leitlinie MUSS folgende Anforderungen erfüllen: </w:t>
      </w:r>
    </w:p>
    <w:p>
      <w:pPr>
        <w:pStyle w:val="10000-DefaultParagraph"/>
        <w:numPr>
          <w:ilvl w:val="0"/>
          <w:numId w:val="289"/>
        </w:numPr>
        <w:rPr>
          <w:spacing w:val="-3"/>
        </w:rPr>
      </w:pPr>
      <w:r>
        <w:rPr/>
        <w:t>Sie definiert die Ziele und den Stellenwert der Informationssicherheit in der Organisation.</w:t>
      </w:r>
    </w:p>
    <w:p>
      <w:pPr>
        <w:pStyle w:val="10000-DefaultParagraph"/>
        <w:numPr>
          <w:ilvl w:val="0"/>
          <w:numId w:val="290"/>
        </w:numPr>
        <w:rPr/>
      </w:pPr>
      <w:r>
        <w:rPr/>
        <w:t xml:space="preserve">Sie definiert sämtliche erforderlichen Positionen (siehe Abschnitte </w:t>
      </w:r>
      <w:r>
        <w:rPr/>
        <w:fldChar w:fldCharType="begin"/>
      </w:r>
      <w:r>
        <w:rPr/>
        <w:instrText xml:space="preserve"> REF _Ref178760601 \n \n \h </w:instrText>
      </w:r>
      <w:r>
        <w:rPr/>
        <w:fldChar w:fldCharType="separate"/>
      </w:r>
      <w:r>
        <w:rPr/>
        <w:t>4.3</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und weist auf deren Aufgaben hin.</w:t>
      </w:r>
    </w:p>
    <w:p>
      <w:pPr>
        <w:pStyle w:val="10000-Empfehlung"/>
        <w:rPr/>
      </w:pPr>
      <w:r>
        <w:rPr>
          <w:rStyle w:val="Emphasis"/>
          <w:i/>
        </w:rPr>
        <w:t>Die Leitlinie SOLLTE auf die Konsequenzen ihrer Nichtbeachtung hinweisen.</w:t>
      </w:r>
    </w:p>
    <w:p>
      <w:pPr>
        <w:pStyle w:val="Heading1"/>
        <w:ind w:hanging="0" w:left="0"/>
        <w:rPr/>
      </w:pPr>
      <w:bookmarkStart w:id="230" w:name="__RefHeading___Toc31960_2021121348"/>
      <w:bookmarkStart w:id="231" w:name="_Ref184204406"/>
      <w:bookmarkStart w:id="232" w:name="richtlinien_zur_informationssicherheit_i"/>
      <w:bookmarkStart w:id="233" w:name="_Ref184200712"/>
      <w:bookmarkStart w:id="234" w:name="rl%25252525252525252525253Akap_06%252525"/>
      <w:bookmarkStart w:id="235" w:name="_Toc530662898"/>
      <w:bookmarkStart w:id="236" w:name="_Toc187327050"/>
      <w:bookmarkStart w:id="237" w:name="_Ref179378197"/>
      <w:bookmarkStart w:id="238" w:name="_Toc178588064"/>
      <w:bookmarkStart w:id="239" w:name="_Toc531165033"/>
      <w:bookmarkStart w:id="240" w:name="_Toc178761329"/>
      <w:bookmarkEnd w:id="230"/>
      <w:bookmarkEnd w:id="234"/>
      <w:r>
        <w:rPr/>
        <w:t>Richtlinien zur Informationssicherheit (IS-Richtlinien)</w:t>
      </w:r>
      <w:bookmarkEnd w:id="231"/>
      <w:bookmarkEnd w:id="232"/>
      <w:bookmarkEnd w:id="233"/>
      <w:bookmarkEnd w:id="235"/>
      <w:bookmarkEnd w:id="236"/>
      <w:bookmarkEnd w:id="237"/>
      <w:bookmarkEnd w:id="238"/>
      <w:bookmarkEnd w:id="239"/>
      <w:bookmarkEnd w:id="240"/>
    </w:p>
    <w:p>
      <w:pPr>
        <w:pStyle w:val="Heading2"/>
        <w:ind w:hanging="0" w:left="0"/>
        <w:rPr/>
      </w:pPr>
      <w:bookmarkStart w:id="241" w:name="__RefHeading___Toc31962_2021121348"/>
      <w:bookmarkStart w:id="242" w:name="_Toc187327051"/>
      <w:bookmarkStart w:id="243" w:name="_Toc178761330"/>
      <w:bookmarkEnd w:id="241"/>
      <w:r>
        <w:rPr/>
        <w:t>Grundlagen</w:t>
      </w:r>
      <w:bookmarkEnd w:id="242"/>
      <w:bookmarkEnd w:id="243"/>
    </w:p>
    <w:p>
      <w:pPr>
        <w:pStyle w:val="10000-DefaultParagraph"/>
        <w:rPr/>
      </w:pPr>
      <w:r>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pPr>
      <w:bookmarkStart w:id="244" w:name="__RefHeading___Toc31964_2021121348"/>
      <w:bookmarkStart w:id="245" w:name="_Ref184204415"/>
      <w:bookmarkStart w:id="246" w:name="_Toc187327052"/>
      <w:bookmarkStart w:id="247" w:name="_Toc530662899"/>
      <w:bookmarkStart w:id="248" w:name="allgemeine_anforderungen1"/>
      <w:bookmarkStart w:id="249" w:name="_Toc178761331"/>
      <w:bookmarkStart w:id="250" w:name="_Toc531165034"/>
      <w:bookmarkStart w:id="251" w:name="rl%25252525252525252525253Akap_06%252521"/>
      <w:bookmarkStart w:id="252" w:name="_Toc178588065"/>
      <w:bookmarkEnd w:id="244"/>
      <w:bookmarkEnd w:id="251"/>
      <w:r>
        <w:rPr/>
        <w:t>Allgemeine Anforderungen</w:t>
      </w:r>
      <w:bookmarkEnd w:id="245"/>
      <w:bookmarkEnd w:id="246"/>
      <w:bookmarkEnd w:id="247"/>
      <w:bookmarkEnd w:id="248"/>
      <w:bookmarkEnd w:id="249"/>
      <w:bookmarkEnd w:id="250"/>
      <w:bookmarkEnd w:id="252"/>
    </w:p>
    <w:p>
      <w:pPr>
        <w:pStyle w:val="10000-DefaultParagraph"/>
        <w:rPr/>
      </w:pPr>
      <w:r>
        <w:rPr/>
        <w:t>Jede IS-Richtlinie MUSS vom ISB unter Mitarbeit des IST erstellt und vom Topmanagement in Kraft gesetzt werden.</w:t>
      </w:r>
    </w:p>
    <w:p>
      <w:pPr>
        <w:pStyle w:val="10000-DefaultParagraph"/>
        <w:rPr/>
      </w:pPr>
      <w:r>
        <w:rPr/>
        <w:t>Der ISB MUSS jede IS-Richtlinie jährlich auf Aktualität prüfen und ggf. aktualisieren.</w:t>
      </w:r>
    </w:p>
    <w:p>
      <w:pPr>
        <w:pStyle w:val="10000-Empfehlung"/>
        <w:rPr>
          <w:spacing w:val="-2"/>
        </w:rPr>
      </w:pPr>
      <w:r>
        <w:rPr>
          <w:rStyle w:val="Emphasis"/>
          <w:i/>
        </w:rPr>
        <w:t>Bei der Erstellung und Anpassung von IS-Richtlinien SOLLTEN alle gesetzlichen, betrieblichen und vertraglichen Anforderungen ermittelt und entsprechend umgesetzt werden.</w:t>
      </w:r>
    </w:p>
    <w:p>
      <w:pPr>
        <w:pStyle w:val="10000-DefaultParagraph"/>
        <w:rPr/>
      </w:pPr>
      <w:r>
        <w:rPr/>
        <w:t>Die IS-Richtlinien MÜSSEN initial und nach jeder Aktualisierung den Zielgruppen zeitnah bekannt gegeben werden.</w:t>
      </w:r>
    </w:p>
    <w:p>
      <w:pPr>
        <w:pStyle w:val="10000-DefaultParagraph"/>
        <w:rPr/>
      </w:pPr>
      <w:r>
        <w:rPr/>
        <w:t>Dies MUSS in einer für die Zielgruppe zugänglichen und verständlichen Form geschehen, z. B. im Zuge einer Schulung.</w:t>
      </w:r>
    </w:p>
    <w:p>
      <w:pPr>
        <w:pStyle w:val="10000-DefaultParagraph"/>
        <w:rPr/>
      </w:pPr>
      <w:r>
        <w:rPr/>
        <w:t>IS-Richtlinien MÜSSEN umgesetzt oder vom Topmanagement aufgehoben werden.</w:t>
      </w:r>
    </w:p>
    <w:p>
      <w:pPr>
        <w:pStyle w:val="Heading2"/>
        <w:ind w:hanging="0" w:left="0"/>
        <w:rPr/>
      </w:pPr>
      <w:bookmarkStart w:id="253" w:name="__RefHeading___Toc31966_2021121348"/>
      <w:bookmarkStart w:id="254" w:name="_Toc178588066"/>
      <w:bookmarkStart w:id="255" w:name="_Toc187327053"/>
      <w:bookmarkStart w:id="256" w:name="_Toc530662900"/>
      <w:bookmarkStart w:id="257" w:name="_Toc531165035"/>
      <w:bookmarkStart w:id="258" w:name="inhalte1"/>
      <w:bookmarkStart w:id="259" w:name="_Toc178761332"/>
      <w:bookmarkStart w:id="260" w:name="rl%25252525252525252525253Akap_06%252522"/>
      <w:bookmarkEnd w:id="253"/>
      <w:bookmarkEnd w:id="260"/>
      <w:r>
        <w:rPr/>
        <w:t>Inhalte</w:t>
      </w:r>
      <w:bookmarkEnd w:id="254"/>
      <w:bookmarkEnd w:id="255"/>
      <w:bookmarkEnd w:id="256"/>
      <w:bookmarkEnd w:id="257"/>
      <w:bookmarkEnd w:id="258"/>
      <w:bookmarkEnd w:id="259"/>
    </w:p>
    <w:p>
      <w:pPr>
        <w:pStyle w:val="10000-DefaultParagraph"/>
        <w:rPr/>
      </w:pPr>
      <w:r>
        <w:rPr/>
        <w:t>Jede IS-Richtlinie MUSS folgende Anforderungen erfüllen:</w:t>
      </w:r>
    </w:p>
    <w:p>
      <w:pPr>
        <w:pStyle w:val="10000-DefaultParagraph"/>
        <w:numPr>
          <w:ilvl w:val="0"/>
          <w:numId w:val="291"/>
        </w:numPr>
        <w:rPr/>
      </w:pPr>
      <w:r>
        <w:rPr/>
        <w:t>Sie definiert, für wen sie verbindlich ist (Zielgruppe).</w:t>
      </w:r>
    </w:p>
    <w:p>
      <w:pPr>
        <w:pStyle w:val="10000-DefaultParagraph"/>
        <w:numPr>
          <w:ilvl w:val="0"/>
          <w:numId w:val="292"/>
        </w:numPr>
        <w:rPr/>
      </w:pPr>
      <w:r>
        <w:rPr/>
        <w:t>Sie begründet, warum sie erstellt wurde und legt fest, was mit ihr erreicht werden soll.</w:t>
      </w:r>
    </w:p>
    <w:p>
      <w:pPr>
        <w:pStyle w:val="10000-DefaultParagraph"/>
        <w:numPr>
          <w:ilvl w:val="0"/>
          <w:numId w:val="293"/>
        </w:numPr>
        <w:rPr/>
      </w:pPr>
      <w:r>
        <w:rPr/>
        <w:t>Sie verstößt nicht gegen Leitlinien oder andere Richtlinien.</w:t>
      </w:r>
    </w:p>
    <w:p>
      <w:pPr>
        <w:pStyle w:val="10000-DefaultParagraph"/>
        <w:numPr>
          <w:ilvl w:val="0"/>
          <w:numId w:val="294"/>
        </w:numPr>
        <w:rPr/>
      </w:pPr>
      <w:r>
        <w:rPr/>
        <w:t>Sie weist auf die Konsequenzen ihrer Nichtbeachtung hin.</w:t>
      </w:r>
    </w:p>
    <w:p>
      <w:pPr>
        <w:pStyle w:val="10000-Empfehlung"/>
        <w:rPr/>
      </w:pPr>
      <w:r>
        <w:rPr>
          <w:rStyle w:val="Emphasis"/>
          <w:i/>
        </w:rPr>
        <w:t>IS-Richtlinien KÖNNEN begründete Ausnahmen ermöglichen, sofern diese im Vorfeld genehmigt und dokumentiert werden.</w:t>
      </w:r>
    </w:p>
    <w:p>
      <w:pPr>
        <w:pStyle w:val="10000-Empfehlung"/>
        <w:rPr/>
      </w:pPr>
      <w:r>
        <w:rPr>
          <w:rStyle w:val="Emphasis"/>
          <w:i/>
        </w:rPr>
        <w:t>IS-Richtlinien KÖNNEN auf weitere mitgeltende Unterlagen verweisen.</w:t>
      </w:r>
    </w:p>
    <w:p>
      <w:pPr>
        <w:pStyle w:val="Heading2"/>
        <w:ind w:hanging="0" w:left="0"/>
        <w:rPr/>
      </w:pPr>
      <w:bookmarkStart w:id="261" w:name="__RefHeading___Toc31968_2021121348"/>
      <w:bookmarkStart w:id="262" w:name="_Toc187327054"/>
      <w:bookmarkStart w:id="263" w:name="_Ref179186674"/>
      <w:bookmarkStart w:id="264" w:name="_Ref179188801"/>
      <w:bookmarkStart w:id="265" w:name="_Toc178761333"/>
      <w:bookmarkStart w:id="266" w:name="_Ref179189056"/>
      <w:bookmarkStart w:id="267" w:name="_Ref179187911"/>
      <w:bookmarkStart w:id="268" w:name="_Toc178588067"/>
      <w:bookmarkEnd w:id="261"/>
      <w:r>
        <w:rPr/>
        <w:t>Aufbau und Funktionsweise des ISMS</w:t>
      </w:r>
      <w:bookmarkEnd w:id="262"/>
      <w:bookmarkEnd w:id="263"/>
      <w:bookmarkEnd w:id="264"/>
      <w:bookmarkEnd w:id="265"/>
      <w:bookmarkEnd w:id="266"/>
      <w:bookmarkEnd w:id="267"/>
      <w:bookmarkEnd w:id="268"/>
    </w:p>
    <w:p>
      <w:pPr>
        <w:pStyle w:val="10000-DefaultParagraph"/>
        <w:rPr/>
      </w:pPr>
      <w:r>
        <w:rPr/>
        <w:t>Aufbau und Funktionsweise des ISMS MUSS in einer IS-Richtlinie verbindlich festgelegt werden.</w:t>
      </w:r>
    </w:p>
    <w:p>
      <w:pPr>
        <w:pStyle w:val="10000-DefaultParagraph"/>
        <w:rPr/>
      </w:pPr>
      <w:r>
        <w:rPr/>
        <w:t>Die IS-Richtlinie MUSS darüber hinaus eine Aufstellung sämtlicher für das ISMS relevanten Dokumente beinhalten und Informationen bereitstellen, wo diese zu finden sind:</w:t>
      </w:r>
    </w:p>
    <w:p>
      <w:pPr>
        <w:pStyle w:val="10000-DefaultParagraph"/>
        <w:numPr>
          <w:ilvl w:val="0"/>
          <w:numId w:val="22"/>
        </w:numPr>
        <w:rPr/>
      </w:pPr>
      <w:r>
        <w:rPr/>
        <w:t xml:space="preserve">IS-Leitlinie (siehe Kapitel </w:t>
      </w:r>
      <w:r>
        <w:rPr/>
        <w:fldChar w:fldCharType="begin"/>
      </w:r>
      <w:r>
        <w:rPr/>
        <w:instrText xml:space="preserve"> REF leitlinie_zur_informationssicherheit_is- \n \n \h </w:instrText>
      </w:r>
      <w:r>
        <w:rPr/>
        <w:fldChar w:fldCharType="separate"/>
      </w:r>
      <w:r>
        <w:rPr/>
        <w:t>5</w:t>
      </w:r>
      <w:r>
        <w:rPr/>
        <w:fldChar w:fldCharType="end"/>
      </w:r>
      <w:r>
        <w:rPr/>
        <w:t>)</w:t>
      </w:r>
    </w:p>
    <w:p>
      <w:pPr>
        <w:pStyle w:val="10000-DefaultParagraph"/>
        <w:numPr>
          <w:ilvl w:val="0"/>
          <w:numId w:val="22"/>
        </w:numPr>
        <w:rPr/>
      </w:pPr>
      <w:r>
        <w:rPr/>
        <w:t xml:space="preserve">IS-Richtlinien (siehe Kapitel </w:t>
      </w:r>
      <w:r>
        <w:rPr/>
        <w:fldChar w:fldCharType="begin"/>
      </w:r>
      <w:r>
        <w:rPr/>
        <w:instrText xml:space="preserve"> REF _Ref179378197 \n \n \h </w:instrText>
      </w:r>
      <w:r>
        <w:rPr/>
        <w:fldChar w:fldCharType="separate"/>
      </w:r>
      <w:r>
        <w:rPr/>
        <w:t>6</w:t>
      </w:r>
      <w:r>
        <w:rPr/>
        <w:fldChar w:fldCharType="end"/>
      </w:r>
      <w:r>
        <w:rPr/>
        <w:t>)</w:t>
      </w:r>
    </w:p>
    <w:p>
      <w:pPr>
        <w:pStyle w:val="10000-DefaultParagraph"/>
        <w:numPr>
          <w:ilvl w:val="0"/>
          <w:numId w:val="22"/>
        </w:numPr>
        <w:rPr/>
      </w:pPr>
      <w:r>
        <w:rPr/>
        <w:t>Für die Informationssicherheit relevante Verfahren (siehe</w:t>
      </w:r>
      <w:r>
        <w:rPr>
          <w:spacing w:val="-2"/>
        </w:rPr>
        <w:t xml:space="preserve"> Anhang</w:t>
      </w:r>
      <w:r>
        <w:rPr/>
        <w:t xml:space="preserve"> </w:t>
      </w:r>
      <w:r>
        <w:rPr/>
        <w:fldChar w:fldCharType="begin"/>
      </w:r>
      <w:r>
        <w:rPr/>
        <w:instrText xml:space="preserve"> REF _Ref178761570 \n \n \h </w:instrText>
      </w:r>
      <w:r>
        <w:rPr/>
        <w:fldChar w:fldCharType="separate"/>
      </w:r>
      <w:r>
        <w:rPr/>
        <w:t>A.1</w:t>
      </w:r>
      <w:r>
        <w:rPr/>
        <w:fldChar w:fldCharType="end"/>
      </w:r>
      <w:r>
        <w:rPr/>
        <w:t>)</w:t>
      </w:r>
    </w:p>
    <w:p>
      <w:pPr>
        <w:pStyle w:val="10000-DefaultParagraph"/>
        <w:numPr>
          <w:ilvl w:val="0"/>
          <w:numId w:val="22"/>
        </w:numPr>
        <w:rPr/>
      </w:pPr>
      <w:r>
        <w:rPr/>
        <w:t>Die in diesen Richtlinien geforderten Dokumente (wie z. B. Dokumentationen)</w:t>
      </w:r>
    </w:p>
    <w:p>
      <w:pPr>
        <w:pStyle w:val="10000-DefaultParagraph"/>
        <w:numPr>
          <w:ilvl w:val="0"/>
          <w:numId w:val="22"/>
        </w:numPr>
        <w:rPr/>
      </w:pPr>
      <w:r>
        <w:rPr/>
        <w:t>Dokumente, die im Zuge des Betriebs des ISMS und im Zuge des Kontinuierlichen Verbesserungsprozesses (KVP) entstehen (wie z. B. Nachweise über durchgeführte Tätigkeiten)</w:t>
      </w:r>
    </w:p>
    <w:p>
      <w:pPr>
        <w:pStyle w:val="Heading2"/>
        <w:ind w:hanging="0" w:left="0"/>
        <w:rPr/>
      </w:pPr>
      <w:bookmarkStart w:id="269" w:name="__RefHeading___Toc31970_2021121348"/>
      <w:bookmarkStart w:id="270" w:name="_Toc530662901"/>
      <w:bookmarkStart w:id="271" w:name="_Toc178588068"/>
      <w:bookmarkStart w:id="272" w:name="rl%25252525252525252525253Akap_06%252523"/>
      <w:bookmarkStart w:id="273" w:name="_Toc187327055"/>
      <w:bookmarkStart w:id="274" w:name="_Ref184204449"/>
      <w:bookmarkStart w:id="275" w:name="regelungen_fuer_nutzer"/>
      <w:bookmarkStart w:id="276" w:name="_Toc178761334"/>
      <w:bookmarkStart w:id="277" w:name="_Toc531165036"/>
      <w:bookmarkEnd w:id="269"/>
      <w:bookmarkEnd w:id="272"/>
      <w:r>
        <w:rPr/>
        <w:t>Regelungen für Nutzer</w:t>
      </w:r>
      <w:bookmarkEnd w:id="270"/>
      <w:bookmarkEnd w:id="271"/>
      <w:bookmarkEnd w:id="273"/>
      <w:bookmarkEnd w:id="274"/>
      <w:bookmarkEnd w:id="275"/>
      <w:bookmarkEnd w:id="276"/>
      <w:bookmarkEnd w:id="277"/>
    </w:p>
    <w:p>
      <w:pPr>
        <w:pStyle w:val="10000-DefaultParagraph"/>
        <w:rPr/>
      </w:pPr>
      <w:r>
        <w:rPr/>
        <w:t>Es MÜSSEN Regelungen für den Umgang mit der IT getroffen werden, die in ihrer Gesamtheit für alle Nutzer (inkl. aller Führungsebenen) sowie für die gesamte IT verbindlich sind:</w:t>
      </w:r>
    </w:p>
    <w:p>
      <w:pPr>
        <w:pStyle w:val="10000-DefaultParagraph"/>
        <w:numPr>
          <w:ilvl w:val="0"/>
          <w:numId w:val="295"/>
        </w:numPr>
        <w:rPr/>
      </w:pPr>
      <w:bookmarkStart w:id="278" w:name="_Ref184389125"/>
      <w:r>
        <w:rPr/>
        <w:t>Generelle Nutzungsbedingungen</w:t>
      </w:r>
      <w:bookmarkEnd w:id="278"/>
    </w:p>
    <w:p>
      <w:pPr>
        <w:pStyle w:val="10000-DefaultParagraph"/>
        <w:numPr>
          <w:ilvl w:val="1"/>
          <w:numId w:val="28"/>
        </w:numPr>
        <w:rPr/>
      </w:pPr>
      <w:r>
        <w:rPr/>
        <w:t>Das unrechtmäßige Abrufen oder Verbreiten von urheberrechtlich geschützten Inhalten wird untersagt.</w:t>
      </w:r>
    </w:p>
    <w:p>
      <w:pPr>
        <w:pStyle w:val="10000-DefaultParagraph"/>
        <w:numPr>
          <w:ilvl w:val="1"/>
          <w:numId w:val="28"/>
        </w:numPr>
        <w:rPr/>
      </w:pPr>
      <w:r>
        <w:rPr/>
        <w:t>Das Abrufen oder Verbreiten von strafrechtlich relevanten oder sittenwidrigen Inhalten wird untersagt.</w:t>
      </w:r>
    </w:p>
    <w:p>
      <w:pPr>
        <w:pStyle w:val="10000-DefaultParagraph"/>
        <w:numPr>
          <w:ilvl w:val="0"/>
          <w:numId w:val="296"/>
        </w:numPr>
        <w:rPr/>
      </w:pPr>
      <w:r>
        <w:rPr/>
        <w:t>Privatnutzung</w:t>
      </w:r>
    </w:p>
    <w:p>
      <w:pPr>
        <w:pStyle w:val="10000-DefaultParagraph"/>
        <w:numPr>
          <w:ilvl w:val="1"/>
          <w:numId w:val="297"/>
        </w:numPr>
        <w:rPr/>
      </w:pPr>
      <w:r>
        <w:rPr/>
        <w:t>Es wird definiert, ob die private Nutzung der IT erlaubt ist.</w:t>
      </w:r>
    </w:p>
    <w:p>
      <w:pPr>
        <w:pStyle w:val="10000-DefaultParagraph"/>
        <w:numPr>
          <w:ilvl w:val="1"/>
          <w:numId w:val="28"/>
        </w:numPr>
        <w:rPr/>
      </w:pPr>
      <w:r>
        <w:rPr/>
        <w:t>Wenn die private Nutzung der IT erlaubt ist, so wird sie im Sinne der Organisation ausgestaltet.</w:t>
      </w:r>
    </w:p>
    <w:p>
      <w:pPr>
        <w:pStyle w:val="10000-DefaultParagraph"/>
        <w:numPr>
          <w:ilvl w:val="0"/>
          <w:numId w:val="298"/>
        </w:numPr>
        <w:rPr/>
      </w:pPr>
      <w:r>
        <w:rPr/>
        <w:t>Grundlegende Verhaltensregeln</w:t>
      </w:r>
    </w:p>
    <w:p>
      <w:pPr>
        <w:pStyle w:val="10000-DefaultParagraph"/>
        <w:numPr>
          <w:ilvl w:val="1"/>
          <w:numId w:val="28"/>
        </w:numPr>
        <w:rPr/>
      </w:pPr>
      <w:r>
        <w:rPr/>
        <w:t>Hard- und Software darf nicht eigenmächtig in der IT-Infrastruktur installiert, genutzt oder betrieben werden.</w:t>
      </w:r>
    </w:p>
    <w:p>
      <w:pPr>
        <w:pStyle w:val="10000-DefaultParagraph"/>
        <w:numPr>
          <w:ilvl w:val="1"/>
          <w:numId w:val="28"/>
        </w:numPr>
        <w:rPr/>
      </w:pPr>
      <w:r>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8"/>
        </w:numPr>
        <w:rPr/>
      </w:pPr>
      <w:r>
        <w:rPr/>
        <w:t>Die in der IT-Infrastruktur installierten Sicherheitseinrichtungen werden nicht eigenmächtig deinstalliert, deaktiviert oder in ihrer Konfiguration verändert bzw. mutwillig umgangen.</w:t>
      </w:r>
    </w:p>
    <w:p>
      <w:pPr>
        <w:pStyle w:val="10000-DefaultParagraph"/>
        <w:numPr>
          <w:ilvl w:val="1"/>
          <w:numId w:val="28"/>
        </w:numPr>
        <w:rPr/>
      </w:pPr>
      <w:r>
        <w:rPr/>
        <w:t>Authentifizierungsmerkmale werden nicht eigenmächtig weitergegeben.</w:t>
      </w:r>
    </w:p>
    <w:p>
      <w:pPr>
        <w:pStyle w:val="10000-DefaultParagraph"/>
        <w:numPr>
          <w:ilvl w:val="0"/>
          <w:numId w:val="299"/>
        </w:numPr>
        <w:rPr/>
      </w:pPr>
      <w:r>
        <w:rPr/>
        <w:t>Umgang mit Informationen der Organisation</w:t>
      </w:r>
    </w:p>
    <w:p>
      <w:pPr>
        <w:pStyle w:val="10000-DefaultParagraph"/>
        <w:numPr>
          <w:ilvl w:val="1"/>
          <w:numId w:val="28"/>
        </w:numPr>
        <w:rPr/>
      </w:pPr>
      <w:r>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8"/>
        </w:numPr>
        <w:rPr/>
      </w:pPr>
      <w:r>
        <w:rPr/>
        <w:t xml:space="preserve">Informationsfluss bei Abwesenheit </w:t>
      </w:r>
    </w:p>
    <w:p>
      <w:pPr>
        <w:pStyle w:val="10000-DefaultParagraph"/>
        <w:numPr>
          <w:ilvl w:val="1"/>
          <w:numId w:val="300"/>
        </w:numPr>
        <w:rPr/>
      </w:pPr>
      <w:r>
        <w:rPr/>
        <w:t>Es wird geregelt, ob neu eintreffende Nachrichten für einen abwesenden Nutzer weitergeleitet werden.</w:t>
      </w:r>
    </w:p>
    <w:p>
      <w:pPr>
        <w:pStyle w:val="10000-DefaultParagraph"/>
        <w:numPr>
          <w:ilvl w:val="1"/>
          <w:numId w:val="28"/>
        </w:numPr>
        <w:rPr/>
      </w:pPr>
      <w:r>
        <w:rPr/>
        <w:t>Es wird geregelt, ob und wann auf den Datenbestand eines Abwesenden zugegriffen werden darf.</w:t>
      </w:r>
    </w:p>
    <w:p>
      <w:pPr>
        <w:pStyle w:val="10000-DefaultParagraph"/>
        <w:numPr>
          <w:ilvl w:val="0"/>
          <w:numId w:val="28"/>
        </w:numPr>
        <w:rPr/>
      </w:pPr>
      <w:bookmarkStart w:id="279" w:name="_Ref184389143"/>
      <w:r>
        <w:rPr/>
        <w:t>Missbrauchskontrolle</w:t>
      </w:r>
      <w:bookmarkEnd w:id="279"/>
    </w:p>
    <w:p>
      <w:pPr>
        <w:pStyle w:val="10000-DefaultParagraph"/>
        <w:numPr>
          <w:ilvl w:val="1"/>
          <w:numId w:val="28"/>
        </w:numPr>
        <w:rPr/>
      </w:pPr>
      <w:r>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i/>
          <w:i/>
        </w:rPr>
      </w:pPr>
      <w:r>
        <w:rPr>
          <w:rStyle w:val="Emphasis"/>
          <w:i/>
        </w:rPr>
        <w:t>Bei der Umsetzung von Überwachungs- und Protokollierungsmaßnahmen SOLLTEN die gesetzlichen Vorgaben, insbesondere die des Datenschutzes, beachtet werden.</w:t>
      </w:r>
    </w:p>
    <w:p>
      <w:pPr>
        <w:pStyle w:val="10000-DefaultParagraph"/>
        <w:rPr/>
      </w:pPr>
      <w:r>
        <w:rPr/>
        <w:t xml:space="preserve">Ausnahmen zu den von </w:t>
      </w:r>
      <w:r>
        <w:rPr/>
        <w:fldChar w:fldCharType="begin"/>
      </w:r>
      <w:r>
        <w:rPr/>
        <w:instrText xml:space="preserve"> REF _Ref184389125 \n \n \h </w:instrText>
      </w:r>
      <w:r>
        <w:rPr/>
        <w:fldChar w:fldCharType="separate"/>
      </w:r>
      <w:r>
        <w:rPr/>
        <w:t>1</w:t>
      </w:r>
      <w:r>
        <w:rPr/>
        <w:fldChar w:fldCharType="end"/>
      </w:r>
      <w:r>
        <w:rPr/>
        <w:t xml:space="preserve">. bis </w:t>
      </w:r>
      <w:r>
        <w:rPr/>
        <w:fldChar w:fldCharType="begin"/>
      </w:r>
      <w:r>
        <w:rPr/>
        <w:instrText xml:space="preserve"> REF _Ref184389143 \n \n \h </w:instrText>
      </w:r>
      <w:r>
        <w:rPr/>
        <w:fldChar w:fldCharType="separate"/>
      </w:r>
      <w:r>
        <w:rPr/>
        <w:t>6</w:t>
      </w:r>
      <w:r>
        <w:rPr/>
        <w:fldChar w:fldCharType="end"/>
      </w:r>
      <w:r>
        <w:rPr/>
        <w:t>. genannten Regelungen MÜSSEN vom ISB genehmigt werden.</w:t>
      </w:r>
    </w:p>
    <w:p>
      <w:pPr>
        <w:pStyle w:val="Heading2"/>
        <w:ind w:hanging="0" w:left="0"/>
        <w:rPr/>
      </w:pPr>
      <w:bookmarkStart w:id="280" w:name="__RefHeading___Toc31972_2021121348"/>
      <w:bookmarkStart w:id="281" w:name="del_6.5del_weitere_regelungen"/>
      <w:bookmarkStart w:id="282" w:name="_Toc531165037"/>
      <w:bookmarkStart w:id="283" w:name="_Toc530662902"/>
      <w:bookmarkStart w:id="284" w:name="_Toc187327056"/>
      <w:bookmarkStart w:id="285" w:name="_Toc178761335"/>
      <w:bookmarkStart w:id="286" w:name="rl%25252525252525252525253Akap_06%252524"/>
      <w:bookmarkStart w:id="287" w:name="_Toc178588069"/>
      <w:bookmarkEnd w:id="280"/>
      <w:bookmarkEnd w:id="286"/>
      <w:r>
        <w:rPr/>
        <w:t xml:space="preserve">Weitere </w:t>
      </w:r>
      <w:bookmarkEnd w:id="281"/>
      <w:bookmarkEnd w:id="282"/>
      <w:bookmarkEnd w:id="283"/>
      <w:bookmarkEnd w:id="285"/>
      <w:bookmarkEnd w:id="287"/>
      <w:r>
        <w:rPr/>
        <w:t>Richtlinien</w:t>
      </w:r>
      <w:bookmarkEnd w:id="284"/>
    </w:p>
    <w:p>
      <w:pPr>
        <w:pStyle w:val="10000-DefaultParagraph"/>
        <w:rPr/>
      </w:pPr>
      <w:r>
        <w:rPr/>
        <w:t xml:space="preserve">Es MÜSSEN weitere spezifische IS-Richtlinien erarbeitet werden, sofern die folgenden Punkte in der Organisation relevant sind: </w:t>
      </w:r>
    </w:p>
    <w:p>
      <w:pPr>
        <w:pStyle w:val="10000-DefaultParagraph"/>
        <w:numPr>
          <w:ilvl w:val="0"/>
          <w:numId w:val="301"/>
        </w:numPr>
        <w:rPr>
          <w:color w:val="auto"/>
        </w:rPr>
      </w:pPr>
      <w:r>
        <w:rPr>
          <w:color w:val="auto"/>
        </w:rPr>
        <w:t xml:space="preserve">Mobile IT-Systeme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_Ref184300103 \r \r \h </w:instrText>
      </w:r>
      <w:r>
        <w:rPr>
          <w:rStyle w:val="Hyperlink"/>
          <w:u w:val="none"/>
          <w:color w:themeColor="hyperlink" w:val="auto"/>
        </w:rPr>
        <w:fldChar w:fldCharType="separate"/>
      </w:r>
      <w:r>
        <w:rPr>
          <w:rStyle w:val="Hyperlink"/>
          <w:u w:val="none"/>
          <w:color w:themeColor="hyperlink" w:val="auto"/>
        </w:rPr>
        <w:t>10.5</w:t>
      </w:r>
      <w:r>
        <w:rPr>
          <w:rStyle w:val="Hyperlink"/>
          <w:u w:val="none"/>
          <w:color w:themeColor="hyperlink" w:val="auto"/>
        </w:rPr>
        <w:fldChar w:fldCharType="end"/>
      </w:r>
      <w:r>
        <w:rPr>
          <w:color w:val="auto"/>
        </w:rPr>
        <w:t>)</w:t>
      </w:r>
    </w:p>
    <w:p>
      <w:pPr>
        <w:pStyle w:val="10000-DefaultParagraph"/>
        <w:numPr>
          <w:ilvl w:val="0"/>
          <w:numId w:val="302"/>
        </w:numPr>
        <w:rPr>
          <w:color w:val="auto"/>
        </w:rPr>
      </w:pPr>
      <w:r>
        <w:rPr>
          <w:color w:val="auto"/>
        </w:rPr>
        <w:t xml:space="preserve">Mobile Datenträger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_Ref178761888 \n \n \h </w:instrText>
      </w:r>
      <w:r>
        <w:rPr>
          <w:rStyle w:val="Hyperlink"/>
          <w:u w:val="none"/>
          <w:color w:themeColor="hyperlink" w:val="auto"/>
        </w:rPr>
        <w:fldChar w:fldCharType="separate"/>
      </w:r>
      <w:r>
        <w:rPr>
          <w:rStyle w:val="Hyperlink"/>
          <w:u w:val="none"/>
          <w:color w:themeColor="hyperlink" w:val="auto"/>
        </w:rPr>
        <w:t>12</w:t>
      </w:r>
      <w:r>
        <w:rPr>
          <w:rStyle w:val="Hyperlink"/>
          <w:u w:val="none"/>
          <w:color w:themeColor="hyperlink" w:val="auto"/>
        </w:rPr>
        <w:fldChar w:fldCharType="end"/>
      </w:r>
      <w:r>
        <w:rPr>
          <w:color w:val="auto"/>
        </w:rPr>
        <w:t>)</w:t>
      </w:r>
    </w:p>
    <w:p>
      <w:pPr>
        <w:pStyle w:val="10000-DefaultParagraph"/>
        <w:numPr>
          <w:ilvl w:val="0"/>
          <w:numId w:val="303"/>
        </w:numPr>
        <w:rPr>
          <w:color w:val="auto"/>
        </w:rPr>
      </w:pPr>
      <w:r>
        <w:rPr>
          <w:color w:val="auto"/>
        </w:rPr>
        <w:t xml:space="preserve">IT-Outsourcing und Cloud Computing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_Ref178761914 \n \n \h </w:instrText>
      </w:r>
      <w:r>
        <w:rPr>
          <w:rStyle w:val="Hyperlink"/>
          <w:u w:val="none"/>
          <w:color w:themeColor="hyperlink" w:val="auto"/>
        </w:rPr>
        <w:fldChar w:fldCharType="separate"/>
      </w:r>
      <w:r>
        <w:rPr>
          <w:rStyle w:val="Hyperlink"/>
          <w:u w:val="none"/>
          <w:color w:themeColor="hyperlink" w:val="auto"/>
        </w:rPr>
        <w:t>14</w:t>
      </w:r>
      <w:r>
        <w:rPr>
          <w:rStyle w:val="Hyperlink"/>
          <w:u w:val="none"/>
          <w:color w:themeColor="hyperlink" w:val="auto"/>
        </w:rPr>
        <w:fldChar w:fldCharType="end"/>
      </w:r>
      <w:r>
        <w:rPr>
          <w:color w:val="auto"/>
        </w:rPr>
        <w:t>)</w:t>
      </w:r>
    </w:p>
    <w:p>
      <w:pPr>
        <w:pStyle w:val="10000-DefaultParagraph"/>
        <w:numPr>
          <w:ilvl w:val="0"/>
          <w:numId w:val="304"/>
        </w:numPr>
        <w:rPr>
          <w:color w:val="auto"/>
        </w:rPr>
      </w:pPr>
      <w:r>
        <w:rPr>
          <w:color w:val="auto"/>
        </w:rPr>
        <w:t xml:space="preserve">Datensicherung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_Ref178761950 \n \n \h </w:instrText>
      </w:r>
      <w:r>
        <w:rPr>
          <w:rStyle w:val="Hyperlink"/>
          <w:u w:val="none"/>
          <w:color w:themeColor="hyperlink" w:val="auto"/>
        </w:rPr>
        <w:fldChar w:fldCharType="separate"/>
      </w:r>
      <w:r>
        <w:rPr>
          <w:rStyle w:val="Hyperlink"/>
          <w:u w:val="none"/>
          <w:color w:themeColor="hyperlink" w:val="auto"/>
        </w:rPr>
        <w:t>16</w:t>
      </w:r>
      <w:r>
        <w:rPr>
          <w:rStyle w:val="Hyperlink"/>
          <w:u w:val="none"/>
          <w:color w:themeColor="hyperlink" w:val="auto"/>
        </w:rPr>
        <w:fldChar w:fldCharType="end"/>
      </w:r>
      <w:r>
        <w:rPr>
          <w:color w:val="auto"/>
        </w:rPr>
        <w:t>)</w:t>
      </w:r>
    </w:p>
    <w:p>
      <w:pPr>
        <w:pStyle w:val="10000-DefaultParagraph"/>
        <w:numPr>
          <w:ilvl w:val="0"/>
          <w:numId w:val="305"/>
        </w:numPr>
        <w:rPr>
          <w:color w:val="auto"/>
        </w:rPr>
      </w:pPr>
      <w:r>
        <w:rPr>
          <w:color w:val="auto"/>
        </w:rPr>
        <w:t xml:space="preserve">Sicherheitsvorfälle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_Ref178761991 \n \n \h </w:instrText>
      </w:r>
      <w:r>
        <w:rPr>
          <w:rStyle w:val="Hyperlink"/>
          <w:u w:val="none"/>
          <w:color w:themeColor="hyperlink" w:val="auto"/>
        </w:rPr>
        <w:fldChar w:fldCharType="separate"/>
      </w:r>
      <w:r>
        <w:rPr>
          <w:rStyle w:val="Hyperlink"/>
          <w:u w:val="none"/>
          <w:color w:themeColor="hyperlink" w:val="auto"/>
        </w:rPr>
        <w:t>17</w:t>
      </w:r>
      <w:r>
        <w:rPr>
          <w:rStyle w:val="Hyperlink"/>
          <w:u w:val="none"/>
          <w:color w:themeColor="hyperlink" w:val="auto"/>
        </w:rPr>
        <w:fldChar w:fldCharType="end"/>
      </w:r>
      <w:r>
        <w:rPr>
          <w:color w:val="auto"/>
        </w:rPr>
        <w:t>)</w:t>
      </w:r>
    </w:p>
    <w:p>
      <w:pPr>
        <w:pStyle w:val="10000-DefaultParagraph"/>
        <w:rPr/>
      </w:pPr>
      <w:r>
        <w:rPr/>
        <w:t>Der Bedarf für weitere IS-Richtlinien MUSS jährlich vom ISB ermittelt werden.</w:t>
      </w:r>
    </w:p>
    <w:p>
      <w:pPr>
        <w:pStyle w:val="Heading1"/>
        <w:ind w:hanging="0" w:left="0"/>
        <w:rPr/>
      </w:pPr>
      <w:bookmarkStart w:id="288" w:name="__RefHeading___Toc31974_2021121348"/>
      <w:bookmarkStart w:id="289" w:name="_Toc530662903"/>
      <w:bookmarkStart w:id="290" w:name="_Toc178588070"/>
      <w:bookmarkStart w:id="291" w:name="mitarbeiter_del_personaldel"/>
      <w:bookmarkStart w:id="292" w:name="_Ref184204459"/>
      <w:bookmarkStart w:id="293" w:name="_Toc178761336"/>
      <w:bookmarkStart w:id="294" w:name="rl%25252525252525252525253Akap_07%252525"/>
      <w:bookmarkStart w:id="295" w:name="_Toc187327057"/>
      <w:bookmarkStart w:id="296" w:name="_Toc531165038"/>
      <w:bookmarkEnd w:id="288"/>
      <w:bookmarkEnd w:id="294"/>
      <w:r>
        <w:rPr/>
        <w:t>Mitarbeiter</w:t>
      </w:r>
      <w:bookmarkEnd w:id="289"/>
      <w:bookmarkEnd w:id="290"/>
      <w:bookmarkEnd w:id="291"/>
      <w:bookmarkEnd w:id="292"/>
      <w:bookmarkEnd w:id="293"/>
      <w:bookmarkEnd w:id="295"/>
      <w:bookmarkEnd w:id="296"/>
    </w:p>
    <w:p>
      <w:pPr>
        <w:pStyle w:val="Heading2"/>
        <w:ind w:hanging="0" w:left="0"/>
        <w:rPr/>
      </w:pPr>
      <w:bookmarkStart w:id="297" w:name="__RefHeading___Toc31976_2021121348"/>
      <w:bookmarkStart w:id="298" w:name="_Toc187327058"/>
      <w:bookmarkEnd w:id="297"/>
      <w:r>
        <w:rPr/>
        <w:t>Grundlagen</w:t>
      </w:r>
      <w:bookmarkEnd w:id="298"/>
    </w:p>
    <w:p>
      <w:pPr>
        <w:pStyle w:val="10000-DefaultParagraph"/>
        <w:rPr/>
      </w:pPr>
      <w:r>
        <w:rPr/>
        <w:t>Die Mitarbeiter sind ein zentraler Faktor für die Implementierung und Aufrechterhaltung der Informationssicherheit. Es ist deshalb notwendig, folgende Anforderungen der Informationssicherheit zu berücksichtigen.</w:t>
      </w:r>
    </w:p>
    <w:p>
      <w:pPr>
        <w:pStyle w:val="Heading2"/>
        <w:ind w:hanging="0" w:left="0"/>
        <w:rPr/>
      </w:pPr>
      <w:bookmarkStart w:id="299" w:name="__RefHeading___Toc31978_2021121348"/>
      <w:bookmarkStart w:id="300" w:name="_Toc178588071"/>
      <w:bookmarkStart w:id="301" w:name="_Toc530662904"/>
      <w:bookmarkStart w:id="302" w:name="_Toc531165039"/>
      <w:bookmarkStart w:id="303" w:name="_Toc187327059"/>
      <w:bookmarkStart w:id="304" w:name="_Toc178761337"/>
      <w:bookmarkStart w:id="305" w:name="rl%25252525252525252525253Akap_07%252521"/>
      <w:bookmarkEnd w:id="299"/>
      <w:bookmarkEnd w:id="305"/>
      <w:r>
        <w:rPr/>
        <w:t>Vor Aufnahme der Tätigkeit</w:t>
      </w:r>
      <w:bookmarkEnd w:id="300"/>
      <w:bookmarkEnd w:id="301"/>
      <w:bookmarkEnd w:id="302"/>
      <w:bookmarkEnd w:id="303"/>
      <w:bookmarkEnd w:id="304"/>
    </w:p>
    <w:p>
      <w:pPr>
        <w:pStyle w:val="10000-DefaultParagraph"/>
        <w:rPr/>
      </w:pPr>
      <w:r>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pPr>
      <w:bookmarkStart w:id="306" w:name="__RefHeading___Toc31980_2021121348"/>
      <w:bookmarkStart w:id="307" w:name="_Toc178588072"/>
      <w:bookmarkStart w:id="308" w:name="_Toc187327060"/>
      <w:bookmarkStart w:id="309" w:name="_Toc531165040"/>
      <w:bookmarkStart w:id="310" w:name="_Toc530662905"/>
      <w:bookmarkStart w:id="311" w:name="_Ref184204468"/>
      <w:bookmarkStart w:id="312" w:name="rl%25252525252525252525253Akap_07%252522"/>
      <w:bookmarkStart w:id="313" w:name="_Toc178761338"/>
      <w:bookmarkEnd w:id="306"/>
      <w:bookmarkEnd w:id="312"/>
      <w:r>
        <w:rPr/>
        <w:t>Aufnahme der Tätigkeit</w:t>
      </w:r>
      <w:bookmarkEnd w:id="307"/>
      <w:bookmarkEnd w:id="308"/>
      <w:bookmarkEnd w:id="309"/>
      <w:bookmarkEnd w:id="310"/>
      <w:bookmarkEnd w:id="311"/>
      <w:bookmarkEnd w:id="313"/>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_Ref178762043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im Zuge der Aufnahme der Tätigkeit eines Mitarbeiters folgende Punkte sicherstellt:</w:t>
      </w:r>
    </w:p>
    <w:p>
      <w:pPr>
        <w:pStyle w:val="10000-DefaultParagraph"/>
        <w:numPr>
          <w:ilvl w:val="0"/>
          <w:numId w:val="306"/>
        </w:numPr>
        <w:rPr/>
      </w:pPr>
      <w: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10000-DefaultParagraph"/>
        <w:numPr>
          <w:ilvl w:val="0"/>
          <w:numId w:val="307"/>
        </w:numPr>
        <w:rPr/>
      </w:pPr>
      <w:r>
        <w:rPr/>
        <w:t>Mitarbeiter werden in die IS-Leitlinie und in sämtliche für sie relevante Regelungen zur Informationssicherheit (wie z. B. in die Inhalte entsprechender Richtlinien und Verfahren) eingewiesen.</w:t>
      </w:r>
    </w:p>
    <w:p>
      <w:pPr>
        <w:pStyle w:val="10000-DefaultParagraph"/>
        <w:numPr>
          <w:ilvl w:val="0"/>
          <w:numId w:val="308"/>
        </w:numPr>
        <w:rPr/>
      </w:pPr>
      <w:r>
        <w:rPr/>
        <w:t xml:space="preserve">Mitarbeiter werden im Umgang mit den für sie relevanten Sicherheitsmaßnahmen geschult (siehe </w:t>
      </w:r>
      <w:r>
        <w:rPr>
          <w:rStyle w:val="Hyperlink"/>
          <w:color w:val="auto"/>
          <w:u w:val="none"/>
        </w:rPr>
        <w:t xml:space="preserve">Abschnitt </w:t>
      </w:r>
      <w:r>
        <w:rPr>
          <w:rStyle w:val="Hyperlink"/>
          <w:u w:val="none"/>
        </w:rPr>
        <w:fldChar w:fldCharType="begin"/>
      </w:r>
      <w:r>
        <w:rPr>
          <w:rStyle w:val="Hyperlink"/>
          <w:u w:val="none"/>
        </w:rPr>
        <w:instrText xml:space="preserve"> REF _Ref184300217 \r \r \h </w:instrText>
      </w:r>
      <w:r>
        <w:rPr>
          <w:rStyle w:val="Hyperlink"/>
          <w:u w:val="none"/>
        </w:rPr>
        <w:fldChar w:fldCharType="separate"/>
      </w:r>
      <w:r>
        <w:rPr>
          <w:rStyle w:val="Hyperlink"/>
          <w:u w:val="none"/>
        </w:rPr>
        <w:t>8.3</w:t>
      </w:r>
      <w:r>
        <w:rPr>
          <w:rStyle w:val="Hyperlink"/>
          <w:u w:val="none"/>
        </w:rPr>
        <w:fldChar w:fldCharType="end"/>
      </w:r>
      <w:r>
        <w:rPr/>
        <w:t>).</w:t>
      </w:r>
    </w:p>
    <w:p>
      <w:pPr>
        <w:pStyle w:val="10000-DefaultParagraph"/>
        <w:numPr>
          <w:ilvl w:val="0"/>
          <w:numId w:val="309"/>
        </w:numPr>
        <w:rPr/>
      </w:pPr>
      <w:r>
        <w:rPr/>
        <w:t>Mitarbeiter erhalten die benötigten IT-Ressourcen, Zugänge, Zugriffsrechte sowie physischen Zugangsmittel wie Schlüssel, Transponder, etc. und werden in deren Nutzung geschult.</w:t>
      </w:r>
    </w:p>
    <w:p>
      <w:pPr>
        <w:pStyle w:val="Heading2"/>
        <w:ind w:hanging="0" w:left="0"/>
        <w:rPr/>
      </w:pPr>
      <w:bookmarkStart w:id="314" w:name="__RefHeading___Toc31982_2021121348"/>
      <w:bookmarkStart w:id="315" w:name="_Toc531165041"/>
      <w:bookmarkStart w:id="316" w:name="_Toc530662906"/>
      <w:bookmarkStart w:id="317" w:name="_Ref184204478"/>
      <w:bookmarkStart w:id="318" w:name="_Toc178761339"/>
      <w:bookmarkStart w:id="319" w:name="beendigung_oder_wechsel_der_anstellung"/>
      <w:bookmarkStart w:id="320" w:name="rl%25252525252525252525253Akap_07%252523"/>
      <w:bookmarkStart w:id="321" w:name="_Toc178588073"/>
      <w:bookmarkStart w:id="322" w:name="_Toc187327061"/>
      <w:bookmarkEnd w:id="314"/>
      <w:bookmarkEnd w:id="320"/>
      <w:r>
        <w:rPr/>
        <w:t xml:space="preserve">Beendigung oder Wechsel der </w:t>
      </w:r>
      <w:bookmarkEnd w:id="319"/>
      <w:r>
        <w:rPr/>
        <w:t>Tätigkeit</w:t>
      </w:r>
      <w:bookmarkEnd w:id="315"/>
      <w:bookmarkEnd w:id="316"/>
      <w:bookmarkEnd w:id="317"/>
      <w:bookmarkEnd w:id="318"/>
      <w:bookmarkEnd w:id="321"/>
      <w:bookmarkEnd w:id="322"/>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_Ref178762087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bei Beendigung oder Wechsel der Tätigkeit eines Mitarbeiters folgende Punkte sicherstellt:</w:t>
      </w:r>
    </w:p>
    <w:p>
      <w:pPr>
        <w:pStyle w:val="10000-DefaultParagraph"/>
        <w:numPr>
          <w:ilvl w:val="0"/>
          <w:numId w:val="310"/>
        </w:numPr>
        <w:rPr/>
      </w:pPr>
      <w:r>
        <w:rPr/>
        <w:t>Soweit erforderlich, werden Mitarbeiter, Kunden sowie relevante externe Stellen über die Änderungen informiert.</w:t>
      </w:r>
    </w:p>
    <w:p>
      <w:pPr>
        <w:pStyle w:val="10000-DefaultParagraph"/>
        <w:numPr>
          <w:ilvl w:val="0"/>
          <w:numId w:val="311"/>
        </w:numPr>
        <w:rPr/>
      </w:pPr>
      <w:r>
        <w:rPr/>
        <w:t>Die zur Verfügung gestellten IT-Ressourcen, Zugänge und Zugriffsrechte des Mitarbeiters werden umgehend überprüft und bei Bedarf angepasst.</w:t>
      </w:r>
    </w:p>
    <w:p>
      <w:pPr>
        <w:pStyle w:val="10000-DefaultParagraph"/>
        <w:numPr>
          <w:ilvl w:val="0"/>
          <w:numId w:val="312"/>
        </w:numPr>
        <w:rPr/>
      </w:pPr>
      <w:r>
        <w:rPr/>
        <w:t>Die Zutrittsrechte des Mitarbeiters werden unverzüglich überprüft, und falls erforderlich, erfolgt die Einziehung oder Deaktivierung der physischen Zugangsmittel wie Schlüssel, Transponder etc.</w:t>
      </w:r>
    </w:p>
    <w:p>
      <w:pPr>
        <w:pStyle w:val="Heading1"/>
        <w:ind w:hanging="0" w:left="0"/>
        <w:rPr/>
      </w:pPr>
      <w:bookmarkStart w:id="323" w:name="__RefHeading___Toc31984_2021121348"/>
      <w:bookmarkStart w:id="324" w:name="_Ref184204485"/>
      <w:bookmarkStart w:id="325" w:name="_Toc531165042"/>
      <w:bookmarkStart w:id="326" w:name="rl%25252525252525252525253Akap_08%252525"/>
      <w:bookmarkStart w:id="327" w:name="_Toc187327062"/>
      <w:bookmarkStart w:id="328" w:name="wissen"/>
      <w:bookmarkStart w:id="329" w:name="_Toc178761340"/>
      <w:bookmarkStart w:id="330" w:name="_Toc178588074"/>
      <w:bookmarkStart w:id="331" w:name="_Toc530662907"/>
      <w:bookmarkEnd w:id="323"/>
      <w:bookmarkEnd w:id="326"/>
      <w:r>
        <w:rPr/>
        <w:t>Wissen</w:t>
      </w:r>
      <w:bookmarkEnd w:id="324"/>
      <w:bookmarkEnd w:id="325"/>
      <w:bookmarkEnd w:id="327"/>
      <w:bookmarkEnd w:id="328"/>
      <w:bookmarkEnd w:id="329"/>
      <w:bookmarkEnd w:id="330"/>
      <w:bookmarkEnd w:id="331"/>
    </w:p>
    <w:p>
      <w:pPr>
        <w:pStyle w:val="Heading2"/>
        <w:ind w:hanging="0" w:left="0"/>
        <w:rPr/>
      </w:pPr>
      <w:bookmarkStart w:id="332" w:name="__RefHeading___Toc31986_2021121348"/>
      <w:bookmarkStart w:id="333" w:name="_Toc187327063"/>
      <w:bookmarkEnd w:id="332"/>
      <w:r>
        <w:rPr/>
        <w:t>Grundlagen</w:t>
      </w:r>
      <w:bookmarkEnd w:id="333"/>
    </w:p>
    <w:p>
      <w:pPr>
        <w:pStyle w:val="10000-DefaultParagraph"/>
        <w:rPr/>
      </w:pPr>
      <w:r>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pPr>
      <w:bookmarkStart w:id="334" w:name="__RefHeading___Toc31988_2021121348"/>
      <w:bookmarkStart w:id="335" w:name="_Toc531165043"/>
      <w:bookmarkStart w:id="336" w:name="aktualitaet_des_wissens"/>
      <w:bookmarkStart w:id="337" w:name="rl%25252525252525252525253Akap_08%252521"/>
      <w:bookmarkStart w:id="338" w:name="_Toc530662908"/>
      <w:bookmarkStart w:id="339" w:name="_Ref184204495"/>
      <w:bookmarkStart w:id="340" w:name="_Toc187327064"/>
      <w:bookmarkStart w:id="341" w:name="_Toc178761341"/>
      <w:bookmarkStart w:id="342" w:name="_Toc178588075"/>
      <w:bookmarkEnd w:id="334"/>
      <w:bookmarkEnd w:id="337"/>
      <w:r>
        <w:rPr/>
        <w:t>Aktualität des Wissens</w:t>
      </w:r>
      <w:bookmarkEnd w:id="335"/>
      <w:bookmarkEnd w:id="336"/>
      <w:bookmarkEnd w:id="338"/>
      <w:bookmarkEnd w:id="339"/>
      <w:bookmarkEnd w:id="340"/>
      <w:bookmarkEnd w:id="341"/>
      <w:bookmarkEnd w:id="342"/>
    </w:p>
    <w:p>
      <w:pPr>
        <w:pStyle w:val="10000-Empfehlung"/>
        <w:rPr/>
      </w:pPr>
      <w:r>
        <w:rPr>
          <w:i w:val="false"/>
          <w:iCs w:val="false"/>
        </w:rPr>
        <w:t>Es MUSS ein Verfahren (siehe</w:t>
      </w:r>
      <w:r>
        <w:rPr>
          <w:i w:val="false"/>
          <w:iCs w:val="false"/>
          <w:spacing w:val="-2"/>
        </w:rPr>
        <w:t xml:space="preserve"> Anhang</w:t>
      </w:r>
      <w:r>
        <w:rPr>
          <w:i w:val="false"/>
          <w:iCs w:val="false"/>
        </w:rPr>
        <w:t xml:space="preserve"> </w:t>
      </w:r>
      <w:r>
        <w:rPr>
          <w:rStyle w:val="Hyperlink"/>
          <w:i w:val="false"/>
          <w:iCs w:val="false"/>
          <w:color w:themeColor="hyperlink" w:val="auto"/>
          <w:u w:val="none"/>
        </w:rPr>
        <w:fldChar w:fldCharType="begin"/>
      </w:r>
      <w:r>
        <w:rPr>
          <w:rStyle w:val="Hyperlink"/>
          <w:i w:val="false"/>
          <w:u w:val="none"/>
          <w:iCs w:val="false"/>
          <w:color w:themeColor="hyperlink" w:val="auto"/>
        </w:rPr>
        <w:instrText xml:space="preserve"> REF _Ref178762140 \n \n \h </w:instrText>
      </w:r>
      <w:r>
        <w:rPr>
          <w:rStyle w:val="Hyperlink"/>
          <w:i w:val="false"/>
          <w:u w:val="none"/>
          <w:iCs w:val="false"/>
          <w:color w:themeColor="hyperlink" w:val="auto"/>
        </w:rPr>
        <w:fldChar w:fldCharType="separate"/>
      </w:r>
      <w:r>
        <w:rPr>
          <w:rStyle w:val="Hyperlink"/>
          <w:i w:val="false"/>
          <w:u w:val="none"/>
          <w:iCs w:val="false"/>
          <w:color w:themeColor="hyperlink" w:val="auto"/>
        </w:rPr>
        <w:t>A.1</w:t>
      </w:r>
      <w:r>
        <w:rPr>
          <w:rStyle w:val="Hyperlink"/>
          <w:i w:val="false"/>
          <w:u w:val="none"/>
          <w:iCs w:val="false"/>
          <w:color w:themeColor="hyperlink" w:val="auto"/>
        </w:rPr>
        <w:fldChar w:fldCharType="end"/>
      </w:r>
      <w:r>
        <w:rPr>
          <w:i w:val="false"/>
          <w:iCs w:val="false"/>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10000-Empfehlung"/>
        <w:rPr/>
      </w:pPr>
      <w:r>
        <w:rPr/>
        <w:t>Das Verfahren MUSS folgende Punkte sicherstellen:</w:t>
      </w:r>
    </w:p>
    <w:p>
      <w:pPr>
        <w:pStyle w:val="10000-Empfehlung"/>
        <w:numPr>
          <w:ilvl w:val="0"/>
          <w:numId w:val="313"/>
        </w:numPr>
        <w:rPr/>
      </w:pPr>
      <w:r>
        <w:rPr/>
        <w:t>Es werden regelmäßig aus verlässlichen Quellen Informationen über die aktuellen gesetzlichen Anforderungen an die Informationssicherheit bezogen.</w:t>
      </w:r>
    </w:p>
    <w:p>
      <w:pPr>
        <w:pStyle w:val="10000-Empfehlung"/>
        <w:numPr>
          <w:ilvl w:val="0"/>
          <w:numId w:val="314"/>
        </w:numPr>
        <w:rPr/>
      </w:pPr>
      <w:r>
        <w:rPr/>
        <w:t>Es werden regelmäßig aus verlässlichen Quellen Informationen über neue Bedrohungen und Schwachstellen und über mögliche Gegenmaßnahmen bezogen.</w:t>
      </w:r>
    </w:p>
    <w:p>
      <w:pPr>
        <w:pStyle w:val="10000-Empfehlung"/>
        <w:numPr>
          <w:ilvl w:val="0"/>
          <w:numId w:val="315"/>
        </w:numPr>
        <w:rPr/>
      </w:pPr>
      <w:r>
        <w:rPr/>
        <w:t>Es findet in der Organisation ein regelmäßiger Austausch über die aktuellen betrieblichen und vertraglichen Anforderungen im Bereich der Informationssicherheit statt.</w:t>
      </w:r>
    </w:p>
    <w:p>
      <w:pPr>
        <w:pStyle w:val="10000-Empfehlung"/>
        <w:numPr>
          <w:ilvl w:val="0"/>
          <w:numId w:val="316"/>
        </w:numPr>
        <w:rPr/>
      </w:pPr>
      <w:r>
        <w:rPr/>
        <w:t>Die Informationen werden im Hinblick auf die Bedeutung für die Informationssicherheit zeitnah ausgewertet, um geänderte Gefahrenlagen zu erkennen.</w:t>
      </w:r>
    </w:p>
    <w:p>
      <w:pPr>
        <w:pStyle w:val="10000-Empfehlung"/>
        <w:numPr>
          <w:ilvl w:val="0"/>
          <w:numId w:val="317"/>
        </w:numPr>
        <w:rPr/>
      </w:pPr>
      <w:r>
        <w:rPr/>
        <w:t>Die jeweils Verantwortlichen werden über relevante Entwicklungen zeitnah informiert.</w:t>
      </w:r>
    </w:p>
    <w:p>
      <w:pPr>
        <w:pStyle w:val="10000-Empfehlung"/>
        <w:rPr/>
      </w:pPr>
      <w:r>
        <w:rPr>
          <w:rStyle w:val="Emphasis"/>
          <w:i/>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pPr>
      <w:bookmarkStart w:id="343" w:name="__RefHeading___Toc31990_2021121348"/>
      <w:bookmarkStart w:id="344" w:name="_Toc178588076"/>
      <w:bookmarkStart w:id="345" w:name="schulung_und_sensibilisierung_del_sensib"/>
      <w:bookmarkStart w:id="346" w:name="_Toc178761342"/>
      <w:bookmarkStart w:id="347" w:name="_Toc531165044"/>
      <w:bookmarkStart w:id="348" w:name="_Ref184300217"/>
      <w:bookmarkStart w:id="349" w:name="_Toc530662909"/>
      <w:bookmarkStart w:id="350" w:name="rl%25252525252525252525253Akap_08%252522"/>
      <w:bookmarkStart w:id="351" w:name="_Toc187327065"/>
      <w:bookmarkEnd w:id="343"/>
      <w:bookmarkEnd w:id="350"/>
      <w:r>
        <w:rPr/>
        <w:t>Schulung und Sensibilisierung</w:t>
      </w:r>
      <w:bookmarkEnd w:id="344"/>
      <w:bookmarkEnd w:id="345"/>
      <w:bookmarkEnd w:id="346"/>
      <w:bookmarkEnd w:id="347"/>
      <w:bookmarkEnd w:id="348"/>
      <w:bookmarkEnd w:id="349"/>
      <w:bookmarkEnd w:id="351"/>
    </w:p>
    <w:p>
      <w:pPr>
        <w:pStyle w:val="10000-DefaultParagraph"/>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implementiert werden, das folgende Punkte sicherstellt:</w:t>
      </w:r>
    </w:p>
    <w:p>
      <w:pPr>
        <w:pStyle w:val="10000-DefaultParagraph"/>
        <w:numPr>
          <w:ilvl w:val="0"/>
          <w:numId w:val="318"/>
        </w:numPr>
        <w:rPr/>
      </w:pPr>
      <w:r>
        <w:rPr/>
        <w:t>Sie werden regelmäßig sowie bei Bedarf durchgeführt.</w:t>
      </w:r>
    </w:p>
    <w:p>
      <w:pPr>
        <w:pStyle w:val="10000-DefaultParagraph"/>
        <w:numPr>
          <w:ilvl w:val="0"/>
          <w:numId w:val="319"/>
        </w:numPr>
        <w:rPr/>
      </w:pPr>
      <w:r>
        <w:rPr/>
        <w:t>Ihre Art und ihr Intervall werden zielgruppenorientiert festgelegt.</w:t>
      </w:r>
    </w:p>
    <w:p>
      <w:pPr>
        <w:pStyle w:val="10000-DefaultParagraph"/>
        <w:numPr>
          <w:ilvl w:val="0"/>
          <w:numId w:val="320"/>
        </w:numPr>
        <w:rPr/>
      </w:pPr>
      <w:r>
        <w:rPr/>
        <w:t>Sie vermitteln in ihrer Gesamtheit die Inhalte der IS-Leitlinie und sämtlicher für die Zielgruppe relevanter Regelungen zur Informationssicherheit (wie z. B. die Inhalte entsprechender IS-Richtlinien und Verfahren).</w:t>
      </w:r>
    </w:p>
    <w:p>
      <w:pPr>
        <w:pStyle w:val="10000-DefaultParagraph"/>
        <w:numPr>
          <w:ilvl w:val="0"/>
          <w:numId w:val="321"/>
        </w:numPr>
        <w:rPr/>
      </w:pPr>
      <w:r>
        <w:rPr/>
        <w:t>Sie klären über Gefährdungen auf und schulen den Umgang mit den vorhandenen Sicherheitsmaßnahmen sowie das Verhalten bei Sicherheitsvorfällen.</w:t>
      </w:r>
    </w:p>
    <w:p>
      <w:pPr>
        <w:pStyle w:val="10000-DefaultParagraph"/>
        <w:numPr>
          <w:ilvl w:val="0"/>
          <w:numId w:val="322"/>
        </w:numPr>
        <w:rPr/>
      </w:pPr>
      <w:r>
        <w:rPr/>
        <w:t>Sie vermitteln den Teilnehmern ihre Verantwortung für die Informationssicherheit und fördern bei ihnen die Akzeptanz der technischen und organisatorischen Sicherheitsmaßnahmen.</w:t>
      </w:r>
    </w:p>
    <w:p>
      <w:pPr>
        <w:pStyle w:val="10000-DefaultParagraph"/>
        <w:numPr>
          <w:ilvl w:val="0"/>
          <w:numId w:val="323"/>
        </w:numPr>
        <w:rPr/>
      </w:pPr>
      <w:r>
        <w:rPr/>
        <w:t>Ihre Inhalte und die Teilnahme an ihnen werden dokumentiert.</w:t>
      </w:r>
    </w:p>
    <w:p>
      <w:pPr>
        <w:pStyle w:val="10000-Empfehlung"/>
        <w:rPr/>
      </w:pPr>
      <w:r>
        <w:rPr>
          <w:rStyle w:val="Emphasis"/>
          <w:i/>
        </w:rPr>
        <w:t>Schulungs- und Sensibilisierungsmaßnahmen SOLLTEN mit einer Lernerfolgskontrolle abschließen, um das Verständnis der Teilnehmer und den Bedarf weiterer Schulungs- oder Sensibilisierungsmaßnahmen zu ermitteln.</w:t>
      </w:r>
    </w:p>
    <w:p>
      <w:pPr>
        <w:pStyle w:val="10000-Empfehlung"/>
        <w:rPr/>
      </w:pPr>
      <w:r>
        <w:rPr>
          <w:rStyle w:val="Emphasis"/>
          <w:i/>
        </w:rPr>
        <w:t>Schulungs- und Sensibilisierungsmaßnahmen SOLLTEN von den Teilnehmern bewertet werden, um ihren Inhalt, ihre Form und ihren Ablauf zu verbessern.</w:t>
      </w:r>
    </w:p>
    <w:p>
      <w:pPr>
        <w:pStyle w:val="Heading2"/>
        <w:ind w:hanging="0" w:left="0"/>
        <w:rPr/>
      </w:pPr>
      <w:bookmarkStart w:id="352" w:name="__RefHeading___Toc31992_2021121348"/>
      <w:bookmarkStart w:id="353" w:name="_Toc178588076_Copy_1"/>
      <w:bookmarkStart w:id="354" w:name="_Toc187327065_Copy_1"/>
      <w:bookmarkStart w:id="355" w:name="_Toc530662909_Copy_1"/>
      <w:bookmarkStart w:id="356" w:name="schulung_und_sensibilisierung_del_sensi1"/>
      <w:bookmarkStart w:id="357" w:name="rl%25252525252525252525253Akap_08%252523"/>
      <w:bookmarkStart w:id="358" w:name="_Ref184300217_Copy_1"/>
      <w:bookmarkStart w:id="359" w:name="_Toc178761342_Copy_1"/>
      <w:bookmarkStart w:id="360" w:name="_Toc531165044_Copy_1"/>
      <w:bookmarkEnd w:id="352"/>
      <w:bookmarkEnd w:id="357"/>
      <w:commentRangeStart w:id="6"/>
      <w:r>
        <w:rPr>
          <w:rStyle w:val="Emphasis"/>
        </w:rPr>
        <w:t>Schulung und Sensibilisierung des Topmanagement</w:t>
      </w:r>
      <w:bookmarkEnd w:id="353"/>
      <w:bookmarkEnd w:id="354"/>
      <w:bookmarkEnd w:id="355"/>
      <w:bookmarkEnd w:id="356"/>
      <w:bookmarkEnd w:id="358"/>
      <w:bookmarkEnd w:id="359"/>
      <w:bookmarkEnd w:id="360"/>
      <w:r>
        <w:rPr>
          <w:rStyle w:val="Emphasis"/>
        </w:rPr>
        <w:t>s</w:t>
      </w:r>
      <w:commentRangeEnd w:id="6"/>
      <w:r>
        <w:commentReference w:id="6"/>
      </w:r>
      <w:r>
        <w:rPr>
          <w:rStyle w:val="Emphasis"/>
        </w:rPr>
      </w:r>
    </w:p>
    <w:p>
      <w:pPr>
        <w:pStyle w:val="Normal"/>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für das Topmanagement implementiert werden, das folgende Punkte sicherstellt:</w:t>
      </w:r>
    </w:p>
    <w:p>
      <w:pPr>
        <w:pStyle w:val="Normal"/>
        <w:numPr>
          <w:ilvl w:val="0"/>
          <w:numId w:val="324"/>
        </w:numPr>
        <w:rPr/>
      </w:pPr>
      <w:r>
        <w:rPr/>
        <w:t>Sie werden regelmäßig sowie bei Bedarf durchgeführt.</w:t>
      </w:r>
    </w:p>
    <w:p>
      <w:pPr>
        <w:pStyle w:val="Normal"/>
        <w:numPr>
          <w:ilvl w:val="0"/>
          <w:numId w:val="325"/>
        </w:numPr>
        <w:rPr/>
      </w:pPr>
      <w:r>
        <w:rPr/>
        <w:t>Sie vermitteln in ihrer Gesamtheit Wissen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p>
    <w:p>
      <w:pPr>
        <w:pStyle w:val="Normal"/>
        <w:numPr>
          <w:ilvl w:val="0"/>
          <w:numId w:val="326"/>
        </w:numPr>
        <w:rPr/>
      </w:pPr>
      <w:r>
        <w:rPr/>
        <w:t>Sie vermitteln den Teilnehmern ihre Verantwortung für die Informationssicherheit und fördern bei ihnen die Akzeptanz der technischen und organisatorischen Sicherheitsmaßnahmen.</w:t>
      </w:r>
    </w:p>
    <w:p>
      <w:pPr>
        <w:pStyle w:val="Normal"/>
        <w:numPr>
          <w:ilvl w:val="0"/>
          <w:numId w:val="327"/>
        </w:numPr>
        <w:rPr/>
      </w:pPr>
      <w:r>
        <w:rPr/>
        <w:t>Ihre Inhalte und die Teilnahme an ihnen werden dokumentiert.</w:t>
      </w:r>
    </w:p>
    <w:p>
      <w:pPr>
        <w:pStyle w:val="Empfehlung"/>
        <w:rPr/>
      </w:pPr>
      <w:r>
        <w:rPr>
          <w:rStyle w:val="Emphasis"/>
          <w:i/>
        </w:rPr>
        <w:t>Schulungs- und Sensibilisierungsmaßnahmen für das Topmanagement SOLLTEN mit einer Lernerfolgskontrolle abschließen, um das Verständnis der Teilnehmer und den Bedarf weiterer Schulungs- oder Sensibilisierungsmaßnahmen zu ermitteln.</w:t>
      </w:r>
    </w:p>
    <w:p>
      <w:pPr>
        <w:pStyle w:val="Empfehlung"/>
        <w:rPr/>
      </w:pPr>
      <w:r>
        <w:rPr>
          <w:rStyle w:val="Emphasis"/>
          <w:i/>
        </w:rPr>
        <w:t>Die Schulungs- und Sensibiliserungsmaßnahmen für das Topmanagement SOLLTEN weiteren Zielgruppen angeboten werden, insbesondere dem ISB, Mitgliedern des IST, den IT-Verantwortlichen und den Administratoren.</w:t>
      </w:r>
    </w:p>
    <w:p>
      <w:pPr>
        <w:pStyle w:val="Heading1"/>
        <w:ind w:hanging="0" w:left="0"/>
        <w:rPr/>
      </w:pPr>
      <w:bookmarkStart w:id="361" w:name="__RefHeading___Toc31994_2021121348"/>
      <w:bookmarkStart w:id="362" w:name="_Toc530662910"/>
      <w:bookmarkStart w:id="363" w:name="_Toc178761343"/>
      <w:bookmarkStart w:id="364" w:name="_Toc531165045"/>
      <w:bookmarkStart w:id="365" w:name="_Toc178588077"/>
      <w:bookmarkStart w:id="366" w:name="rl%25252525252525252525253Akap_09%252525"/>
      <w:bookmarkStart w:id="367" w:name="_Toc187327066"/>
      <w:bookmarkStart w:id="368" w:name="identifizieren_kritischer_it-ressourcen"/>
      <w:bookmarkEnd w:id="361"/>
      <w:bookmarkEnd w:id="366"/>
      <w:r>
        <w:rPr/>
        <w:t>Identifizieren wichtiger und kritischer IT-Ressourcen</w:t>
      </w:r>
      <w:bookmarkEnd w:id="362"/>
      <w:bookmarkEnd w:id="363"/>
      <w:bookmarkEnd w:id="364"/>
      <w:bookmarkEnd w:id="365"/>
      <w:bookmarkEnd w:id="367"/>
      <w:bookmarkEnd w:id="368"/>
    </w:p>
    <w:p>
      <w:pPr>
        <w:pStyle w:val="Heading2"/>
        <w:ind w:hanging="0" w:left="0"/>
        <w:rPr/>
      </w:pPr>
      <w:bookmarkStart w:id="369" w:name="__RefHeading___Toc31996_2021121348"/>
      <w:bookmarkStart w:id="370" w:name="_Toc187327067"/>
      <w:bookmarkEnd w:id="369"/>
      <w:r>
        <w:rPr/>
        <w:t>Grundlagen</w:t>
      </w:r>
      <w:bookmarkEnd w:id="370"/>
    </w:p>
    <w:p>
      <w:pPr>
        <w:pStyle w:val="10000-DefaultParagraph"/>
        <w:rPr/>
      </w:pPr>
      <w:r>
        <w:rPr/>
        <w:t xml:space="preserve">Der ISB MUSS die </w:t>
      </w:r>
      <w:r>
        <w:rPr>
          <w:shd w:fill="auto" w:val="clear"/>
        </w:rPr>
        <w:t xml:space="preserve">wichtigen und </w:t>
      </w:r>
      <w:r>
        <w:rPr/>
        <w:t xml:space="preserve">kritischen IT-Ressourcen der Organisation ermitteln, jährlich prüfen, ob die Aufstellung der </w:t>
      </w:r>
      <w:r>
        <w:rPr>
          <w:shd w:fill="auto" w:val="clear"/>
        </w:rPr>
        <w:t xml:space="preserve">wichtigen und </w:t>
      </w:r>
      <w:r>
        <w:rPr/>
        <w:t>kritischen IT-Ressourcen aktuell ist und sie bei Bedarf anpassen.</w:t>
      </w:r>
      <w:r>
        <w:rPr/>
        <w:commentReference w:id="7"/>
      </w:r>
    </w:p>
    <w:p>
      <w:pPr>
        <w:pStyle w:val="10000-Empfehlung"/>
        <w:widowControl/>
        <w:suppressAutoHyphens w:val="false"/>
        <w:bidi w:val="0"/>
        <w:spacing w:lineRule="auto" w:line="247" w:before="0" w:after="120"/>
        <w:ind w:hanging="0" w:left="0" w:right="0"/>
        <w:jc w:val="both"/>
        <w:rPr/>
      </w:pPr>
      <w:r>
        <w:rPr>
          <w:rStyle w:val="Emphasis"/>
          <w:i w:val="false"/>
          <w:iCs w:val="false"/>
        </w:rPr>
        <w:t>Die Organisation SOLLTE deshalb</w:t>
      </w:r>
      <w:r>
        <w:fldChar w:fldCharType="begin"/>
      </w:r>
      <w:r>
        <w:rPr>
          <w:rStyle w:val="Style"/>
        </w:rPr>
        <w:instrText xml:space="preserve"> HYPERLINK "https://www.mark-semmler.de/vds/doku.php?id=3473:17_stoerungen" \l "17_stoerungen_und_ausfaelle"</w:instrText>
      </w:r>
      <w:r>
        <w:rPr>
          <w:rStyle w:val="Style"/>
        </w:rPr>
        <w:fldChar w:fldCharType="separate"/>
      </w:r>
      <w:r>
        <w:rPr>
          <w:rStyle w:val="Style"/>
        </w:rPr>
        <w:t xml:space="preserve"> eine Informationsklassifizierung auf Basis eines anerkannten Standards wie ISO/IEC 27001 oder eine Schutzbedarfsanalyse gemäß BSI-Standard </w:t>
      </w:r>
      <w:r>
        <w:rPr>
          <w:rStyle w:val="Style"/>
        </w:rPr>
        <w:fldChar w:fldCharType="end"/>
      </w:r>
      <w:r>
        <w:rPr>
          <w:rStyle w:val="Emphasis"/>
          <w:i w:val="false"/>
          <w:iCs w:val="false"/>
        </w:rPr>
        <w:t>200-2 durchführen.</w:t>
      </w:r>
    </w:p>
    <w:p>
      <w:pPr>
        <w:pStyle w:val="10000-DefaultParagraph"/>
        <w:rPr/>
      </w:pPr>
      <w:r>
        <w:rPr/>
        <w:t>Wenn eine andere Vorgehensweise gewählt wird, so MUSS hierfür ein Verfahren (siehe</w:t>
      </w:r>
      <w:r>
        <w:rPr>
          <w:spacing w:val="-2"/>
        </w:rPr>
        <w:t xml:space="preserve"> Anhang</w:t>
      </w:r>
      <w:r>
        <w:rPr/>
        <w:t xml:space="preserve"> </w:t>
      </w:r>
      <w:r>
        <w:rPr>
          <w:rStyle w:val="Hyperlink"/>
          <w:u w:val="none"/>
        </w:rPr>
        <w:fldChar w:fldCharType="begin"/>
      </w:r>
      <w:r>
        <w:rPr>
          <w:rStyle w:val="Hyperlink"/>
          <w:u w:val="none"/>
        </w:rPr>
        <w:instrText xml:space="preserve"> REF _Ref178762217 \n \n \h </w:instrText>
      </w:r>
      <w:r>
        <w:rPr>
          <w:rStyle w:val="Hyperlink"/>
          <w:u w:val="none"/>
        </w:rPr>
        <w:fldChar w:fldCharType="separate"/>
      </w:r>
      <w:r>
        <w:rPr>
          <w:rStyle w:val="Hyperlink"/>
          <w:u w:val="none"/>
        </w:rPr>
        <w:t>A.1</w:t>
      </w:r>
      <w:r>
        <w:rPr>
          <w:rStyle w:val="Hyperlink"/>
          <w:u w:val="none"/>
        </w:rPr>
        <w:fldChar w:fldCharType="end"/>
      </w:r>
      <w:r>
        <w:rPr/>
        <w:t>) implementiert werden, das die Anforderungen folgender Abschnitte erfüllt.</w:t>
      </w:r>
    </w:p>
    <w:p>
      <w:pPr>
        <w:pStyle w:val="Heading2"/>
        <w:ind w:hanging="0" w:left="0"/>
        <w:rPr/>
      </w:pPr>
      <w:bookmarkStart w:id="371" w:name="__RefHeading___Toc31998_2021121348"/>
      <w:bookmarkStart w:id="372" w:name="_Toc187327068"/>
      <w:bookmarkStart w:id="373" w:name="_Toc178588078"/>
      <w:bookmarkStart w:id="374" w:name="_Toc178761344"/>
      <w:bookmarkStart w:id="375" w:name="_Toc531165046"/>
      <w:bookmarkStart w:id="376" w:name="rl%25252525252525252525253Akap_09%252521"/>
      <w:bookmarkStart w:id="377" w:name="prozesse"/>
      <w:bookmarkStart w:id="378" w:name="_Toc530662911"/>
      <w:bookmarkEnd w:id="371"/>
      <w:bookmarkEnd w:id="376"/>
      <w:r>
        <w:rPr/>
        <w:t>Prozesse</w:t>
      </w:r>
      <w:bookmarkEnd w:id="372"/>
      <w:bookmarkEnd w:id="373"/>
      <w:bookmarkEnd w:id="374"/>
      <w:bookmarkEnd w:id="375"/>
      <w:bookmarkEnd w:id="377"/>
      <w:bookmarkEnd w:id="378"/>
    </w:p>
    <w:p>
      <w:pPr>
        <w:pStyle w:val="10000-DefaultParagraph"/>
        <w:rPr/>
      </w:pPr>
      <w:r>
        <w:rPr/>
        <w:t>Die Organisation MUSS ihre zentralen Prozesse und ihre Prozesse mit hohem Schadenpotenzial identifizieren und dokumentieren.</w:t>
      </w:r>
    </w:p>
    <w:p>
      <w:pPr>
        <w:pStyle w:val="10000-DefaultParagraph"/>
        <w:rPr/>
      </w:pPr>
      <w:r>
        <w:rPr/>
        <w:t>Die Dokumentation MUSS folgende Anforderungen erfüllen:</w:t>
      </w:r>
    </w:p>
    <w:p>
      <w:pPr>
        <w:pStyle w:val="10000-DefaultParagraph"/>
        <w:numPr>
          <w:ilvl w:val="0"/>
          <w:numId w:val="328"/>
        </w:numPr>
        <w:rPr/>
      </w:pPr>
      <w:r>
        <w:rPr/>
        <w:t>Sie enthält eine kurze Beschreibung des Prozesses.</w:t>
      </w:r>
    </w:p>
    <w:p>
      <w:pPr>
        <w:pStyle w:val="10000-DefaultParagraph"/>
        <w:numPr>
          <w:ilvl w:val="0"/>
          <w:numId w:val="329"/>
        </w:numPr>
        <w:rPr/>
      </w:pPr>
      <w:r>
        <w:rPr/>
        <w:t>Sie begründet, warum der Prozess ein zentraler Prozess bzw. ein Prozess mit hohem Schadenpotenzial ist.</w:t>
      </w:r>
    </w:p>
    <w:p>
      <w:pPr>
        <w:pStyle w:val="10000-DefaultParagraph"/>
        <w:numPr>
          <w:ilvl w:val="0"/>
          <w:numId w:val="330"/>
        </w:numPr>
        <w:rPr/>
      </w:pPr>
      <w:r>
        <w:rPr/>
        <w:t>Sie benennt, wer für den Prozess verantwortlich ist (Prozessverantwortlicher).</w:t>
      </w:r>
    </w:p>
    <w:p>
      <w:pPr>
        <w:pStyle w:val="10000-DefaultParagraph"/>
        <w:numPr>
          <w:ilvl w:val="0"/>
          <w:numId w:val="331"/>
        </w:numPr>
        <w:rPr/>
      </w:pPr>
      <w:r>
        <w:rPr/>
        <w:t>Sie definiert die maximal tolerierbare Ausfallzeit (MTA) des Prozesses.</w:t>
      </w:r>
    </w:p>
    <w:p>
      <w:pPr>
        <w:pStyle w:val="10000-DefaultParagraph"/>
        <w:rPr/>
      </w:pPr>
      <w:r>
        <w:rPr/>
        <w:t>Die Aufstellung der Prozesse und deren Dokumentation MUSS vom Topmanagement freigegeben werden.</w:t>
      </w:r>
    </w:p>
    <w:p>
      <w:pPr>
        <w:pStyle w:val="Heading2"/>
        <w:ind w:hanging="0" w:left="0"/>
        <w:rPr/>
      </w:pPr>
      <w:bookmarkStart w:id="379" w:name="__RefHeading___Toc32000_2021121348"/>
      <w:bookmarkEnd w:id="379"/>
      <w:r>
        <w:rPr/>
        <w:t>IT-Ressourcen</w:t>
      </w:r>
    </w:p>
    <w:p>
      <w:pPr>
        <w:pStyle w:val="Normal"/>
        <w:rPr/>
      </w:pPr>
      <w:r>
        <w:rPr/>
        <w:t>Der ISB MUSS die wichtigen und die kritischen IT-Ressourcen der Organisation ermitteln, jährlich prüfen, ob die Aufstellung der entsprechenden IT-Ressourcen aktuell ist und sie bei Bedarf anpassen.</w:t>
      </w:r>
    </w:p>
    <w:p>
      <w:pPr>
        <w:pStyle w:val="Empfehlung"/>
        <w:rPr/>
      </w:pPr>
      <w:r>
        <w:rPr/>
        <w:t>Zusätzlich SOLLTE der ISB die nachrangigen IT-Ressourcen der Organisation ermitteln, jährlich prüfen, ob die Aufstellung der entsprechenden IT-Ressourcen aktuell ist und sie bei Bedarf anpassen.</w:t>
      </w:r>
    </w:p>
    <w:p>
      <w:pPr>
        <w:pStyle w:val="Empfehlung"/>
        <w:rPr/>
      </w:pPr>
      <w:r>
        <w:rPr/>
        <w:t>Um nachrangige, wichtige oder kritische IT-Ressourcen zu ermitteln KANN ein Top-Down-Ansatz (prozessorientierte Sicht), ein Bottom-Up-Ansatz (systemorientierte Sicht) oder eine Mischung aus beiden verwendet werden. Eine Mischung aus beiden Ansätzen bietet die Möglichkeit, die entsprechenden IT-Ressourcen zuverlässig zu identifizieren.</w:t>
      </w:r>
    </w:p>
    <w:p>
      <w:pPr>
        <w:pStyle w:val="Heading3"/>
        <w:ind w:hanging="0" w:left="0"/>
        <w:rPr/>
      </w:pPr>
      <w:bookmarkStart w:id="380" w:name="__RefHeading___Toc32002_2021121348"/>
      <w:bookmarkEnd w:id="380"/>
      <w:r>
        <w:rPr/>
        <w:t>Nachrangige IT-Ressourcen</w:t>
      </w:r>
    </w:p>
    <w:p>
      <w:pPr>
        <w:pStyle w:val="Empfehlung"/>
        <w:rPr/>
      </w:pPr>
      <w:r>
        <w:rPr/>
        <w:t>Die Organisation SOLLTE ihre nachrangigen IT-Ressourcen (insbesondere die nachrangigen IT-Systeme, mobilen Datenträger sowie die nachrangigen Verbindungen) bestimmen und diese dokumentieren.</w:t>
      </w:r>
    </w:p>
    <w:p>
      <w:pPr>
        <w:pStyle w:val="Normal"/>
        <w:rPr/>
      </w:pPr>
      <w:r>
        <w:rPr/>
        <w:t>Nachrangige IT-Ressourcen sind IT-Ressourcen, bei der ein Sicherheitsvorfall nur zu einem vernachlässigbaren Schaden führen kann (Risikoakzeptanzgrenze, siehe Anhang A 2) und die von der restlichen IT-Infrastruktur abgeschottet sind.</w:t>
      </w:r>
    </w:p>
    <w:p>
      <w:pPr>
        <w:pStyle w:val="Heading3"/>
        <w:ind w:hanging="0" w:left="0"/>
        <w:rPr/>
      </w:pPr>
      <w:bookmarkStart w:id="381" w:name="__RefHeading___Toc32004_2021121348"/>
      <w:bookmarkEnd w:id="381"/>
      <w:r>
        <w:rPr/>
        <w:t>Wichtige IT-Ressourcen</w:t>
      </w:r>
    </w:p>
    <w:p>
      <w:pPr>
        <w:pStyle w:val="Normal"/>
        <w:rPr/>
      </w:pPr>
      <w:r>
        <w:rPr/>
        <w:t>Die Organisation MUSS ihre wichtigen IT-Ressourcen (insbesondere die wichtigen IT-Systeme, mobilen Datenträger, Verbindungen sowie die wichtige Individualsoftware) bestimmen und diese dokumentieren.</w:t>
      </w:r>
    </w:p>
    <w:p>
      <w:pPr>
        <w:pStyle w:val="Normal"/>
        <w:rPr/>
      </w:pPr>
      <w:r>
        <w:rPr/>
        <w:t>Wichtige IT-Ressourcen sind IT-Ressourcen, die für den Betrieb eines zentralen Prozesses oder eines Prozesses mit hohem Schadenspotential (siehe Abschnitt 9.2) zwingend benötigt werden.</w:t>
      </w:r>
    </w:p>
    <w:p>
      <w:pPr>
        <w:pStyle w:val="Normal"/>
        <w:rPr/>
      </w:pPr>
      <w:r>
        <w:rPr/>
        <w:t>Die Dokumentation MUSS folgende Anforderungen erfüllen:</w:t>
      </w:r>
    </w:p>
    <w:p>
      <w:pPr>
        <w:pStyle w:val="Liste1"/>
        <w:numPr>
          <w:ilvl w:val="0"/>
          <w:numId w:val="332"/>
        </w:numPr>
        <w:rPr/>
      </w:pPr>
      <w:r>
        <w:rPr/>
        <w:t>Sie enthält eine kurze Beschreibung der IT-Ressource.</w:t>
      </w:r>
    </w:p>
    <w:p>
      <w:pPr>
        <w:pStyle w:val="Liste1"/>
        <w:numPr>
          <w:ilvl w:val="0"/>
          <w:numId w:val="333"/>
        </w:numPr>
        <w:rPr/>
      </w:pPr>
      <w:r>
        <w:rPr/>
        <w:t>Sie begründet, warum die IT-Ressource wichtig ist.</w:t>
      </w:r>
    </w:p>
    <w:p>
      <w:pPr>
        <w:pStyle w:val="Liste1"/>
        <w:numPr>
          <w:ilvl w:val="0"/>
          <w:numId w:val="334"/>
        </w:numPr>
        <w:rPr/>
      </w:pPr>
      <w:r>
        <w:rPr/>
        <w:t>Sie enthält diemaximal tolerierbare Ausfallzeit (MTA) der IT-Ressource.</w:t>
      </w:r>
    </w:p>
    <w:p>
      <w:pPr>
        <w:pStyle w:val="Normal"/>
        <w:rPr/>
      </w:pPr>
      <w:r>
        <w:rPr/>
        <w:t>Die MTA MUSS ebenso kurz oder kürzer sein, als die kürzeste MTA aller zentralen Prozesse und Prozesse mit hohem Schadenspotential (siehe Abschnitt 9.2), die von der wichtigen IT-Ressource direkt oder indirekt abhängig sind.</w:t>
      </w:r>
    </w:p>
    <w:p>
      <w:pPr>
        <w:pStyle w:val="Empfehlung"/>
        <w:rPr/>
      </w:pPr>
      <w:r>
        <w:rPr/>
        <w:t>Bei der Bestimmung der MTA SOLLTEN Abhängigkeiten zwischen wichtigen IT-Ressourcen berücksichtigt werden.</w:t>
      </w:r>
    </w:p>
    <w:p>
      <w:pPr>
        <w:pStyle w:val="Normal"/>
        <w:rPr/>
      </w:pPr>
      <w:r>
        <w:rPr/>
        <w:t>Die Aufstellung der wichtigen IT-Ressourcen und deren Dokumentation MUSS vom IT-Verantwortlichen freigegeben werden.</w:t>
      </w:r>
    </w:p>
    <w:p>
      <w:pPr>
        <w:pStyle w:val="Heading3"/>
        <w:ind w:hanging="0" w:left="0"/>
        <w:rPr/>
      </w:pPr>
      <w:bookmarkStart w:id="382" w:name="__RefHeading___Toc32006_2021121348"/>
      <w:bookmarkStart w:id="383" w:name="_Toc187327069"/>
      <w:bookmarkStart w:id="384" w:name="_Toc178761345"/>
      <w:bookmarkStart w:id="385" w:name="_Ref178762340"/>
      <w:bookmarkStart w:id="386" w:name="_Ref178762353"/>
      <w:bookmarkStart w:id="387" w:name="_Toc178588079"/>
      <w:bookmarkStart w:id="388" w:name="rl%25252525252525252525253Akap_09%252522"/>
      <w:bookmarkEnd w:id="382"/>
      <w:bookmarkEnd w:id="388"/>
      <w:r>
        <w:rPr/>
        <w:t xml:space="preserve">Kritische </w:t>
      </w:r>
      <w:bookmarkStart w:id="389" w:name="_Toc531165047"/>
      <w:bookmarkStart w:id="390" w:name="_Ref530719418"/>
      <w:bookmarkStart w:id="391" w:name="_Toc530662912"/>
      <w:r>
        <w:rPr/>
        <w:t>Informationen</w:t>
      </w:r>
      <w:bookmarkEnd w:id="383"/>
      <w:bookmarkEnd w:id="384"/>
      <w:bookmarkEnd w:id="385"/>
      <w:bookmarkEnd w:id="386"/>
      <w:bookmarkEnd w:id="387"/>
      <w:bookmarkEnd w:id="389"/>
      <w:bookmarkEnd w:id="390"/>
      <w:bookmarkEnd w:id="391"/>
    </w:p>
    <w:p>
      <w:pPr>
        <w:pStyle w:val="10000-DefaultParagraph"/>
        <w:rPr/>
      </w:pPr>
      <w:r>
        <w:rPr/>
        <w:t>Die Organisation MUSS ermitteln, ob sie kritische Informationen verarbeitet, überträgt und/oder speichert und diese dokumentieren.</w:t>
      </w:r>
    </w:p>
    <w:p>
      <w:pPr>
        <w:pStyle w:val="10000-DefaultParagraph"/>
        <w:rPr/>
      </w:pPr>
      <w:r>
        <w:rPr/>
        <w:t>Kritische Informationen sind Informationen, bei denen folgende Faktoren zu katastrophalen Schäden führen können:</w:t>
      </w:r>
    </w:p>
    <w:p>
      <w:pPr>
        <w:pStyle w:val="10000-DefaultParagraph"/>
        <w:numPr>
          <w:ilvl w:val="0"/>
          <w:numId w:val="335"/>
        </w:numPr>
        <w:rPr/>
      </w:pPr>
      <w:r>
        <w:rPr/>
        <w:t xml:space="preserve">Unberechtigte Einsicht, Kenntnisnahme oder Weitergabe (Kriterium </w:t>
      </w:r>
      <w:r>
        <w:rPr>
          <w:i/>
          <w:iCs/>
        </w:rPr>
        <w:t>Vertraulichkeit</w:t>
      </w:r>
      <w:r>
        <w:rPr/>
        <w:t>)</w:t>
      </w:r>
    </w:p>
    <w:p>
      <w:pPr>
        <w:pStyle w:val="10000-DefaultParagraph"/>
        <w:numPr>
          <w:ilvl w:val="0"/>
          <w:numId w:val="336"/>
        </w:numPr>
        <w:rPr/>
      </w:pPr>
      <w:r>
        <w:rPr/>
        <w:t xml:space="preserve">Verfälschung (Kriterium </w:t>
      </w:r>
      <w:r>
        <w:rPr>
          <w:i/>
          <w:iCs/>
        </w:rPr>
        <w:t>Integrität</w:t>
      </w:r>
      <w:r>
        <w:rPr/>
        <w:t>)</w:t>
      </w:r>
    </w:p>
    <w:p>
      <w:pPr>
        <w:pStyle w:val="10000-DefaultParagraph"/>
        <w:numPr>
          <w:ilvl w:val="0"/>
          <w:numId w:val="337"/>
        </w:numPr>
        <w:rPr/>
      </w:pPr>
      <w:r>
        <w:rPr/>
        <w:t xml:space="preserve">Datenverlust von weniger als 24 Stunden (Kriterium </w:t>
      </w:r>
      <w:r>
        <w:rPr>
          <w:i/>
          <w:iCs/>
        </w:rPr>
        <w:t>Maximal tolerierbarer Datenverlust – MTD</w:t>
      </w:r>
      <w:r>
        <w:rPr/>
        <w:t>)</w:t>
      </w:r>
    </w:p>
    <w:p>
      <w:pPr>
        <w:pStyle w:val="10000-DefaultParagraph"/>
        <w:numPr>
          <w:ilvl w:val="0"/>
          <w:numId w:val="338"/>
        </w:numPr>
        <w:rPr/>
      </w:pPr>
      <w:r>
        <w:rPr/>
        <w:t xml:space="preserve">Nichtverfügbarkeit im Echtzeitbetrieb (Kriterium </w:t>
      </w:r>
      <w:r>
        <w:rPr>
          <w:i/>
          <w:iCs/>
        </w:rPr>
        <w:t>Zugesicherte Verfügbarkeit</w:t>
      </w:r>
      <w:r>
        <w:rPr/>
        <w:t>)</w:t>
      </w:r>
    </w:p>
    <w:p>
      <w:pPr>
        <w:pStyle w:val="10000-DefaultParagraph"/>
        <w:rPr/>
      </w:pPr>
      <w:r>
        <w:rPr/>
        <w:t xml:space="preserve">Hierfür MÜSSEN die zentralen Prozesse und die Prozesse mit hohem Schadenspotential (siehe Abschnitt </w:t>
      </w:r>
      <w:r>
        <w:rPr/>
        <w:fldChar w:fldCharType="begin"/>
      </w:r>
      <w:r>
        <w:rPr/>
        <w:instrText xml:space="preserve"> REF prozesse \n \n \h </w:instrText>
      </w:r>
      <w:r>
        <w:rPr/>
        <w:fldChar w:fldCharType="separate"/>
      </w:r>
      <w:r>
        <w:rPr/>
        <w:t>9.2</w:t>
      </w:r>
      <w:r>
        <w:rPr/>
        <w:fldChar w:fldCharType="end"/>
      </w:r>
      <w:r>
        <w:rPr/>
        <w:t>) untersucht werden.</w:t>
      </w:r>
    </w:p>
    <w:p>
      <w:pPr>
        <w:pStyle w:val="10000-DefaultParagraph"/>
        <w:rPr/>
      </w:pPr>
      <w:r>
        <w:rPr/>
        <w:t>Die Dokumentation MUSS folgende Anforderungen erfüllen:</w:t>
      </w:r>
    </w:p>
    <w:p>
      <w:pPr>
        <w:pStyle w:val="10000-DefaultParagraph"/>
        <w:numPr>
          <w:ilvl w:val="0"/>
          <w:numId w:val="30"/>
        </w:numPr>
        <w:rPr>
          <w:spacing w:val="-3"/>
        </w:rPr>
      </w:pPr>
      <w:r>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i/>
          <w:i/>
        </w:rPr>
      </w:pPr>
      <w:r>
        <w:rPr>
          <w:rStyle w:val="Emphasis"/>
          <w:i/>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30"/>
        </w:numPr>
        <w:rPr/>
      </w:pPr>
      <w:r>
        <w:rPr/>
        <w:t>Sie begründet, warum die Informationen kritisch sind.</w:t>
      </w:r>
    </w:p>
    <w:p>
      <w:pPr>
        <w:pStyle w:val="10000-DefaultParagraph"/>
        <w:rPr/>
      </w:pPr>
      <w:r>
        <w:rPr/>
        <w:t>Die Aufstellung der kritischen Informationen und deren Dokumentation MUSS vom Topmanagement freigegeben werden.</w:t>
      </w:r>
    </w:p>
    <w:p>
      <w:pPr>
        <w:pStyle w:val="Heading3"/>
        <w:ind w:hanging="0" w:left="0"/>
        <w:rPr/>
      </w:pPr>
      <w:bookmarkStart w:id="392" w:name="__RefHeading___Toc32008_2021121348"/>
      <w:bookmarkStart w:id="393" w:name="_Toc187327070"/>
      <w:bookmarkStart w:id="394" w:name="_Ref184201031"/>
      <w:bookmarkStart w:id="395" w:name="_Ref184201086"/>
      <w:bookmarkStart w:id="396" w:name="_Ref184200952"/>
      <w:bookmarkStart w:id="397" w:name="_Ref179186143"/>
      <w:bookmarkStart w:id="398" w:name="_Toc178761346"/>
      <w:bookmarkStart w:id="399" w:name="_Toc178588080"/>
      <w:bookmarkStart w:id="400" w:name="rl%25252525252525252525253Akap_09%252523"/>
      <w:bookmarkEnd w:id="392"/>
      <w:bookmarkEnd w:id="400"/>
      <w:r>
        <w:rPr/>
        <w:t xml:space="preserve">Kritische </w:t>
      </w:r>
      <w:bookmarkStart w:id="401" w:name="it-ressourcen_del_it-systeme_mobile_date"/>
      <w:bookmarkStart w:id="402" w:name="_Toc531165048"/>
      <w:bookmarkStart w:id="403" w:name="_Toc530662913"/>
      <w:r>
        <w:rPr/>
        <w:t>IT-Ressourcen</w:t>
      </w:r>
      <w:bookmarkEnd w:id="393"/>
      <w:bookmarkEnd w:id="394"/>
      <w:bookmarkEnd w:id="395"/>
      <w:bookmarkEnd w:id="396"/>
      <w:bookmarkEnd w:id="397"/>
      <w:bookmarkEnd w:id="398"/>
      <w:bookmarkEnd w:id="399"/>
      <w:bookmarkEnd w:id="401"/>
      <w:bookmarkEnd w:id="402"/>
      <w:bookmarkEnd w:id="403"/>
    </w:p>
    <w:p>
      <w:pPr>
        <w:pStyle w:val="10000-DefaultParagraph"/>
        <w:rPr/>
      </w:pPr>
      <w:r>
        <w:rPr/>
        <w:t>Die Organisation MUSS ihre kritischen IT-Ressourcen (insbesondere die kritischen IT-Systeme, die kritischen mobilen Datenträger, die kritischen Verbindungen sowie die kritische Individualsoftware) bestimmen und diese dokumentieren.</w:t>
      </w:r>
    </w:p>
    <w:p>
      <w:pPr>
        <w:pStyle w:val="10000-DefaultParagraph"/>
        <w:rPr/>
      </w:pPr>
      <w:r>
        <w:rPr/>
        <w:t>Kritische IT-Ressourcen sind IT-Ressourcen, die kritische Informationen (siehe Abschnitt </w:t>
      </w:r>
      <w:r>
        <w:rPr/>
        <w:fldChar w:fldCharType="begin"/>
      </w:r>
      <w:r>
        <w:rPr/>
        <w:instrText xml:space="preserve"> REF _Ref178762340 \n \n \h </w:instrText>
      </w:r>
      <w:r>
        <w:rPr/>
        <w:fldChar w:fldCharType="separate"/>
      </w:r>
      <w:r>
        <w:rPr/>
        <w:t>9.3.3</w:t>
      </w:r>
      <w:r>
        <w:rPr/>
        <w:fldChar w:fldCharType="end"/>
      </w:r>
      <w:r>
        <w:rPr/>
        <w:t>) verarbeiten, speichern oder übertragen oder die für den Betrieb von kritischen IT-Ressourcen zwingend benötigt werden</w:t>
      </w:r>
      <w:r>
        <w:rPr>
          <w:shd w:fill="auto" w:val="clear"/>
        </w:rPr>
        <w:t xml:space="preserve"> und sind eine Untermenge der wichtigen IT-Ressourcen.</w:t>
      </w:r>
    </w:p>
    <w:p>
      <w:pPr>
        <w:pStyle w:val="10000-DefaultParagraph"/>
        <w:rPr/>
      </w:pPr>
      <w:r>
        <w:rPr/>
        <w:t xml:space="preserve">Hierfür MÜSSEN die kritischen Informationen (siehe Abschnitt </w:t>
      </w:r>
      <w:r>
        <w:rPr/>
        <w:fldChar w:fldCharType="begin"/>
      </w:r>
      <w:r>
        <w:rPr/>
        <w:instrText xml:space="preserve"> REF _Ref178762353 \n \n \h </w:instrText>
      </w:r>
      <w:r>
        <w:rPr/>
        <w:fldChar w:fldCharType="separate"/>
      </w:r>
      <w:r>
        <w:rPr/>
        <w:t>9.3.3</w:t>
      </w:r>
      <w:r>
        <w:rPr/>
        <w:fldChar w:fldCharType="end"/>
      </w:r>
      <w:r>
        <w:rPr/>
        <w:t>) untersucht werden.</w:t>
      </w:r>
    </w:p>
    <w:p>
      <w:pPr>
        <w:pStyle w:val="Empfehlung"/>
        <w:rPr/>
      </w:pPr>
      <w:r>
        <w:rPr/>
        <w:t>Dabei SOLLTE der gesamte Lebensweg der kritischen Informationen berücksichtigt werden.</w:t>
      </w:r>
    </w:p>
    <w:p>
      <w:pPr>
        <w:pStyle w:val="10000-DefaultParagraph"/>
        <w:rPr/>
      </w:pPr>
      <w:r>
        <w:rPr/>
        <w:t>Die Dokumentation MUSS folgende Anforderungen erfüllen:</w:t>
      </w:r>
    </w:p>
    <w:p>
      <w:pPr>
        <w:pStyle w:val="10000-DefaultParagraph"/>
        <w:numPr>
          <w:ilvl w:val="0"/>
          <w:numId w:val="339"/>
        </w:numPr>
        <w:rPr/>
      </w:pPr>
      <w:r>
        <w:rPr/>
        <w:t>Sie enthält eine kurze Beschreibung der kritischen IT-Ressource.</w:t>
      </w:r>
    </w:p>
    <w:p>
      <w:pPr>
        <w:pStyle w:val="10000-DefaultParagraph"/>
        <w:numPr>
          <w:ilvl w:val="0"/>
          <w:numId w:val="340"/>
        </w:numPr>
        <w:rPr/>
      </w:pPr>
      <w:r>
        <w:rPr/>
        <w:t>Sie begründet, warum die IT-Ressource kritisch ist.</w:t>
      </w:r>
    </w:p>
    <w:p>
      <w:pPr>
        <w:pStyle w:val="10000-DefaultParagraph"/>
        <w:numPr>
          <w:ilvl w:val="0"/>
          <w:numId w:val="341"/>
        </w:numPr>
        <w:rPr/>
      </w:pPr>
      <w:r>
        <w:rPr/>
      </w:r>
    </w:p>
    <w:p>
      <w:pPr>
        <w:pStyle w:val="10000-DefaultParagraph"/>
        <w:rPr/>
      </w:pPr>
      <w:r>
        <w:rPr/>
        <w:commentReference w:id="8"/>
      </w:r>
    </w:p>
    <w:p>
      <w:pPr>
        <w:pStyle w:val="10000-Empfehlung"/>
        <w:rPr>
          <w:rStyle w:val="Emphasis"/>
          <w:i/>
          <w:i/>
        </w:rPr>
      </w:pPr>
      <w:r>
        <w:rPr>
          <w:i/>
        </w:rPr>
      </w:r>
    </w:p>
    <w:p>
      <w:pPr>
        <w:pStyle w:val="10000-DefaultParagraph"/>
        <w:rPr/>
      </w:pPr>
      <w:r>
        <w:rPr/>
        <w:t>Die Aufstellung der kritischen IT-Ressourcen und deren Dokumentation MUSS vom IT-Verantwortlichen freigegeben werden.</w:t>
      </w:r>
    </w:p>
    <w:p>
      <w:pPr>
        <w:pStyle w:val="Heading3"/>
        <w:ind w:hanging="0" w:left="0"/>
        <w:rPr/>
      </w:pPr>
      <w:bookmarkStart w:id="404" w:name="__RefHeading___Toc32010_2021121348"/>
      <w:bookmarkEnd w:id="404"/>
      <w:r>
        <w:rPr/>
        <w:t>Weitere Kategorien von IT-Ressourcen</w:t>
      </w:r>
    </w:p>
    <w:p>
      <w:pPr>
        <w:pStyle w:val="Empfehlung"/>
        <w:rPr/>
      </w:pPr>
      <w:r>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2"/>
        <w:ind w:hanging="0" w:left="0"/>
        <w:rPr/>
      </w:pPr>
      <w:bookmarkStart w:id="405" w:name="__RefHeading___Toc42875_2021121348"/>
      <w:bookmarkEnd w:id="405"/>
      <w:r>
        <w:rPr/>
        <w:t>Lieferanten</w:t>
      </w:r>
    </w:p>
    <w:p>
      <w:pPr>
        <w:pStyle w:val="Normal"/>
        <w:rPr/>
      </w:pPr>
      <w:r>
        <w:rPr/>
        <w:t>Die Organisation MUSS ihre wichtigen und die kritischen Lieferanten ermitteln, jährlich prüfen, ob die entsprechende Aufstellung aktuell ist und sie bei Bedarf anpassen.</w:t>
      </w:r>
    </w:p>
    <w:p>
      <w:pPr>
        <w:pStyle w:val="Empfehlung"/>
        <w:rPr/>
      </w:pPr>
      <w:r>
        <w:rPr/>
        <w:t>Um wichtige oder kritische Lieferanten zu ermitteln KANN ein Top-Down-Ansatz (prozessorientierte Sicht), ein Bottom-Up-Ansatz (systemorientierte Sicht) oder eine Mischung aus beiden verwendet werden. Eine Mischung aus beiden Ansätzen bietet die Möglichkeit, die entsprechenden Lieferanten zuverlässig zu identifizieren.</w:t>
      </w:r>
    </w:p>
    <w:p>
      <w:pPr>
        <w:pStyle w:val="Heading3"/>
        <w:ind w:hanging="0" w:left="0"/>
        <w:rPr/>
      </w:pPr>
      <w:r>
        <w:rPr/>
        <w:t>Vernachlässigbare Lieferanten</w:t>
      </w:r>
    </w:p>
    <w:p>
      <w:pPr>
        <w:pStyle w:val="Normal"/>
        <w:rPr/>
      </w:pPr>
      <w:r>
        <w:rPr/>
        <w:t>FIXME (DISKUSSION)</w:t>
      </w:r>
    </w:p>
    <w:p>
      <w:pPr>
        <w:pStyle w:val="Heading3"/>
        <w:ind w:hanging="0" w:left="0"/>
        <w:rPr/>
      </w:pPr>
      <w:bookmarkStart w:id="406" w:name="__RefHeading___Toc42877_2021121348"/>
      <w:bookmarkEnd w:id="406"/>
      <w:r>
        <w:rPr/>
        <w:t>Wichtige Lieferanten</w:t>
      </w:r>
    </w:p>
    <w:p>
      <w:pPr>
        <w:pStyle w:val="Normal"/>
        <w:rPr/>
      </w:pPr>
      <w:r>
        <w:rPr/>
        <w:t>Die Organisation MUSS ihre wichtigen Lieferanten bestimmen und dokumentieren.</w:t>
      </w:r>
    </w:p>
    <w:p>
      <w:pPr>
        <w:pStyle w:val="Normal"/>
        <w:rPr/>
      </w:pPr>
      <w:r>
        <w:rPr/>
        <w:t>Wichtige Lieferanten sind Lieferanten, die IT-Produkte oder IT-Dienstleistungen die für den Betrieb eines zentralen Prozesses oder eines Prozesses mit hohem Schadenspotential (siehe Abschnitt &lt;FIXME&gt;</w:t>
      </w:r>
      <w:r>
        <w:rPr/>
        <w:commentReference w:id="9"/>
      </w:r>
      <w:r>
        <w:rPr/>
        <w:t>) zwingend benötigt werden liefern oder die Zugriff auf wichtige IT-Ressourcen besitzen.</w:t>
      </w:r>
    </w:p>
    <w:p>
      <w:pPr>
        <w:pStyle w:val="Normal"/>
        <w:rPr/>
      </w:pPr>
      <w:r>
        <w:rPr/>
        <w:t>Die Dokumentation MUSS folgende Anforderungen erfüllen:</w:t>
      </w:r>
    </w:p>
    <w:p>
      <w:pPr>
        <w:pStyle w:val="Liste1"/>
        <w:numPr>
          <w:ilvl w:val="0"/>
          <w:numId w:val="342"/>
        </w:numPr>
        <w:rPr/>
      </w:pPr>
      <w:r>
        <w:rPr/>
        <w:t>Sie enthält eine kurze Beschreibung des Lieferanten und eine Aufstellung der wichtigen Waren und Dienstleistungen.</w:t>
      </w:r>
    </w:p>
    <w:p>
      <w:pPr>
        <w:pStyle w:val="Liste1"/>
        <w:numPr>
          <w:ilvl w:val="0"/>
          <w:numId w:val="343"/>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wichtigen Lieferanten berücksichtigt werden.</w:t>
      </w:r>
    </w:p>
    <w:p>
      <w:pPr>
        <w:pStyle w:val="Normal"/>
        <w:rPr/>
      </w:pPr>
      <w:r>
        <w:rPr/>
        <w:t>Die Aufstellung der wichtigen Lieferanten und deren Dokumentation MUSS von den jeweiligen Prozessverantwortlichen freigegeben werden.</w:t>
      </w:r>
    </w:p>
    <w:p>
      <w:pPr>
        <w:pStyle w:val="Heading3"/>
        <w:ind w:hanging="0" w:left="0"/>
        <w:rPr/>
      </w:pPr>
      <w:bookmarkStart w:id="407" w:name="__RefHeading___Toc42879_2021121348"/>
      <w:bookmarkEnd w:id="407"/>
      <w:r>
        <w:rPr/>
        <w:t>Kritische Lieferanten</w:t>
      </w:r>
    </w:p>
    <w:p>
      <w:pPr>
        <w:pStyle w:val="Normal"/>
        <w:rPr/>
      </w:pPr>
      <w:r>
        <w:rPr/>
        <w:t>Die Organisation MUSS ihre kritischen Lieferanten bestimmen und dokumentieren.</w:t>
      </w:r>
    </w:p>
    <w:p>
      <w:pPr>
        <w:pStyle w:val="Normal"/>
        <w:rPr/>
      </w:pPr>
      <w:r>
        <w:rPr/>
        <w:t>Kritische Lieferanten sind Lieferanten, bei denen ein Sicherheitsvorfall zu einem katastrophalen Schaden für die Organisation führen kann.</w:t>
      </w:r>
    </w:p>
    <w:p>
      <w:pPr>
        <w:pStyle w:val="Normal"/>
        <w:rPr/>
      </w:pPr>
      <w:r>
        <w:rPr/>
        <w:t>Hierfür MÜSSEN die kritischen Informationen (siehe Abschnitt &lt;FIXME&gt;</w:t>
      </w:r>
      <w:r>
        <w:rPr/>
        <w:commentReference w:id="10"/>
      </w:r>
      <w:r>
        <w:rPr/>
        <w:t>) und die kritischen IT-Ressourcen (siehe Abschnitt &lt;FIXME&gt;</w:t>
      </w:r>
      <w:r>
        <w:rPr/>
        <w:commentReference w:id="11"/>
      </w:r>
      <w:r>
        <w:rPr/>
        <w:t>) untersucht werden.</w:t>
      </w:r>
    </w:p>
    <w:p>
      <w:pPr>
        <w:pStyle w:val="Normal"/>
        <w:rPr/>
      </w:pPr>
      <w:r>
        <w:rPr/>
        <w:t>Die Dokumentation MUSS folgende Anforderungen erfüllen:</w:t>
      </w:r>
    </w:p>
    <w:p>
      <w:pPr>
        <w:pStyle w:val="Liste1"/>
        <w:numPr>
          <w:ilvl w:val="0"/>
          <w:numId w:val="344"/>
        </w:numPr>
        <w:rPr/>
      </w:pPr>
      <w:r>
        <w:rPr/>
        <w:t>Sie enthält eine kurze Beschreibung des Lieferanten und eine Aufstellung der wichtigen Waren und Dienstleistungen.</w:t>
      </w:r>
    </w:p>
    <w:p>
      <w:pPr>
        <w:pStyle w:val="Liste1"/>
        <w:numPr>
          <w:ilvl w:val="0"/>
          <w:numId w:val="345"/>
        </w:numPr>
        <w:rPr/>
      </w:pPr>
      <w:r>
        <w:rPr/>
        <w:t>Sie begründet, warum der Lieferant kritisch ist.</w:t>
      </w:r>
    </w:p>
    <w:p>
      <w:pPr>
        <w:pStyle w:val="Liste1"/>
        <w:numPr>
          <w:ilvl w:val="0"/>
          <w:numId w:val="346"/>
        </w:numPr>
        <w:rPr/>
      </w:pPr>
      <w:commentRangeStart w:id="12"/>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kritischen Lieferanten berücksichtigt werden.</w:t>
      </w:r>
      <w:commentRangeEnd w:id="12"/>
      <w:r>
        <w:commentReference w:id="12"/>
      </w:r>
      <w:r>
        <w:rPr/>
      </w:r>
    </w:p>
    <w:p>
      <w:pPr>
        <w:pStyle w:val="Normal"/>
        <w:rPr/>
      </w:pPr>
      <w:r>
        <w:rPr/>
        <w:t>Die Aufstellung der kritischen Lieferanten und deren Dokumentation MUSS vom IT-Verantwortlichen freigegeben werden.</w:t>
      </w:r>
    </w:p>
    <w:p>
      <w:pPr>
        <w:pStyle w:val="Heading3"/>
        <w:ind w:hanging="0" w:left="0"/>
        <w:rPr/>
      </w:pPr>
      <w:bookmarkStart w:id="408" w:name="__RefHeading___Toc42881_2021121348"/>
      <w:bookmarkEnd w:id="408"/>
      <w:r>
        <w:rPr/>
        <w:t>Weitere Kategorien von Lieferanten</w:t>
      </w:r>
    </w:p>
    <w:p>
      <w:pPr>
        <w:pStyle w:val="Empfehlung"/>
        <w:rPr/>
      </w:pPr>
      <w:r>
        <w:rPr/>
        <w:t>Die Organisation SOLLTE prüfen, ob es notwendig oder sinnvoll ist, im Zuge des Risikomanagements weitere Kategorien von Lieferanten zu definieren, diese zyklisch oder fortlaufend zu erfassen und mit ihnen individuelle technische und organisatorische Maßnahmen für die Absicherung ihrer Informationsverarbeitung zu vereinbaren.</w:t>
      </w:r>
    </w:p>
    <w:p>
      <w:pPr>
        <w:pStyle w:val="Heading1"/>
        <w:ind w:hanging="0" w:left="0"/>
        <w:rPr/>
      </w:pPr>
      <w:bookmarkStart w:id="409" w:name="__RefHeading___Toc32012_2021121348"/>
      <w:bookmarkStart w:id="410" w:name="rl%25252525252525252525253Akap_10%252525"/>
      <w:bookmarkStart w:id="411" w:name="_Toc178761347"/>
      <w:bookmarkStart w:id="412" w:name="_Toc178588081"/>
      <w:bookmarkStart w:id="413" w:name="it-systeme"/>
      <w:bookmarkStart w:id="414" w:name="_Toc187327071"/>
      <w:bookmarkStart w:id="415" w:name="_Toc531165049"/>
      <w:bookmarkStart w:id="416" w:name="_Toc530662914"/>
      <w:bookmarkEnd w:id="409"/>
      <w:bookmarkEnd w:id="410"/>
      <w:r>
        <w:rPr/>
        <w:t>IT-Systeme</w:t>
      </w:r>
      <w:bookmarkEnd w:id="411"/>
      <w:bookmarkEnd w:id="412"/>
      <w:bookmarkEnd w:id="413"/>
      <w:bookmarkEnd w:id="414"/>
      <w:bookmarkEnd w:id="415"/>
      <w:bookmarkEnd w:id="416"/>
    </w:p>
    <w:p>
      <w:pPr>
        <w:pStyle w:val="Heading2"/>
        <w:ind w:hanging="0" w:left="0"/>
        <w:rPr/>
      </w:pPr>
      <w:bookmarkStart w:id="417" w:name="__RefHeading___Toc32014_2021121348"/>
      <w:bookmarkStart w:id="418" w:name="_Toc187327072"/>
      <w:bookmarkEnd w:id="417"/>
      <w:r>
        <w:rPr/>
        <w:t>Grundlagen</w:t>
      </w:r>
      <w:bookmarkEnd w:id="418"/>
    </w:p>
    <w:p>
      <w:pPr>
        <w:pStyle w:val="10000-DefaultParagraph"/>
        <w:rPr/>
      </w:pPr>
      <w:r>
        <w:rPr/>
        <w:t>Die Informationsverarbeitung einer Organisation geschieht zum größten Teil elektronisch. Es ist notwendig, IT-Systeme strukturiert zu verwalten und abzusichern.</w:t>
      </w:r>
    </w:p>
    <w:p>
      <w:pPr>
        <w:pStyle w:val="Heading2"/>
        <w:ind w:hanging="0" w:left="0"/>
        <w:rPr/>
      </w:pPr>
      <w:bookmarkStart w:id="419" w:name="__RefHeading___Toc32016_2021121348"/>
      <w:bookmarkStart w:id="420" w:name="_Ref179186163"/>
      <w:bookmarkStart w:id="421" w:name="rl%25252525252525252525253Akap_10%252521"/>
      <w:bookmarkStart w:id="422" w:name="_Toc187327073"/>
      <w:bookmarkStart w:id="423" w:name="_Toc178588082"/>
      <w:bookmarkStart w:id="424" w:name="_Toc530662915"/>
      <w:bookmarkStart w:id="425" w:name="inventarisierung_und_dokumentation"/>
      <w:bookmarkStart w:id="426" w:name="_Toc531165050"/>
      <w:bookmarkStart w:id="427" w:name="_Toc178761348"/>
      <w:bookmarkStart w:id="428" w:name="_Ref179186274"/>
      <w:bookmarkEnd w:id="419"/>
      <w:bookmarkEnd w:id="421"/>
      <w:r>
        <w:rPr/>
        <w:t>Inventarisierung</w:t>
      </w:r>
      <w:bookmarkEnd w:id="420"/>
      <w:bookmarkEnd w:id="422"/>
      <w:bookmarkEnd w:id="423"/>
      <w:bookmarkEnd w:id="424"/>
      <w:bookmarkEnd w:id="425"/>
      <w:bookmarkEnd w:id="426"/>
      <w:bookmarkEnd w:id="427"/>
      <w:bookmarkEnd w:id="428"/>
    </w:p>
    <w:p>
      <w:pPr>
        <w:pStyle w:val="10000-DefaultParagraph"/>
        <w:rPr/>
      </w:pPr>
      <w:r>
        <w:rPr/>
        <w:t>Es MUSS eine Inventarisierung vorhanden sein, in der alle IT-Systeme verzeichnet sind.</w:t>
      </w:r>
    </w:p>
    <w:p>
      <w:pPr>
        <w:pStyle w:val="10000-DefaultParagraph"/>
        <w:rPr/>
      </w:pPr>
      <w:r>
        <w:rPr/>
        <w:t xml:space="preserve">Die Inventarisierung MUSS durch entsprechende Verfahren (siehe Abschnitte  </w:t>
      </w:r>
      <w:r>
        <w:rPr/>
        <w:fldChar w:fldCharType="begin"/>
      </w:r>
      <w:r>
        <w:rPr/>
        <w:instrText xml:space="preserve"> REF _Ref178769481 \n \n \h </w:instrText>
      </w:r>
      <w:r>
        <w:rPr/>
        <w:fldChar w:fldCharType="separate"/>
      </w:r>
      <w:r>
        <w:rPr/>
        <w:t>10.3.3</w:t>
      </w:r>
      <w:r>
        <w:rPr/>
        <w:fldChar w:fldCharType="end"/>
      </w:r>
      <w:r>
        <w:rPr/>
        <w:t xml:space="preserve"> und </w:t>
      </w:r>
      <w:r>
        <w:rPr/>
        <w:fldChar w:fldCharType="begin"/>
      </w:r>
      <w:r>
        <w:rPr/>
        <w:instrText xml:space="preserve"> REF _Ref178769453 \n \n \h </w:instrText>
      </w:r>
      <w:r>
        <w:rPr/>
        <w:fldChar w:fldCharType="separate"/>
      </w:r>
      <w:r>
        <w:rPr/>
        <w:t>10.3.4</w:t>
      </w:r>
      <w:r>
        <w:rPr/>
        <w:fldChar w:fldCharType="end"/>
      </w:r>
      <w:r>
        <w:rPr/>
        <w:t>) vollständig und aktuell gehalten werden.</w:t>
      </w:r>
    </w:p>
    <w:p>
      <w:pPr>
        <w:pStyle w:val="10000-DefaultParagraph"/>
        <w:rPr/>
      </w:pPr>
      <w:r>
        <w:rPr/>
        <w:t>In ihr MÜSSEN folgende Informationen für jedes IT-System verzeichnet sein:</w:t>
      </w:r>
    </w:p>
    <w:p>
      <w:pPr>
        <w:pStyle w:val="10000-DefaultParagraph"/>
        <w:numPr>
          <w:ilvl w:val="0"/>
          <w:numId w:val="347"/>
        </w:numPr>
        <w:rPr/>
      </w:pPr>
      <w:r>
        <w:rPr/>
        <w:t>Eindeutiges Identifizierungsmerkmal</w:t>
      </w:r>
    </w:p>
    <w:p>
      <w:pPr>
        <w:pStyle w:val="10000-DefaultParagraph"/>
        <w:numPr>
          <w:ilvl w:val="0"/>
          <w:numId w:val="348"/>
        </w:numPr>
        <w:rPr/>
      </w:pPr>
      <w:r>
        <w:rPr/>
        <w:t>Informationen, die eine schnelle Lokalisierung erlauben</w:t>
      </w:r>
    </w:p>
    <w:p>
      <w:pPr>
        <w:pStyle w:val="10000-DefaultParagraph"/>
        <w:numPr>
          <w:ilvl w:val="0"/>
          <w:numId w:val="349"/>
        </w:numPr>
        <w:rPr/>
      </w:pPr>
      <w:r>
        <w:rPr/>
        <w:t>Einsatzzweck</w:t>
      </w:r>
    </w:p>
    <w:p>
      <w:pPr>
        <w:pStyle w:val="10000-Empfehlung"/>
        <w:rPr/>
      </w:pPr>
      <w:r>
        <w:rPr>
          <w:rStyle w:val="Emphasis"/>
          <w:i/>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rPr>
        <w:t>Besonderheiten der Installation und Konfiguration SOLLTEN in einer Dokumentation verzeichnet sein.</w:t>
      </w:r>
    </w:p>
    <w:p>
      <w:pPr>
        <w:pStyle w:val="Heading2"/>
        <w:ind w:hanging="0" w:left="0"/>
        <w:rPr/>
      </w:pPr>
      <w:bookmarkStart w:id="429" w:name="__RefHeading___Toc32018_2021121348"/>
      <w:bookmarkStart w:id="430" w:name="_Toc178588083"/>
      <w:bookmarkStart w:id="431" w:name="_Toc530662916"/>
      <w:bookmarkStart w:id="432" w:name="_Toc178761349"/>
      <w:bookmarkStart w:id="433" w:name="lebenszyklus"/>
      <w:bookmarkStart w:id="434" w:name="_Toc531165051"/>
      <w:bookmarkStart w:id="435" w:name="rl%25252525252525252525253Akap_10%252522"/>
      <w:bookmarkStart w:id="436" w:name="_Toc187327074"/>
      <w:bookmarkEnd w:id="429"/>
      <w:bookmarkEnd w:id="435"/>
      <w:r>
        <w:rPr/>
        <w:t>Lebenszyklus</w:t>
      </w:r>
      <w:bookmarkEnd w:id="430"/>
      <w:bookmarkEnd w:id="431"/>
      <w:bookmarkEnd w:id="432"/>
      <w:bookmarkEnd w:id="433"/>
      <w:bookmarkEnd w:id="434"/>
      <w:bookmarkEnd w:id="436"/>
    </w:p>
    <w:p>
      <w:pPr>
        <w:pStyle w:val="Heading3"/>
        <w:ind w:hanging="0" w:left="0"/>
        <w:rPr/>
      </w:pPr>
      <w:bookmarkStart w:id="437" w:name="__RefHeading___Toc32020_2021121348"/>
      <w:bookmarkStart w:id="438" w:name="_Toc187327075"/>
      <w:bookmarkEnd w:id="437"/>
      <w:r>
        <w:rPr/>
        <w:t>Beschreibung</w:t>
      </w:r>
      <w:bookmarkEnd w:id="438"/>
    </w:p>
    <w:p>
      <w:pPr>
        <w:pStyle w:val="10000-DefaultParagraph"/>
        <w:rPr/>
      </w:pPr>
      <w:r>
        <w:rPr/>
        <w:t xml:space="preserve">IT-Systeme bilden eine abgeschlossene Funktionseinheit aus Hard- und Software (siehe Abschnitt </w:t>
      </w:r>
      <w:r>
        <w:rPr/>
        <w:fldChar w:fldCharType="begin"/>
      </w:r>
      <w:r>
        <w:rPr/>
        <w:instrText xml:space="preserve"> REF _Ref178769569 \n \n \h </w:instrText>
      </w:r>
      <w:r>
        <w:rPr/>
        <w:fldChar w:fldCharType="separate"/>
      </w:r>
      <w:r>
        <w:rPr/>
        <w:t>10.4</w:t>
      </w:r>
      <w:r>
        <w:rPr/>
        <w:fldChar w:fldCharType="end"/>
      </w:r>
      <w:r>
        <w:rPr/>
        <w:t xml:space="preserve">). Sie unterliegen einem Lebenszyklus, der sich von der </w:t>
      </w:r>
      <w:r>
        <w:rPr>
          <w:shd w:fill="auto" w:val="clear"/>
        </w:rPr>
        <w:t xml:space="preserve">Beschaffung </w:t>
      </w:r>
      <w:r>
        <w:rPr/>
        <w:t>bis zur Ausmusterung erstreckt.</w:t>
      </w:r>
    </w:p>
    <w:p>
      <w:pPr>
        <w:pStyle w:val="Heading3"/>
        <w:ind w:hanging="0" w:left="0"/>
        <w:rPr/>
      </w:pPr>
      <w:bookmarkStart w:id="439" w:name="__RefHeading___Toc42883_2021121348"/>
      <w:bookmarkEnd w:id="439"/>
      <w:commentRangeStart w:id="13"/>
      <w:r>
        <w:rPr/>
        <w:t>Beschaffung</w:t>
      </w:r>
      <w:commentRangeEnd w:id="13"/>
      <w:r>
        <w:commentReference w:id="13"/>
      </w:r>
      <w:r>
        <w:rPr/>
      </w:r>
    </w:p>
    <w:p>
      <w:pPr>
        <w:pStyle w:val="Normal"/>
        <w:rPr/>
      </w:pPr>
      <w:r>
        <w:rPr/>
        <w:t>In Ergänzung zu Abschnitt 6.3 MÜSSEN in einer IS-Richtlinie Regelungen für die Beschaffung von wichtigen und kritischen IT-Systemen getroffen werden:</w:t>
      </w:r>
    </w:p>
    <w:p>
      <w:pPr>
        <w:pStyle w:val="Normal"/>
        <w:numPr>
          <w:ilvl w:val="0"/>
          <w:numId w:val="350"/>
        </w:numPr>
        <w:rPr/>
      </w:pPr>
      <w:r>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1"/>
        </w:numPr>
        <w:rPr/>
      </w:pPr>
      <w:r>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2"/>
        </w:numPr>
        <w:rPr/>
      </w:pPr>
      <w:r>
        <w:rPr/>
        <w:t>Es wird festgelegt, für welchen Zeitraum der Anbieter Sicherheitsupdates zur Verfügung stellt.</w:t>
      </w:r>
    </w:p>
    <w:p>
      <w:pPr>
        <w:pStyle w:val="Empfehlung"/>
        <w:rPr>
          <w:rStyle w:val="Emphasis"/>
          <w:i/>
          <w:i/>
        </w:rPr>
      </w:pPr>
      <w:r>
        <w:rPr>
          <w:i/>
        </w:rPr>
      </w:r>
    </w:p>
    <w:p>
      <w:pPr>
        <w:pStyle w:val="Heading3"/>
        <w:ind w:hanging="0" w:left="0"/>
        <w:rPr/>
      </w:pPr>
      <w:bookmarkStart w:id="440" w:name="__RefHeading___inbetriebnahme_und_aender"/>
      <w:bookmarkStart w:id="441" w:name="_Toc530662917"/>
      <w:bookmarkStart w:id="442" w:name="_Ref178769420"/>
      <w:bookmarkStart w:id="443" w:name="_Toc531165052"/>
      <w:bookmarkStart w:id="444" w:name="_Toc187327076"/>
      <w:bookmarkStart w:id="445" w:name="_Toc178761350"/>
      <w:bookmarkStart w:id="446" w:name="_Ref178769419"/>
      <w:bookmarkStart w:id="447" w:name="rl%25252525252525252525253Akap_10%252523"/>
      <w:bookmarkStart w:id="448" w:name="_Ref178769481"/>
      <w:bookmarkStart w:id="449" w:name="inbetriebnahme_und_aenderung"/>
      <w:bookmarkEnd w:id="440"/>
      <w:bookmarkEnd w:id="447"/>
      <w:r>
        <w:rPr/>
        <w:t>Inbetriebnahme und Änderung</w:t>
      </w:r>
      <w:bookmarkEnd w:id="441"/>
      <w:bookmarkEnd w:id="442"/>
      <w:bookmarkEnd w:id="443"/>
      <w:bookmarkEnd w:id="444"/>
      <w:bookmarkEnd w:id="445"/>
      <w:bookmarkEnd w:id="446"/>
      <w:bookmarkEnd w:id="448"/>
      <w:bookmarkEnd w:id="449"/>
    </w:p>
    <w:p>
      <w:pPr>
        <w:pStyle w:val="10000-DefaultParagraph"/>
        <w:rPr/>
      </w:pPr>
      <w:r>
        <w:rPr/>
        <w:t>Es MUSS ein Verfahren (siehe</w:t>
      </w:r>
      <w:r>
        <w:rPr>
          <w:spacing w:val="-2"/>
        </w:rPr>
        <w:t xml:space="preserve"> Anhang</w:t>
      </w:r>
      <w:r>
        <w:rPr/>
        <w:t xml:space="preserve"> </w:t>
      </w:r>
      <w:r>
        <w:rPr/>
        <w:fldChar w:fldCharType="begin"/>
      </w:r>
      <w:r>
        <w:rPr/>
        <w:instrText xml:space="preserve"> REF _Ref179186091 \n \n \h </w:instrText>
      </w:r>
      <w:r>
        <w:rPr/>
        <w:fldChar w:fldCharType="separate"/>
      </w:r>
      <w:r>
        <w:rPr/>
        <w:t>A.1</w:t>
      </w:r>
      <w:r>
        <w:rPr/>
        <w:fldChar w:fldCharType="end"/>
      </w:r>
      <w:r>
        <w:rPr/>
        <w:t>) für die Inbetriebnahme und Änderung der IT-Systeme implementiert werden, das folgende Punkte sicherstellt:</w:t>
      </w:r>
    </w:p>
    <w:p>
      <w:pPr>
        <w:pStyle w:val="Liste1"/>
        <w:numPr>
          <w:ilvl w:val="0"/>
          <w:numId w:val="353"/>
        </w:numPr>
        <w:rPr/>
      </w:pPr>
      <w:r>
        <w:rPr/>
        <w:t>Die Schutzkategorie des IT-Systems wird ermittelt bzw. seine Einstufung überprüft (siehe Kapitel 9).</w:t>
      </w:r>
    </w:p>
    <w:p>
      <w:pPr>
        <w:pStyle w:val="Liste1"/>
        <w:numPr>
          <w:ilvl w:val="0"/>
          <w:numId w:val="354"/>
        </w:numPr>
        <w:rPr/>
      </w:pPr>
      <w:r>
        <w:rPr/>
        <w:t>Die Maßnahmen der entsprechenden Schutzkategorie werden umgesetzt.</w:t>
      </w:r>
    </w:p>
    <w:p>
      <w:pPr>
        <w:pStyle w:val="10000-DefaultParagraph"/>
        <w:numPr>
          <w:ilvl w:val="0"/>
          <w:numId w:val="355"/>
        </w:numPr>
        <w:rPr/>
      </w:pPr>
      <w:r>
        <w:rPr/>
        <w:t xml:space="preserve">Die Inventarisierung der IT-Systeme (siehe Abschnitt </w:t>
      </w:r>
      <w:r>
        <w:rPr/>
        <w:fldChar w:fldCharType="begin"/>
      </w:r>
      <w:r>
        <w:rPr/>
        <w:instrText xml:space="preserve"> REF _Ref179186163 \n \n \h </w:instrText>
      </w:r>
      <w:r>
        <w:rPr/>
        <w:fldChar w:fldCharType="separate"/>
      </w:r>
      <w:r>
        <w:rPr/>
        <w:t>10.2</w:t>
      </w:r>
      <w:r>
        <w:rPr/>
        <w:fldChar w:fldCharType="end"/>
      </w:r>
      <w:r>
        <w:rPr/>
        <w:t xml:space="preserve">) und der Netzwerkplan (siehe </w:t>
      </w:r>
      <w:r>
        <w:rPr>
          <w:rStyle w:val="Hyperlink"/>
          <w:color w:val="auto"/>
          <w:u w:val="none"/>
        </w:rPr>
        <w:t xml:space="preserve">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56"/>
        </w:numPr>
        <w:rPr/>
      </w:pPr>
      <w:r>
        <w:rPr/>
        <w:t>Bei Inbetriebnahme werden die Arbeitsschritte dokumentiert.</w:t>
      </w:r>
    </w:p>
    <w:p>
      <w:pPr>
        <w:pStyle w:val="Heading3"/>
        <w:ind w:hanging="0" w:left="0"/>
        <w:rPr/>
      </w:pPr>
      <w:bookmarkStart w:id="450" w:name="__RefHeading___ausmusterung_und_del_weit"/>
      <w:bookmarkStart w:id="451" w:name="_Ref178769453"/>
      <w:bookmarkStart w:id="452" w:name="_Toc531165053"/>
      <w:bookmarkStart w:id="453" w:name="rl%25252525252525252525253Akap_10%252524"/>
      <w:bookmarkStart w:id="454" w:name="ausmusterung_und_del_weiterverwendungdel"/>
      <w:bookmarkStart w:id="455" w:name="_Toc187327077"/>
      <w:bookmarkStart w:id="456" w:name="_Toc178761351"/>
      <w:bookmarkStart w:id="457" w:name="_Toc530662918"/>
      <w:bookmarkEnd w:id="450"/>
      <w:bookmarkEnd w:id="453"/>
      <w:r>
        <w:rPr/>
        <w:t>Ausmusterung und Wiederverwendung</w:t>
      </w:r>
      <w:bookmarkEnd w:id="451"/>
      <w:bookmarkEnd w:id="452"/>
      <w:bookmarkEnd w:id="454"/>
      <w:bookmarkEnd w:id="455"/>
      <w:bookmarkEnd w:id="456"/>
      <w:bookmarkEnd w:id="457"/>
    </w:p>
    <w:p>
      <w:pPr>
        <w:pStyle w:val="10000-DefaultParagraph"/>
        <w:rPr/>
      </w:pPr>
      <w:r>
        <w:rPr/>
        <w:t xml:space="preserve">Es MUSS ein Verfahren (siehe Anhang </w:t>
      </w:r>
      <w:r>
        <w:rPr/>
        <w:fldChar w:fldCharType="begin"/>
      </w:r>
      <w:r>
        <w:rPr/>
        <w:instrText xml:space="preserve"> REF _Ref179186218 \n \n \h </w:instrText>
      </w:r>
      <w:r>
        <w:rPr/>
        <w:fldChar w:fldCharType="separate"/>
      </w:r>
      <w:r>
        <w:rPr/>
        <w:t>A.1</w:t>
      </w:r>
      <w:r>
        <w:rPr/>
        <w:fldChar w:fldCharType="end"/>
      </w:r>
      <w:r>
        <w:rPr/>
        <w:t>) für das Ausmustern und Wiederverwenden der IT-Systeme implementiert werden, das folgende Punkte sicherstellt:</w:t>
      </w:r>
    </w:p>
    <w:p>
      <w:pPr>
        <w:pStyle w:val="10000-DefaultParagraph"/>
        <w:numPr>
          <w:ilvl w:val="0"/>
          <w:numId w:val="357"/>
        </w:numPr>
        <w:rPr/>
      </w:pPr>
      <w:r>
        <w:rPr/>
        <w:t>Die auf dem IT-System gespeicherten Informationen werden bei Bedarf gesichert.</w:t>
      </w:r>
    </w:p>
    <w:p>
      <w:pPr>
        <w:pStyle w:val="10000-DefaultParagraph"/>
        <w:numPr>
          <w:ilvl w:val="0"/>
          <w:numId w:val="358"/>
        </w:numPr>
        <w:rPr/>
      </w:pPr>
      <w:r>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59"/>
        </w:numPr>
        <w:rPr/>
      </w:pPr>
      <w:r>
        <w:rPr/>
        <w:t xml:space="preserve">Die Inventarisierung der IT-Systeme (siehe Abschnitt </w:t>
      </w:r>
      <w:r>
        <w:rPr/>
        <w:fldChar w:fldCharType="begin"/>
      </w:r>
      <w:r>
        <w:rPr/>
        <w:instrText xml:space="preserve"> REF _Ref179186274 \n \n \h </w:instrText>
      </w:r>
      <w:r>
        <w:rPr/>
        <w:fldChar w:fldCharType="separate"/>
      </w:r>
      <w:r>
        <w:rPr/>
        <w:t>10.2</w:t>
      </w:r>
      <w:r>
        <w:rPr/>
        <w:fldChar w:fldCharType="end"/>
      </w:r>
      <w:r>
        <w:rPr/>
        <w:t xml:space="preserve">) und der Netzwerkplan (siehe 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60"/>
        </w:numPr>
        <w:rPr/>
      </w:pPr>
      <w:r>
        <w:rPr/>
        <w:t>Im Zuge der Ausmusterung werden die damit einhergehenden Arbeitsschritte dokumentiert.</w:t>
      </w:r>
    </w:p>
    <w:p>
      <w:pPr>
        <w:pStyle w:val="Heading2"/>
        <w:ind w:hanging="0" w:left="0"/>
        <w:rPr/>
      </w:pPr>
      <w:bookmarkStart w:id="458" w:name="__RefHeading___Toc32022_2021121348"/>
      <w:bookmarkStart w:id="459" w:name="_Toc531165054"/>
      <w:bookmarkStart w:id="460" w:name="rl%25252525252525252525253Akap_10%252526"/>
      <w:bookmarkStart w:id="461" w:name="_Ref178769569"/>
      <w:bookmarkStart w:id="462" w:name="basisschutz"/>
      <w:bookmarkStart w:id="463" w:name="_Toc187327078"/>
      <w:bookmarkStart w:id="464" w:name="_Toc530662919"/>
      <w:bookmarkStart w:id="465" w:name="_Toc178588084"/>
      <w:bookmarkStart w:id="466" w:name="_Toc178761352"/>
      <w:bookmarkEnd w:id="458"/>
      <w:bookmarkEnd w:id="460"/>
      <w:r>
        <w:rPr/>
        <w:t>Basisschutz</w:t>
      </w:r>
      <w:bookmarkEnd w:id="459"/>
      <w:bookmarkEnd w:id="461"/>
      <w:bookmarkEnd w:id="462"/>
      <w:bookmarkEnd w:id="463"/>
      <w:bookmarkEnd w:id="464"/>
      <w:bookmarkEnd w:id="465"/>
      <w:bookmarkEnd w:id="466"/>
    </w:p>
    <w:p>
      <w:pPr>
        <w:pStyle w:val="Heading3"/>
        <w:ind w:hanging="0" w:left="0"/>
        <w:rPr/>
      </w:pPr>
      <w:bookmarkStart w:id="467" w:name="__RefHeading___Toc32024_2021121348"/>
      <w:bookmarkStart w:id="468" w:name="_Toc187327079"/>
      <w:bookmarkEnd w:id="467"/>
      <w:r>
        <w:rPr/>
        <w:t>Funktionalitäten und Maßnahmen</w:t>
      </w:r>
      <w:bookmarkEnd w:id="468"/>
    </w:p>
    <w:p>
      <w:pPr>
        <w:pStyle w:val="10000-DefaultParagraph"/>
        <w:rPr>
          <w:i/>
          <w:i/>
        </w:rPr>
      </w:pPr>
      <w:r>
        <w:rPr/>
        <w:t>Die Maßnahmen der folgenden Abschnitte MÜSSEN, sofern eine entsprechende Funktionalität gegeben ist, für alle IT-Systeme implementiert werden.</w:t>
      </w:r>
    </w:p>
    <w:p>
      <w:pPr>
        <w:pStyle w:val="10000-DefaultParagraph"/>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_Ref179186316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_Ref179186333 \n \n \h </w:instrText>
      </w:r>
      <w:r>
        <w:rPr/>
        <w:fldChar w:fldCharType="separate"/>
      </w:r>
      <w:r>
        <w:rPr/>
        <w:t>A.2</w:t>
      </w:r>
      <w:r>
        <w:rPr/>
        <w:fldChar w:fldCharType="end"/>
      </w:r>
      <w:r>
        <w:rPr/>
        <w:t>).</w:t>
      </w:r>
    </w:p>
    <w:p>
      <w:pPr>
        <w:pStyle w:val="Empfehlung"/>
        <w:rPr/>
      </w:pPr>
      <w:r>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ind w:hanging="0" w:left="0"/>
        <w:rPr/>
      </w:pPr>
      <w:bookmarkStart w:id="469" w:name="__RefHeading___del_updatesdel_software_5"/>
      <w:bookmarkStart w:id="470" w:name="_Ref184204527"/>
      <w:bookmarkStart w:id="471" w:name="rl%25252525252525252525253Akap_10%252527"/>
      <w:bookmarkStart w:id="472" w:name="_Toc178761353"/>
      <w:bookmarkStart w:id="473" w:name="_Toc187327080"/>
      <w:bookmarkStart w:id="474" w:name="_Toc530662920"/>
      <w:bookmarkStart w:id="475" w:name="del_updatesdel_software"/>
      <w:bookmarkStart w:id="476" w:name="_Toc531165055"/>
      <w:bookmarkEnd w:id="469"/>
      <w:bookmarkEnd w:id="471"/>
      <w:r>
        <w:rPr/>
        <w:t>Software</w:t>
      </w:r>
      <w:bookmarkEnd w:id="470"/>
      <w:bookmarkEnd w:id="472"/>
      <w:bookmarkEnd w:id="473"/>
      <w:bookmarkEnd w:id="474"/>
      <w:bookmarkEnd w:id="475"/>
      <w:bookmarkEnd w:id="476"/>
    </w:p>
    <w:p>
      <w:pPr>
        <w:pStyle w:val="10000-DefaultParagraph"/>
        <w:rPr/>
      </w:pPr>
      <w:r>
        <w:rPr/>
        <w:t>System- und Anwendungssoftware MUSS aus vertrauenswürdigen Quellen bezogen werden.</w:t>
      </w:r>
    </w:p>
    <w:p>
      <w:pPr>
        <w:pStyle w:val="10000-Empfehlung"/>
        <w:rPr/>
      </w:pPr>
      <w:r>
        <w:rPr>
          <w:rStyle w:val="Emphasis"/>
          <w:i/>
        </w:rPr>
        <w:t>Es SOLLTE ausschließlich System- und Anwendungssoftware eingesetzt werden, die Sicherheitsupdates des Herstellers erhält.</w:t>
      </w:r>
    </w:p>
    <w:p>
      <w:pPr>
        <w:pStyle w:val="10000-Empfehlung"/>
        <w:rPr/>
      </w:pPr>
      <w:r>
        <w:rPr>
          <w:rStyle w:val="Emphasis"/>
          <w:i/>
        </w:rPr>
        <w:t>Es SOLLTE nur Software auf IT-Systemen installiert werden, die zur Aufgabenerfüllung benötigt wird; nicht benötigte Software SOLLTE deinstalliert werden.</w:t>
      </w:r>
    </w:p>
    <w:p>
      <w:pPr>
        <w:pStyle w:val="10000-Empfehlung"/>
        <w:rPr/>
      </w:pPr>
      <w:r>
        <w:rPr>
          <w:rStyle w:val="Emphasis"/>
          <w:i/>
        </w:rPr>
        <w:t>Sämtliche Zugriffsrechte und Privilegien der Anwendungssoftware SOLLTEN auf ein Mindestmaß reduziert werden.</w:t>
      </w:r>
    </w:p>
    <w:p>
      <w:pPr>
        <w:pStyle w:val="10000-DefaultParagraph"/>
        <w:rPr/>
      </w:pPr>
      <w:r>
        <w:rPr/>
        <w:t>Vom Hersteller zur Verfügung gestellte Sicherheitsupdates für die System- und Anwendungssoftware MÜSSEN nach einem implementierten Verfahren (siehe</w:t>
      </w:r>
      <w:r>
        <w:rPr>
          <w:spacing w:val="-2"/>
        </w:rPr>
        <w:t xml:space="preserve"> Anhang</w:t>
      </w:r>
      <w:r>
        <w:rPr/>
        <w:t xml:space="preserve"> </w:t>
      </w:r>
      <w:r>
        <w:rPr/>
        <w:fldChar w:fldCharType="begin"/>
      </w:r>
      <w:r>
        <w:rPr/>
        <w:instrText xml:space="preserve"> REF _Ref179186357 \n \n \h </w:instrText>
      </w:r>
      <w:r>
        <w:rPr/>
        <w:fldChar w:fldCharType="separate"/>
      </w:r>
      <w:r>
        <w:rPr/>
        <w:t>A.1</w:t>
      </w:r>
      <w:r>
        <w:rPr/>
        <w:fldChar w:fldCharType="end"/>
      </w:r>
      <w:r>
        <w:rPr/>
        <w:t>) getestet, bei Eignung freigegeben und nach ihrer Freigabe umgehend in Betrieb genommen werden.</w:t>
      </w:r>
    </w:p>
    <w:p>
      <w:pPr>
        <w:pStyle w:val="Heading3"/>
        <w:ind w:hanging="0" w:left="0"/>
        <w:rPr/>
      </w:pPr>
      <w:bookmarkStart w:id="477" w:name="__RefHeading___beschraenkung_des_netzwer"/>
      <w:bookmarkStart w:id="478" w:name="_Toc187327081"/>
      <w:bookmarkStart w:id="479" w:name="_Ref184204544"/>
      <w:bookmarkStart w:id="480" w:name="_Toc530662921"/>
      <w:bookmarkStart w:id="481" w:name="_Toc531165056"/>
      <w:bookmarkStart w:id="482" w:name="rl%25252525252525252525253Akap_10%252528"/>
      <w:bookmarkStart w:id="483" w:name="beschraenkung_des_netzwerkverkehrs"/>
      <w:bookmarkStart w:id="484" w:name="_Toc178761354"/>
      <w:bookmarkEnd w:id="477"/>
      <w:bookmarkEnd w:id="482"/>
      <w:r>
        <w:rPr/>
        <w:t>Beschränkung des Netzwerkverkehrs</w:t>
      </w:r>
      <w:bookmarkEnd w:id="478"/>
      <w:bookmarkEnd w:id="479"/>
      <w:bookmarkEnd w:id="480"/>
      <w:bookmarkEnd w:id="481"/>
      <w:bookmarkEnd w:id="483"/>
      <w:bookmarkEnd w:id="484"/>
    </w:p>
    <w:p>
      <w:pPr>
        <w:pStyle w:val="10000-DefaultParagraph"/>
        <w:rPr/>
      </w:pPr>
      <w:r>
        <w:rPr/>
        <w:t>Der Netzwerkverkehr von und zu IT-Systemen MUSS auf das für die Funktionsfähigkeit notwendige Minimum beschränkt werden, wenn eines der folgenden Kriterien zutrifft:</w:t>
      </w:r>
    </w:p>
    <w:p>
      <w:pPr>
        <w:pStyle w:val="10000-DefaultParagraph"/>
        <w:numPr>
          <w:ilvl w:val="0"/>
          <w:numId w:val="361"/>
        </w:numPr>
        <w:rPr>
          <w:spacing w:val="-2"/>
        </w:rPr>
      </w:pPr>
      <w:r>
        <w:rPr>
          <w:spacing w:val="-2"/>
        </w:rPr>
        <w:t xml:space="preserve">Es existieren über das Netzwerk ausnutzbare Schwachstellen, die sich nicht beheben lassen oder bewusst beibehalten werden (z. B. wenn keine Sicherheitsupdates installiert werden können, </w:t>
      </w:r>
      <w:r>
        <w:rPr/>
        <w:t xml:space="preserve">Authentifizierungsmerkmale </w:t>
      </w:r>
      <w:r>
        <w:rPr>
          <w:spacing w:val="-2"/>
        </w:rPr>
        <w:t>nicht geändert werden können oder unsichere technische Verfahren eingesetzt werden müssen).</w:t>
      </w:r>
    </w:p>
    <w:p>
      <w:pPr>
        <w:pStyle w:val="10000-DefaultParagraph"/>
        <w:numPr>
          <w:ilvl w:val="0"/>
          <w:numId w:val="362"/>
        </w:numPr>
        <w:rPr/>
      </w:pPr>
      <w:r>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rPr>
        <w:t xml:space="preserve">Die Beschränkung des Netzwerkverkehrs KANN z. B. durch eine geeignete Segmentierung des Netzwerks (siehe Abschnitt </w:t>
      </w:r>
      <w:r>
        <w:rPr>
          <w:rStyle w:val="Emphasis"/>
          <w:i/>
        </w:rPr>
        <w:fldChar w:fldCharType="begin"/>
      </w:r>
      <w:r>
        <w:rPr>
          <w:rStyle w:val="Emphasis"/>
          <w:i/>
        </w:rPr>
        <w:instrText xml:space="preserve"> REF segmentierung \n \n \h </w:instrText>
      </w:r>
      <w:r>
        <w:rPr>
          <w:rStyle w:val="Emphasis"/>
          <w:i/>
        </w:rPr>
        <w:fldChar w:fldCharType="separate"/>
      </w:r>
      <w:r>
        <w:rPr>
          <w:rStyle w:val="Emphasis"/>
          <w:i/>
        </w:rPr>
        <w:t>11.5.3</w:t>
      </w:r>
      <w:r>
        <w:rPr>
          <w:rStyle w:val="Emphasis"/>
          <w:i/>
        </w:rPr>
        <w:fldChar w:fldCharType="end"/>
      </w:r>
      <w:r>
        <w:rPr>
          <w:rStyle w:val="Emphasis"/>
          <w:i/>
        </w:rPr>
        <w:t>), lokale Filtermechanismen oder durch das Deaktivieren nicht benötigter Dienste erfolgen.</w:t>
      </w:r>
    </w:p>
    <w:p>
      <w:pPr>
        <w:pStyle w:val="Heading3"/>
        <w:ind w:hanging="0" w:left="0"/>
        <w:rPr/>
      </w:pPr>
      <w:bookmarkStart w:id="485" w:name="__RefHeading___protokollierung_55"/>
      <w:bookmarkStart w:id="486" w:name="_Toc187327082"/>
      <w:bookmarkStart w:id="487" w:name="_Toc178761355"/>
      <w:bookmarkStart w:id="488" w:name="_Toc531165057"/>
      <w:bookmarkStart w:id="489" w:name="_Toc530662922"/>
      <w:bookmarkStart w:id="490" w:name="protokollierung"/>
      <w:bookmarkStart w:id="491" w:name="_Ref184204555"/>
      <w:bookmarkStart w:id="492" w:name="rl%25252525252525252525253Akap_10%252529"/>
      <w:bookmarkEnd w:id="485"/>
      <w:bookmarkEnd w:id="492"/>
      <w:r>
        <w:rPr/>
        <w:t>Protokollierung</w:t>
      </w:r>
      <w:bookmarkEnd w:id="486"/>
      <w:bookmarkEnd w:id="487"/>
      <w:bookmarkEnd w:id="488"/>
      <w:bookmarkEnd w:id="489"/>
      <w:bookmarkEnd w:id="490"/>
      <w:bookmarkEnd w:id="491"/>
    </w:p>
    <w:p>
      <w:pPr>
        <w:pStyle w:val="10000-DefaultParagraph"/>
        <w:rPr/>
      </w:pPr>
      <w:r>
        <w:rPr/>
        <w:t>Jedes IT-System MUSS erfolgreiche und erfolglose Anmeldeversuche, Fehler und Informationssicherheitsereignisse protokollieren.</w:t>
      </w:r>
    </w:p>
    <w:p>
      <w:pPr>
        <w:pStyle w:val="10000-Empfehlung"/>
        <w:rPr/>
      </w:pPr>
      <w:r>
        <w:rPr>
          <w:rStyle w:val="Emphasis"/>
          <w:i/>
        </w:rPr>
        <w:t>Protokolldaten SOLLTEN zentral gespeichert werden.</w:t>
      </w:r>
    </w:p>
    <w:p>
      <w:pPr>
        <w:pStyle w:val="10000-DefaultParagraph"/>
        <w:rPr/>
      </w:pPr>
      <w:r>
        <w:rPr/>
        <w:t>Protokolldaten MÜSSEN 6 Monate lang aufbewahrt werden, sofern dem keine gesetzlichen oder vertraglichen Lösch- oder Aufbewahrungspflichten entgegenstehen.</w:t>
      </w:r>
    </w:p>
    <w:p>
      <w:pPr>
        <w:pStyle w:val="10000-DefaultParagraph"/>
        <w:rPr/>
      </w:pPr>
      <w:r>
        <w:rPr/>
        <w:t>Die Uhren aller IT-Systeme MÜSSEN auf eine gemeinsame Zeit synchronisiert sein, um Auswertungen von Protokolldaten zu ermöglichen.</w:t>
      </w:r>
    </w:p>
    <w:p>
      <w:pPr>
        <w:pStyle w:val="Heading3"/>
        <w:ind w:hanging="0" w:left="0"/>
        <w:rPr/>
      </w:pPr>
      <w:bookmarkStart w:id="493" w:name="__RefHeading___Toc32026_2021121348"/>
      <w:bookmarkStart w:id="494" w:name="rl%25252525252525252525253Akap_10%25252a"/>
      <w:bookmarkStart w:id="495" w:name="externe_schnittstellen_und_laufwerke"/>
      <w:bookmarkStart w:id="496" w:name="_Toc178761356"/>
      <w:bookmarkStart w:id="497" w:name="_Toc530662923"/>
      <w:bookmarkStart w:id="498" w:name="_Toc187327083"/>
      <w:bookmarkStart w:id="499" w:name="_Toc531165058"/>
      <w:bookmarkEnd w:id="493"/>
      <w:bookmarkEnd w:id="494"/>
      <w:r>
        <w:rPr/>
        <w:t>Externe Schnittstellen und Laufwerke</w:t>
      </w:r>
      <w:bookmarkEnd w:id="495"/>
      <w:bookmarkEnd w:id="496"/>
      <w:bookmarkEnd w:id="497"/>
      <w:bookmarkEnd w:id="498"/>
      <w:bookmarkEnd w:id="499"/>
    </w:p>
    <w:p>
      <w:pPr>
        <w:pStyle w:val="10000-Empfehlung"/>
        <w:rPr/>
      </w:pPr>
      <w:r>
        <w:rPr>
          <w:rStyle w:val="Emphasis"/>
          <w:i/>
        </w:rPr>
        <w:t>Externe Schnittstellen und Laufwerke, die nicht für die Aufgabenerfüllung benötigt werden, SOLLTEN ausgebaut, stillgelegt, deaktiviert oder anderweitig für Nutzer unzugänglich gemacht werden.</w:t>
      </w:r>
    </w:p>
    <w:p>
      <w:pPr>
        <w:pStyle w:val="Heading3"/>
        <w:ind w:hanging="0" w:left="0"/>
        <w:rPr/>
      </w:pPr>
      <w:bookmarkStart w:id="500" w:name="__RefHeading___schadsoftware_57"/>
      <w:bookmarkStart w:id="501" w:name="_Toc531165059"/>
      <w:bookmarkStart w:id="502" w:name="schadsoftware"/>
      <w:bookmarkStart w:id="503" w:name="_Toc530662924"/>
      <w:bookmarkStart w:id="504" w:name="_Ref184811333"/>
      <w:bookmarkStart w:id="505" w:name="_Toc187327084"/>
      <w:bookmarkStart w:id="506" w:name="_Toc178761357"/>
      <w:bookmarkStart w:id="507" w:name="rl%25252525252525252525253Akap_10%25252b"/>
      <w:bookmarkEnd w:id="500"/>
      <w:bookmarkEnd w:id="507"/>
      <w:r>
        <w:rPr/>
        <w:t>Schadsoftware</w:t>
      </w:r>
      <w:bookmarkEnd w:id="501"/>
      <w:bookmarkEnd w:id="502"/>
      <w:bookmarkEnd w:id="503"/>
      <w:bookmarkEnd w:id="504"/>
      <w:bookmarkEnd w:id="505"/>
      <w:bookmarkEnd w:id="506"/>
    </w:p>
    <w:p>
      <w:pPr>
        <w:pStyle w:val="10000-DefaultParagraph"/>
        <w:rPr/>
      </w:pPr>
      <w:r>
        <w:rPr/>
        <w:t>Jedes IT-System MUSS über einen Echtzeitschutz vor Schadsoftware verfügen, der alle Dateien bei Zugriff entsprechend prüft (musterbasierte Erkennung).</w:t>
      </w:r>
    </w:p>
    <w:p>
      <w:pPr>
        <w:pStyle w:val="10000-Empfehlung"/>
        <w:rPr>
          <w:i/>
          <w:i/>
          <w:iCs/>
        </w:rPr>
      </w:pPr>
      <w:r>
        <w:rPr>
          <w:i/>
          <w:iCs/>
        </w:rPr>
        <w:t xml:space="preserve">Zusätzlich SOLLTE das Verhalten ausgeführter Programme überwacht werden, um schädliche Software </w:t>
      </w:r>
      <w:r>
        <w:rPr>
          <w:rStyle w:val="Emphasis"/>
          <w:i/>
        </w:rPr>
        <w:t>zu erkennen</w:t>
      </w:r>
      <w:r>
        <w:rPr>
          <w:i/>
          <w:iCs/>
        </w:rPr>
        <w:t>.</w:t>
      </w:r>
    </w:p>
    <w:p>
      <w:pPr>
        <w:pStyle w:val="10000-DefaultParagraph"/>
        <w:rPr/>
      </w:pPr>
      <w:r>
        <w:rPr/>
        <w:t>Das Ausführen erkannter Schadsoftware MUSS verhindert werden.</w:t>
      </w:r>
    </w:p>
    <w:p>
      <w:pPr>
        <w:pStyle w:val="10000-DefaultParagraph"/>
        <w:rPr/>
      </w:pPr>
      <w:bookmarkStart w:id="508" w:name="__RefHeading___starten_von_fremden_medie"/>
      <w:bookmarkEnd w:id="508"/>
      <w:r>
        <w:rPr/>
        <w:t>Die Software zum Schutz gegen Schadsoftware MUSS automatisch und in kurzen zeitlichen Abständen (z. B. stündlich oder täglich) die neuesten Suchmuster der Hersteller ermitteln und diese verwenden.</w:t>
      </w:r>
    </w:p>
    <w:p>
      <w:pPr>
        <w:pStyle w:val="Heading3"/>
        <w:ind w:hanging="0" w:left="0"/>
        <w:rPr/>
      </w:pPr>
      <w:bookmarkStart w:id="509" w:name="__RefHeading___Toc32028_2021121348"/>
      <w:bookmarkStart w:id="510" w:name="_Toc531165060"/>
      <w:bookmarkStart w:id="511" w:name="_Toc178761358"/>
      <w:bookmarkStart w:id="512" w:name="_Toc530662925"/>
      <w:bookmarkStart w:id="513" w:name="rl%25252525252525252525253Akap_10%25252c"/>
      <w:bookmarkStart w:id="514" w:name="_Toc187327085"/>
      <w:bookmarkStart w:id="515" w:name="starten_von_fremden_medien"/>
      <w:bookmarkEnd w:id="509"/>
      <w:bookmarkEnd w:id="513"/>
      <w:r>
        <w:rPr/>
        <w:t>Starten von fremden Medien</w:t>
      </w:r>
      <w:bookmarkEnd w:id="510"/>
      <w:bookmarkEnd w:id="511"/>
      <w:bookmarkEnd w:id="512"/>
      <w:bookmarkEnd w:id="514"/>
      <w:bookmarkEnd w:id="515"/>
    </w:p>
    <w:p>
      <w:pPr>
        <w:pStyle w:val="10000-DefaultParagraph"/>
        <w:rPr/>
      </w:pPr>
      <w:r>
        <w:rPr/>
        <w:t>Es MUSS sichergestellt werden, dass IT-Systeme nur von autorisierten Medien gestartet werden können.</w:t>
      </w:r>
    </w:p>
    <w:p>
      <w:pPr>
        <w:pStyle w:val="10000-Empfehlung"/>
        <w:rPr>
          <w:spacing w:val="-2"/>
        </w:rPr>
      </w:pPr>
      <w:r>
        <w:rPr>
          <w:rStyle w:val="Emphasis"/>
          <w:i/>
        </w:rPr>
        <w:t>Dies KANN z. B. über BIOS-Passwörter oder über einen Zutrittsschutz umgesetzt werden.</w:t>
      </w:r>
    </w:p>
    <w:p>
      <w:pPr>
        <w:pStyle w:val="Heading3"/>
        <w:ind w:hanging="0" w:left="0"/>
        <w:rPr/>
      </w:pPr>
      <w:bookmarkStart w:id="516" w:name="__RefHeading___authentifizierung_59"/>
      <w:bookmarkStart w:id="517" w:name="_Toc178761359"/>
      <w:bookmarkStart w:id="518" w:name="authentifizierung"/>
      <w:bookmarkStart w:id="519" w:name="_Toc530662926"/>
      <w:bookmarkStart w:id="520" w:name="_Toc531165061"/>
      <w:bookmarkStart w:id="521" w:name="_Toc187327086"/>
      <w:bookmarkStart w:id="522" w:name="rl%25252525252525252525253Akap_10%25252d"/>
      <w:bookmarkEnd w:id="516"/>
      <w:bookmarkEnd w:id="522"/>
      <w:r>
        <w:rPr/>
        <w:t>Authentifizierung</w:t>
      </w:r>
      <w:bookmarkEnd w:id="517"/>
      <w:bookmarkEnd w:id="518"/>
      <w:bookmarkEnd w:id="519"/>
      <w:bookmarkEnd w:id="520"/>
      <w:bookmarkEnd w:id="521"/>
    </w:p>
    <w:p>
      <w:pPr>
        <w:pStyle w:val="10000-DefaultParagraph"/>
        <w:rPr/>
      </w:pPr>
      <w:r>
        <w:rPr/>
        <w:t>Der Zugang zu allen nichtöffentlichen Bereichen der IT-Systeme MUSS durch geeignete Anmeldeverfahren abgesichert werden, die eine Authentifizierung verlangen.</w:t>
      </w:r>
    </w:p>
    <w:p>
      <w:pPr>
        <w:pStyle w:val="10000-DefaultParagraph"/>
        <w:rPr/>
      </w:pPr>
      <w:r>
        <w:rPr/>
        <w:t>Die Anmeldeverfahren MÜSSEN folgende Punkte sicherstellen:</w:t>
      </w:r>
    </w:p>
    <w:p>
      <w:pPr>
        <w:pStyle w:val="10000-DefaultParagraph"/>
        <w:numPr>
          <w:ilvl w:val="0"/>
          <w:numId w:val="363"/>
        </w:numPr>
        <w:rPr/>
      </w:pPr>
      <w:r>
        <w:rPr/>
        <w:t>Das systematische Ausprobieren von Anmeldeinformationen wird erschwert.</w:t>
      </w:r>
    </w:p>
    <w:p>
      <w:pPr>
        <w:pStyle w:val="10000-DefaultParagraph"/>
        <w:numPr>
          <w:ilvl w:val="0"/>
          <w:numId w:val="364"/>
        </w:numPr>
        <w:rPr/>
      </w:pPr>
      <w:r>
        <w:rPr/>
        <w:t>Interaktive Sitzungen werden beendet oder gesperrt, wenn der Nutzer innerhalb einer vorgegebenen Zeitspanne keine Eingaben tätigt.</w:t>
      </w:r>
    </w:p>
    <w:p>
      <w:pPr>
        <w:pStyle w:val="10000-DefaultParagraph"/>
        <w:numPr>
          <w:ilvl w:val="0"/>
          <w:numId w:val="365"/>
        </w:numPr>
        <w:rPr/>
      </w:pPr>
      <w:r>
        <w:rPr/>
        <w:t>Erfolgt die Anmeldung über ein Netzwerk, so wird die Vertraulichkeit und Integrität der Anmeldeinformationen (z. B. mit Hilfe entsprechender Authentifizierungsprotokolle) sichergestellt.</w:t>
      </w:r>
    </w:p>
    <w:p>
      <w:pPr>
        <w:pStyle w:val="10000-DefaultParagraph"/>
        <w:rPr/>
      </w:pPr>
      <w:r>
        <w:rPr/>
        <w:t>Damit die Anmeldeverfahren zuverlässig arbeiten können, MÜSSEN folgende Punkte sichergestellt werden:</w:t>
      </w:r>
    </w:p>
    <w:p>
      <w:pPr>
        <w:pStyle w:val="10000-DefaultParagraph"/>
        <w:numPr>
          <w:ilvl w:val="0"/>
          <w:numId w:val="366"/>
        </w:numPr>
        <w:rPr/>
      </w:pPr>
      <w:r>
        <w:rPr/>
        <w:t xml:space="preserve">Zugänge werden strukturiert verwaltet (siehe </w:t>
      </w:r>
      <w:r>
        <w:rPr>
          <w:rStyle w:val="Hyperlink"/>
          <w:color w:val="auto"/>
          <w:u w:val="none"/>
        </w:rPr>
        <w:t xml:space="preserve">Kapitel </w:t>
      </w:r>
      <w:r>
        <w:rPr/>
        <w:fldChar w:fldCharType="begin"/>
      </w:r>
      <w:r>
        <w:rPr/>
        <w:instrText xml:space="preserve"> REF _Ref179186593 \n \n \h </w:instrText>
      </w:r>
      <w:r>
        <w:rPr/>
        <w:fldChar w:fldCharType="separate"/>
      </w:r>
      <w:r>
        <w:rPr/>
        <w:t>15</w:t>
      </w:r>
      <w:r>
        <w:rPr/>
        <w:fldChar w:fldCharType="end"/>
      </w:r>
      <w:r>
        <w:rPr/>
        <w:t>).</w:t>
      </w:r>
    </w:p>
    <w:p>
      <w:pPr>
        <w:pStyle w:val="Normal"/>
        <w:numPr>
          <w:ilvl w:val="0"/>
          <w:numId w:val="367"/>
        </w:numPr>
        <w:rPr/>
      </w:pPr>
      <w:commentRangeStart w:id="14"/>
      <w:r>
        <w:rPr/>
        <w:t>Es werden ausschließlich zuverlässige Authentifizierungsmechanism</w:t>
      </w:r>
      <w:r>
        <w:rPr/>
      </w:r>
      <w:commentRangeEnd w:id="14"/>
      <w:r>
        <w:commentReference w:id="14"/>
      </w:r>
      <w:r>
        <w:rPr/>
        <w:t>en wie z. B. Mehr-Faktor-Authentifizierungen oder kontinuierliche Authentifizierungen verwendet.</w:t>
      </w:r>
    </w:p>
    <w:p>
      <w:pPr>
        <w:pStyle w:val="10000-DefaultParagraph"/>
        <w:numPr>
          <w:ilvl w:val="0"/>
          <w:numId w:val="368"/>
        </w:numPr>
        <w:rPr>
          <w:ins w:id="7" w:author="Mark Semmler" w:date="2025-01-29T14:15:23Z"/>
        </w:rPr>
      </w:pPr>
      <w:r>
        <w:rPr/>
        <w:t>Es werden keine trivialen Authentifizierungsmerkmale (z. B. Standard-Passwörter oder einfach zu erratende Passwörter) verwendet.</w:t>
      </w:r>
    </w:p>
    <w:p>
      <w:pPr>
        <w:pStyle w:val="Empfehlung"/>
        <w:rPr/>
      </w:pPr>
      <w:ins w:id="8" w:author="Mark Semmler" w:date="2025-01-29T14:15:23Z">
        <w:r>
          <w:rPr/>
          <w:t xml:space="preserve">Zusätzlich SOLLTE </w:t>
        </w:r>
      </w:ins>
      <w:ins w:id="9" w:author="Mark Semmler" w:date="2025-01-29T14:15:23Z">
        <w:r>
          <w:rPr/>
          <w:t xml:space="preserve">die </w:t>
        </w:r>
      </w:ins>
      <w:ins w:id="10" w:author="Mark Semmler" w:date="2025-01-29T14:15:23Z">
        <w:r>
          <w:rPr/>
          <w:t xml:space="preserve">Authentifizierung </w:t>
        </w:r>
      </w:ins>
      <w:ins w:id="11" w:author="Mark Semmler" w:date="2025-01-29T14:15:23Z">
        <w:r>
          <w:rPr/>
          <w:t xml:space="preserve">eines Nutzers </w:t>
        </w:r>
      </w:ins>
      <w:ins w:id="12" w:author="Mark Semmler" w:date="2025-01-29T14:15:23Z">
        <w:r>
          <w:rPr/>
          <w:t xml:space="preserve">mit </w:t>
        </w:r>
      </w:ins>
      <w:ins w:id="13" w:author="Mark Semmler" w:date="2025-01-29T14:15:23Z">
        <w:r>
          <w:rPr/>
          <w:t>weiteren</w:t>
        </w:r>
      </w:ins>
      <w:ins w:id="14" w:author="Mark Semmler" w:date="2025-01-29T14:15:23Z">
        <w:r>
          <w:rPr/>
          <w:t xml:space="preserve"> Techniken kombiniert werden, um unter bestimmten Umständen </w:t>
        </w:r>
      </w:ins>
      <w:ins w:id="15" w:author="Mark Semmler" w:date="2025-01-29T14:15:23Z">
        <w:r>
          <w:rPr/>
          <w:t xml:space="preserve">eine </w:t>
        </w:r>
      </w:ins>
      <w:ins w:id="16" w:author="Mark Semmler" w:date="2025-01-29T14:15:23Z">
        <w:r>
          <w:rPr/>
          <w:t xml:space="preserve">zusätzliche </w:t>
        </w:r>
      </w:ins>
      <w:ins w:id="17" w:author="Mark Semmler" w:date="2025-01-29T14:15:23Z">
        <w:r>
          <w:rPr/>
          <w:t>Authentifizierung</w:t>
        </w:r>
      </w:ins>
      <w:ins w:id="18" w:author="Mark Semmler" w:date="2025-01-29T14:15:23Z">
        <w:r>
          <w:rPr/>
          <w:t xml:space="preserve"> zu verlangen, die auf vorab festgelegten Regeln und Mustern beruhen, z. B. </w:t>
        </w:r>
      </w:ins>
      <w:ins w:id="19" w:author="Mark Semmler" w:date="2025-01-29T14:15:23Z">
        <w:r>
          <w:rPr/>
          <w:t xml:space="preserve">wenn der Nutzer </w:t>
        </w:r>
      </w:ins>
      <w:ins w:id="20" w:author="Mark Semmler" w:date="2025-01-29T14:15:23Z">
        <w:r>
          <w:rPr/>
          <w:t xml:space="preserve">von einem ungewöhnlichen Standort aus, mit einem ungewöhnlichen Gerät oder zu einer ungewöhnlichen Zeit </w:t>
        </w:r>
      </w:ins>
      <w:ins w:id="21" w:author="Mark Semmler" w:date="2025-01-29T14:15:23Z">
        <w:r>
          <w:rPr/>
          <w:t>auf die IT der Organisation zugreift oder wen</w:t>
        </w:r>
      </w:ins>
      <w:ins w:id="22" w:author="Mark Semmler" w:date="2025-01-29T14:15:23Z">
        <w:r>
          <w:rPr/>
          <w:t>n bei ihm ungewöhnliche Zugriffe auf die Informationen der Organisation erkannt werden (in Umfang und/oder Art)</w:t>
        </w:r>
      </w:ins>
      <w:ins w:id="23" w:author="Mark Semmler" w:date="2025-01-29T14:15:23Z">
        <w:r>
          <w:rPr/>
          <w:t>.</w:t>
        </w:r>
      </w:ins>
      <w:ins w:id="24" w:author="Mark Semmler" w:date="2025-01-29T14:21:11Z">
        <w:r>
          <w:rPr/>
          <w:commentReference w:id="15"/>
        </w:r>
      </w:ins>
      <w:bookmarkStart w:id="523" w:name="zugaenge_und_zugriffe_del_zugriffsbeschr"/>
    </w:p>
    <w:p>
      <w:pPr>
        <w:pStyle w:val="Heading3"/>
        <w:ind w:hanging="0" w:left="0"/>
        <w:rPr/>
      </w:pPr>
      <w:bookmarkStart w:id="524" w:name="__RefHeading___Toc32030_2021121348"/>
      <w:bookmarkStart w:id="525" w:name="_Toc530662927"/>
      <w:bookmarkStart w:id="526" w:name="_Toc531165062"/>
      <w:bookmarkStart w:id="527" w:name="_Toc178761360"/>
      <w:bookmarkStart w:id="528" w:name="_Ref184204568"/>
      <w:bookmarkStart w:id="529" w:name="_Toc187327087"/>
      <w:bookmarkEnd w:id="524"/>
      <w:r>
        <w:rPr/>
        <w:t>Zugänge und Zugriffe</w:t>
      </w:r>
      <w:bookmarkEnd w:id="523"/>
      <w:bookmarkEnd w:id="525"/>
      <w:bookmarkEnd w:id="526"/>
      <w:bookmarkEnd w:id="527"/>
      <w:bookmarkEnd w:id="528"/>
      <w:bookmarkEnd w:id="529"/>
    </w:p>
    <w:p>
      <w:pPr>
        <w:pStyle w:val="10000-DefaultParagraph"/>
        <w:rPr/>
      </w:pPr>
      <w:r>
        <w:rPr/>
        <w:t>Administrative Tätigkeiten MÜSSEN über die speziell dafür vorgesehenen Zugänge erfolgen.</w:t>
      </w:r>
    </w:p>
    <w:p>
      <w:pPr>
        <w:pStyle w:val="10000-DefaultParagraph"/>
        <w:rPr/>
      </w:pPr>
      <w:r>
        <w:rPr/>
        <w:t>Diese DÜRFEN NICHT für die alltägliche Nutzung der IT-Systeme verwendet werden.</w:t>
      </w:r>
    </w:p>
    <w:p>
      <w:pPr>
        <w:pStyle w:val="10000-Empfehlung"/>
        <w:rPr/>
      </w:pPr>
      <w:r>
        <w:rPr>
          <w:rStyle w:val="Emphasis"/>
          <w:i/>
        </w:rPr>
        <w:t>Darüber hinaus SOLLTEN folgende Anforderungen erfüllt werden:</w:t>
      </w:r>
    </w:p>
    <w:p>
      <w:pPr>
        <w:pStyle w:val="10000-Empfehlung"/>
        <w:numPr>
          <w:ilvl w:val="0"/>
          <w:numId w:val="369"/>
        </w:numPr>
        <w:rPr/>
      </w:pPr>
      <w:r>
        <w:rPr>
          <w:rStyle w:val="Emphasis"/>
          <w:i/>
        </w:rPr>
        <w:t>Nutzer können nur auf Informationen lesend zugreifen, wenn dies für die Erfüllung ihrer Aufgaben notwendig ist („Need-to-Know“).</w:t>
      </w:r>
    </w:p>
    <w:p>
      <w:pPr>
        <w:pStyle w:val="10000-Empfehlung"/>
        <w:numPr>
          <w:ilvl w:val="0"/>
          <w:numId w:val="370"/>
        </w:numPr>
        <w:rPr/>
      </w:pPr>
      <w:r>
        <w:rPr>
          <w:rStyle w:val="Emphasis"/>
          <w:i/>
        </w:rPr>
        <w:t>Nutzer können nur auf Informationen schreibend zugreifen, wenn dies für die Erfüllung ihrer Aufgaben notwendig ist („Least-Privileges“).</w:t>
      </w:r>
    </w:p>
    <w:p>
      <w:pPr>
        <w:pStyle w:val="10000-Empfehlung"/>
        <w:numPr>
          <w:ilvl w:val="0"/>
          <w:numId w:val="371"/>
        </w:numPr>
        <w:rPr>
          <w:i/>
          <w:i/>
        </w:rPr>
      </w:pPr>
      <w:r>
        <w:rPr/>
        <w:t>Nutzer können nur jene Funktionen nutzen, die sie für die Erfüllung ihrer Aufgaben benötigen („Least-Functionality“).</w:t>
      </w:r>
    </w:p>
    <w:p>
      <w:pPr>
        <w:pStyle w:val="Heading2"/>
        <w:ind w:hanging="0" w:left="0"/>
        <w:rPr/>
      </w:pPr>
      <w:bookmarkStart w:id="530" w:name="__RefHeading___Toc32032_2021121348"/>
      <w:bookmarkStart w:id="531" w:name="_Ref184300103"/>
      <w:bookmarkStart w:id="532" w:name="_Ref184300120"/>
      <w:bookmarkStart w:id="533" w:name="_Ref184300124"/>
      <w:bookmarkStart w:id="534" w:name="_Toc178761361"/>
      <w:bookmarkStart w:id="535" w:name="rl%25252525252525252525253Akap_10%25252e"/>
      <w:bookmarkStart w:id="536" w:name="_Ref184300091"/>
      <w:bookmarkStart w:id="537" w:name="_Toc187327088"/>
      <w:bookmarkStart w:id="538" w:name="zusaetzliche_massnahmen_fuer_mobile_it-s"/>
      <w:bookmarkStart w:id="539" w:name="_Toc178588085"/>
      <w:bookmarkStart w:id="540" w:name="_Ref184300115"/>
      <w:bookmarkStart w:id="541" w:name="_Toc531165063"/>
      <w:bookmarkStart w:id="542" w:name="_Toc530662928"/>
      <w:bookmarkEnd w:id="530"/>
      <w:bookmarkEnd w:id="535"/>
      <w:r>
        <w:rPr/>
        <w:t>Zusätzliche Maßnahmen für mobile IT-Systeme</w:t>
      </w:r>
      <w:bookmarkEnd w:id="531"/>
      <w:bookmarkEnd w:id="532"/>
      <w:bookmarkEnd w:id="533"/>
      <w:bookmarkEnd w:id="534"/>
      <w:bookmarkEnd w:id="536"/>
      <w:bookmarkEnd w:id="537"/>
      <w:bookmarkEnd w:id="538"/>
      <w:bookmarkEnd w:id="539"/>
      <w:bookmarkEnd w:id="540"/>
      <w:bookmarkEnd w:id="541"/>
      <w:bookmarkEnd w:id="542"/>
    </w:p>
    <w:p>
      <w:pPr>
        <w:pStyle w:val="Heading3"/>
        <w:ind w:hanging="0" w:left="0"/>
        <w:rPr/>
      </w:pPr>
      <w:bookmarkStart w:id="543" w:name="__RefHeading___Toc32034_2021121348"/>
      <w:bookmarkStart w:id="544" w:name="_Toc187327089"/>
      <w:bookmarkEnd w:id="543"/>
      <w:r>
        <w:rPr/>
        <w:t>Grundlagen</w:t>
      </w:r>
      <w:bookmarkEnd w:id="544"/>
    </w:p>
    <w:p>
      <w:pPr>
        <w:pStyle w:val="10000-DefaultParagraph"/>
        <w:rPr/>
      </w:pPr>
      <w:r>
        <w:rPr/>
        <w:t>Mobile IT-Systeme sind in besonderer Weise Gefährdungen durch Diebstahl, unautorisiertem Zutritt oder unsichere Netze ausgesetzt, die zusätzliche Maßnahmen erforderlich machen.</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für alle mobilen IT-Systeme umgesetzt werden.</w:t>
      </w:r>
      <w:r>
        <w:rPr>
          <w:rStyle w:val="Style"/>
        </w:rPr>
        <w:fldChar w:fldCharType="end"/>
      </w:r>
    </w:p>
    <w:p>
      <w:pPr>
        <w:pStyle w:val="Heading3"/>
        <w:ind w:hanging="0" w:left="0"/>
        <w:rPr/>
      </w:pPr>
      <w:bookmarkStart w:id="545" w:name="__RefHeading___is-richtlinie_62"/>
      <w:bookmarkStart w:id="546" w:name="_Toc530662929"/>
      <w:bookmarkStart w:id="547" w:name="rl%25252525252525252525253Akap_10%25252f"/>
      <w:bookmarkStart w:id="548" w:name="_Toc187327090"/>
      <w:bookmarkStart w:id="549" w:name="_Toc178761362"/>
      <w:bookmarkStart w:id="550" w:name="_Toc531165064"/>
      <w:bookmarkStart w:id="551" w:name="is-richtlinie"/>
      <w:bookmarkEnd w:id="545"/>
      <w:bookmarkEnd w:id="547"/>
      <w:r>
        <w:rPr/>
        <w:t>IS-Richtlinie</w:t>
      </w:r>
      <w:bookmarkEnd w:id="546"/>
      <w:bookmarkEnd w:id="548"/>
      <w:bookmarkEnd w:id="549"/>
      <w:bookmarkEnd w:id="550"/>
      <w:bookmarkEnd w:id="551"/>
    </w:p>
    <w:p>
      <w:pPr>
        <w:pStyle w:val="10000-DefaultParagraph"/>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IT-Systemen getroffen werden:</w:t>
      </w:r>
    </w:p>
    <w:p>
      <w:pPr>
        <w:pStyle w:val="10000-DefaultParagraph"/>
        <w:numPr>
          <w:ilvl w:val="0"/>
          <w:numId w:val="372"/>
        </w:numPr>
        <w:rPr/>
      </w:pPr>
      <w:r>
        <w:rPr/>
        <w:t>Es wird festgelegt, welche Informationen auf den mobilen IT-Systemen erhoben, verarbeitet, gespeichert und übertragen werden dürfen.</w:t>
      </w:r>
    </w:p>
    <w:p>
      <w:pPr>
        <w:pStyle w:val="10000-DefaultParagraph"/>
        <w:numPr>
          <w:ilvl w:val="0"/>
          <w:numId w:val="373"/>
        </w:numPr>
        <w:rPr/>
      </w:pPr>
      <w:r>
        <w:rPr/>
        <w:t>Die Verantwortung für die Datensicherung wird definiert.</w:t>
      </w:r>
    </w:p>
    <w:p>
      <w:pPr>
        <w:pStyle w:val="10000-DefaultParagraph"/>
        <w:numPr>
          <w:ilvl w:val="0"/>
          <w:numId w:val="374"/>
        </w:numPr>
        <w:rPr/>
      </w:pPr>
      <w:r>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75"/>
        </w:numPr>
        <w:rPr/>
      </w:pPr>
      <w:r>
        <w:rPr/>
        <w:t>Es wird untersagt, mobile IT-Systeme an unberechtigte Dritte weiterzugeben.</w:t>
      </w:r>
    </w:p>
    <w:p>
      <w:pPr>
        <w:pStyle w:val="10000-DefaultParagraph"/>
        <w:numPr>
          <w:ilvl w:val="0"/>
          <w:numId w:val="376"/>
        </w:numPr>
        <w:rPr/>
      </w:pPr>
      <w:r>
        <w:rPr/>
        <w:t>Es wird definiert, ob und welche Software auf den mobilen IT-Systemen von den Nutzern installiert werden darf.</w:t>
      </w:r>
    </w:p>
    <w:p>
      <w:pPr>
        <w:pStyle w:val="10000-DefaultParagraph"/>
        <w:numPr>
          <w:ilvl w:val="0"/>
          <w:numId w:val="377"/>
        </w:numPr>
        <w:rPr/>
      </w:pPr>
      <w:r>
        <w:rPr/>
        <w:t>Es wird definiert, ob und unter welchen Bedingungen ein Administrator das mobile IT-System orten darf.</w:t>
      </w:r>
    </w:p>
    <w:p>
      <w:pPr>
        <w:pStyle w:val="10000-DefaultParagraph"/>
        <w:numPr>
          <w:ilvl w:val="0"/>
          <w:numId w:val="378"/>
        </w:numPr>
        <w:rPr/>
      </w:pPr>
      <w:r>
        <w:rPr/>
        <w:t>Es wird definiert, ob und unter welchen Bedingungen ein Administrator die auf einem mobilen IT-System gespeicherten Informationen aus der Ferne löschen darf.</w:t>
      </w:r>
    </w:p>
    <w:p>
      <w:pPr>
        <w:pStyle w:val="Heading3"/>
        <w:ind w:hanging="0" w:left="0"/>
        <w:rPr/>
      </w:pPr>
      <w:bookmarkStart w:id="552" w:name="__RefHeading___schutz_der_informationen_"/>
      <w:bookmarkStart w:id="553" w:name="schutz_der_informationen"/>
      <w:bookmarkStart w:id="554" w:name="rl%25252525252525252525253Akap_10%25252g"/>
      <w:bookmarkStart w:id="555" w:name="_Toc531165065"/>
      <w:bookmarkStart w:id="556" w:name="_Toc187327091"/>
      <w:bookmarkStart w:id="557" w:name="_Toc178761363"/>
      <w:bookmarkStart w:id="558" w:name="_Toc530662930"/>
      <w:bookmarkEnd w:id="552"/>
      <w:bookmarkEnd w:id="554"/>
      <w:r>
        <w:rPr/>
        <w:t>Schutz der Informationen</w:t>
      </w:r>
      <w:bookmarkEnd w:id="553"/>
      <w:bookmarkEnd w:id="555"/>
      <w:bookmarkEnd w:id="556"/>
      <w:bookmarkEnd w:id="557"/>
      <w:bookmarkEnd w:id="558"/>
    </w:p>
    <w:p>
      <w:pPr>
        <w:pStyle w:val="10000-DefaultParagraph"/>
        <w:rPr/>
      </w:pPr>
      <w:r>
        <w:rPr/>
        <w:t>Die auf dem mobilen IT-Systemengespeicherten Informationen der Organisation MÜSSEN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IT-Systemen durch kryptografische Maßnahmen vor dem Verlust ihrer Vertraulichkeit und Integrität geschützt werden.</w:t>
      </w:r>
    </w:p>
    <w:p>
      <w:pPr>
        <w:pStyle w:val="Heading3"/>
        <w:ind w:hanging="0" w:left="0"/>
        <w:rPr/>
      </w:pPr>
      <w:bookmarkStart w:id="559" w:name="__RefHeading___verlust_64"/>
      <w:bookmarkStart w:id="560" w:name="_Toc531165066"/>
      <w:bookmarkStart w:id="561" w:name="verlust"/>
      <w:bookmarkStart w:id="562" w:name="_Toc187327092"/>
      <w:bookmarkStart w:id="563" w:name="_Toc530662931"/>
      <w:bookmarkStart w:id="564" w:name="_Toc178761364"/>
      <w:bookmarkStart w:id="565" w:name="rl%25252525252525252525253Akap_10%25252h"/>
      <w:bookmarkEnd w:id="559"/>
      <w:bookmarkEnd w:id="565"/>
      <w:r>
        <w:rPr/>
        <w:t>Verlust</w:t>
      </w:r>
      <w:bookmarkEnd w:id="560"/>
      <w:bookmarkEnd w:id="561"/>
      <w:bookmarkEnd w:id="562"/>
      <w:bookmarkEnd w:id="563"/>
      <w:bookmarkEnd w:id="564"/>
    </w:p>
    <w:p>
      <w:pPr>
        <w:pStyle w:val="10000-DefaultParagraph"/>
        <w:rPr/>
      </w:pPr>
      <w:r>
        <w:rPr/>
        <w:t>Es MÜSSEN Verfahren (siehe</w:t>
      </w:r>
      <w:r>
        <w:rPr>
          <w:spacing w:val="-2"/>
        </w:rPr>
        <w:t xml:space="preserve"> Anhang</w:t>
      </w:r>
      <w:r>
        <w:rPr/>
        <w:t xml:space="preserve"> </w:t>
      </w:r>
      <w:r>
        <w:rPr/>
        <w:fldChar w:fldCharType="begin"/>
      </w:r>
      <w:r>
        <w:rPr/>
        <w:instrText xml:space="preserve"> REF _Ref179186850 \n \n \h </w:instrText>
      </w:r>
      <w:r>
        <w:rPr/>
        <w:fldChar w:fldCharType="separate"/>
      </w:r>
      <w:r>
        <w:rPr/>
        <w:t>A.1</w:t>
      </w:r>
      <w:r>
        <w:rPr/>
        <w:fldChar w:fldCharType="end"/>
      </w:r>
      <w:r>
        <w:rPr/>
        <w:t>) implementiert werden, die festlegen, wie Nutzer und Administratoren bei Verlust eines mobilen IT-Systems vorzugehen haben.</w:t>
      </w:r>
    </w:p>
    <w:p>
      <w:pPr>
        <w:pStyle w:val="10000-DefaultParagraph"/>
        <w:rPr/>
      </w:pPr>
      <w:r>
        <w:rPr/>
        <w:t>Die Verfahren MÜSSEN insbesondere festlegen, wie und an wen der Verlust zu melden ist und welche Sofortreaktion zu erfolgen hat.</w:t>
      </w:r>
    </w:p>
    <w:p>
      <w:pPr>
        <w:pStyle w:val="10000-DefaultParagraph"/>
        <w:rPr/>
      </w:pPr>
      <w: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pPr>
      <w:r>
        <w:rPr/>
        <w:t xml:space="preserve">Der Verlust eines mobilen IT-Systems MUSS als Sicherheitsvorfall (siehe Kapitel </w:t>
      </w:r>
      <w:r>
        <w:rPr/>
        <w:fldChar w:fldCharType="begin"/>
      </w:r>
      <w:r>
        <w:rPr/>
        <w:instrText xml:space="preserve"> REF _Ref179186901 \n \n \h </w:instrText>
      </w:r>
      <w:r>
        <w:rPr/>
        <w:fldChar w:fldCharType="separate"/>
      </w:r>
      <w:r>
        <w:rPr/>
        <w:t>17</w:t>
      </w:r>
      <w:r>
        <w:rPr/>
        <w:fldChar w:fldCharType="end"/>
      </w:r>
      <w:r>
        <w:rPr/>
        <w:t>) behandelt werden.</w:t>
      </w:r>
    </w:p>
    <w:p>
      <w:pPr>
        <w:pStyle w:val="Heading2"/>
        <w:ind w:hanging="0" w:left="0"/>
        <w:rPr/>
      </w:pPr>
      <w:bookmarkStart w:id="566" w:name="__RefHeading___Toc42885_2021121348"/>
      <w:bookmarkEnd w:id="566"/>
      <w:r>
        <w:rPr/>
        <w:t>Zusätzliche Maßnahmen für wichtige IT-Systeme</w:t>
      </w:r>
    </w:p>
    <w:p>
      <w:pPr>
        <w:pStyle w:val="Normal"/>
        <w:rPr/>
      </w:pPr>
      <w:r>
        <w:rPr/>
        <w:t>Für wichtige IT-Systeme MUSS eine Risikoidentifikation, -analyse und –behandlung etabliert werden (siehe Anhang A 2).</w:t>
      </w:r>
    </w:p>
    <w:p>
      <w:pPr>
        <w:pStyle w:val="Normal"/>
        <w:rPr/>
      </w:pPr>
      <w:r>
        <w:rPr/>
        <w:t>Zusätzlich zur Risikoidentifikation, -analyse und –behandlung  MÜSSEN für alle wichtigen IT-Systeme die Maßnahmen der folgenden Abschnitte umgesetzt werden.</w:t>
      </w:r>
    </w:p>
    <w:p>
      <w:pPr>
        <w:pStyle w:val="Normal"/>
        <w:rPr/>
      </w:pPr>
      <w:r>
        <w:rPr/>
        <w:t>Wenn Maßnahmen der folgenden Abschnitte nicht umgesetzt werden, MUSS dem dadurch entstehenden Risiko in der Risikoidentifikation, -analyse und –behandlung der entsprechenden IT-Systeme begegnet werden.</w:t>
      </w:r>
    </w:p>
    <w:p>
      <w:pPr>
        <w:pStyle w:val="Heading3"/>
        <w:ind w:hanging="0" w:left="0"/>
        <w:rPr/>
      </w:pPr>
      <w:bookmarkStart w:id="567" w:name="__RefHeading___dokumentation_71"/>
      <w:bookmarkStart w:id="568" w:name="dokumentation"/>
      <w:bookmarkStart w:id="569" w:name="_Toc178761371"/>
      <w:bookmarkStart w:id="570" w:name="_Toc187327100"/>
      <w:bookmarkStart w:id="571" w:name="_Toc530662938"/>
      <w:bookmarkStart w:id="572" w:name="_Ref184204582"/>
      <w:bookmarkStart w:id="573" w:name="rl%25252525252525252525253Akap_10%25252i"/>
      <w:bookmarkStart w:id="574" w:name="_Toc531165073"/>
      <w:bookmarkEnd w:id="567"/>
      <w:bookmarkEnd w:id="573"/>
      <w:r>
        <w:rPr/>
        <w:t>Dokumentation</w:t>
      </w:r>
      <w:bookmarkEnd w:id="568"/>
      <w:bookmarkEnd w:id="569"/>
      <w:bookmarkEnd w:id="570"/>
      <w:bookmarkEnd w:id="571"/>
      <w:bookmarkEnd w:id="572"/>
      <w:bookmarkEnd w:id="574"/>
    </w:p>
    <w:p>
      <w:pPr>
        <w:pStyle w:val="10000-DefaultParagraph"/>
        <w:rPr/>
      </w:pPr>
      <w:r>
        <w:rPr/>
        <w:t xml:space="preserve">Für jedes </w:t>
      </w:r>
      <w:r>
        <w:rPr>
          <w:shd w:fill="auto" w:val="clear"/>
        </w:rPr>
        <w:t xml:space="preserve">wichtige </w:t>
      </w:r>
      <w:r>
        <w:rPr/>
        <w:t>IT-System MUSS eine Dokumentation vorhanden sein.</w:t>
      </w:r>
    </w:p>
    <w:p>
      <w:pPr>
        <w:pStyle w:val="10000-DefaultParagraph"/>
        <w:rPr/>
      </w:pPr>
      <w:r>
        <w:rPr/>
        <w:t>Anhand der Dokumentation MUSS es fachlich versierten Personen möglich sein, folgende Punkte nachzuvollziehen:</w:t>
      </w:r>
    </w:p>
    <w:p>
      <w:pPr>
        <w:pStyle w:val="10000-DefaultParagraph"/>
        <w:numPr>
          <w:ilvl w:val="0"/>
          <w:numId w:val="379"/>
        </w:numPr>
        <w:rPr/>
      </w:pPr>
      <w:r>
        <w:rPr/>
        <w:t>Wer ist für das IT-System verantwortlich?</w:t>
      </w:r>
    </w:p>
    <w:p>
      <w:pPr>
        <w:pStyle w:val="10000-DefaultParagraph"/>
        <w:numPr>
          <w:ilvl w:val="0"/>
          <w:numId w:val="380"/>
        </w:numPr>
        <w:rPr/>
      </w:pPr>
      <w:r>
        <w:rPr/>
        <w:t>Wie und mit welchen Zugängen und Authentifizierungsmerkmalen ist der administrative Zugang zum IT-System möglich?</w:t>
      </w:r>
    </w:p>
    <w:p>
      <w:pPr>
        <w:pStyle w:val="10000-DefaultParagraph"/>
        <w:numPr>
          <w:ilvl w:val="0"/>
          <w:numId w:val="381"/>
        </w:numPr>
        <w:rPr/>
      </w:pPr>
      <w:r>
        <w:rPr/>
        <w:t>Welche grundlegenden Designentscheidungen wurden bei der Installation getroffen?</w:t>
      </w:r>
    </w:p>
    <w:p>
      <w:pPr>
        <w:pStyle w:val="10000-DefaultParagraph"/>
        <w:numPr>
          <w:ilvl w:val="0"/>
          <w:numId w:val="382"/>
        </w:numPr>
        <w:rPr/>
      </w:pPr>
      <w:r>
        <w:rPr/>
        <w:t>Welche Änderungen wurden vorgenommen?</w:t>
      </w:r>
    </w:p>
    <w:p>
      <w:pPr>
        <w:pStyle w:val="10000-DefaultParagraph"/>
        <w:numPr>
          <w:ilvl w:val="0"/>
          <w:numId w:val="383"/>
        </w:numPr>
        <w:rPr/>
      </w:pPr>
      <w:r>
        <w:rPr/>
        <w:t>Wann wurden sie vorgenommen?</w:t>
      </w:r>
    </w:p>
    <w:p>
      <w:pPr>
        <w:pStyle w:val="10000-DefaultParagraph"/>
        <w:numPr>
          <w:ilvl w:val="0"/>
          <w:numId w:val="384"/>
        </w:numPr>
        <w:rPr/>
      </w:pPr>
      <w:r>
        <w:rPr/>
        <w:t>Wer hat sie vorgenommen?</w:t>
      </w:r>
    </w:p>
    <w:p>
      <w:pPr>
        <w:pStyle w:val="10000-DefaultParagraph"/>
        <w:numPr>
          <w:ilvl w:val="0"/>
          <w:numId w:val="385"/>
        </w:numPr>
        <w:rPr/>
      </w:pPr>
      <w:r>
        <w:rPr/>
        <w:t>Warum wurden sie vorgenommen?</w:t>
      </w:r>
    </w:p>
    <w:p>
      <w:pPr>
        <w:pStyle w:val="10000-Empfehlung"/>
        <w:rPr/>
      </w:pPr>
      <w:r>
        <w:rPr/>
        <w:t xml:space="preserve">Eine unvollständige oder falsche Dokumentation SOLLTE als Sicherheitsvorfall (siehe Kapitel </w:t>
      </w:r>
      <w:r>
        <w:rPr/>
        <w:fldChar w:fldCharType="begin"/>
      </w:r>
      <w:r>
        <w:rPr/>
        <w:instrText xml:space="preserve"> REF _Ref179378695 \n \n \h </w:instrText>
      </w:r>
      <w:r>
        <w:rPr/>
        <w:fldChar w:fldCharType="separate"/>
      </w:r>
      <w:r>
        <w:rPr/>
        <w:t>17</w:t>
      </w:r>
      <w:r>
        <w:rPr/>
        <w:fldChar w:fldCharType="end"/>
      </w:r>
      <w:r>
        <w:rPr/>
        <w:t>) behandelt werden.</w:t>
      </w:r>
    </w:p>
    <w:p>
      <w:pPr>
        <w:pStyle w:val="Heading3"/>
        <w:ind w:hanging="0" w:left="0"/>
        <w:rPr/>
      </w:pPr>
      <w:bookmarkStart w:id="575" w:name="__RefHeading___datensicherung_72"/>
      <w:bookmarkStart w:id="576" w:name="datensicherung"/>
      <w:bookmarkStart w:id="577" w:name="rl%25252525252525252525253Akap_10%25252j"/>
      <w:bookmarkStart w:id="578" w:name="_Toc187327101"/>
      <w:bookmarkStart w:id="579" w:name="_Toc531165074"/>
      <w:bookmarkStart w:id="580" w:name="_Toc178761372"/>
      <w:bookmarkStart w:id="581" w:name="_Toc530662939"/>
      <w:bookmarkEnd w:id="575"/>
      <w:bookmarkEnd w:id="577"/>
      <w:r>
        <w:rPr/>
        <w:t>Datensicherung</w:t>
      </w:r>
      <w:bookmarkEnd w:id="576"/>
      <w:bookmarkEnd w:id="578"/>
      <w:bookmarkEnd w:id="579"/>
      <w:bookmarkEnd w:id="580"/>
      <w:bookmarkEnd w:id="581"/>
    </w:p>
    <w:p>
      <w:pPr>
        <w:pStyle w:val="10000-DefaultParagraph"/>
        <w:rPr/>
      </w:pPr>
      <w:r>
        <w:rPr/>
        <w:t xml:space="preserve">Alle </w:t>
      </w:r>
      <w:r>
        <w:rPr>
          <w:shd w:fill="auto" w:val="clear"/>
        </w:rPr>
        <w:t xml:space="preserve">wichtigen </w:t>
      </w:r>
      <w:r>
        <w:rPr/>
        <w:t xml:space="preserve">IT-Systeme MÜSSEN über eine Datensicherung (siehe Kapitel </w:t>
      </w:r>
      <w:r>
        <w:rPr/>
        <w:fldChar w:fldCharType="begin"/>
      </w:r>
      <w:r>
        <w:rPr/>
        <w:instrText xml:space="preserve"> REF _Ref179378737 \n \n \h </w:instrText>
      </w:r>
      <w:r>
        <w:rPr/>
        <w:fldChar w:fldCharType="separate"/>
      </w:r>
      <w:r>
        <w:rPr/>
        <w:t>16</w:t>
      </w:r>
      <w:r>
        <w:rPr/>
        <w:fldChar w:fldCharType="end"/>
      </w:r>
      <w:r>
        <w:fldChar w:fldCharType="begin"/>
      </w:r>
      <w:r>
        <w:rPr>
          <w:rStyle w:val="Style"/>
        </w:rPr>
        <w:instrText xml:space="preserve"> HYPERLINK "https://www.mark-semmler.de/vds/doku.php?id=3473:16_datensicherung" \l "16_datensicherung_und_archivierung"</w:instrText>
      </w:r>
      <w:r>
        <w:rPr>
          <w:rStyle w:val="Style"/>
        </w:rPr>
        <w:fldChar w:fldCharType="separate"/>
      </w:r>
      <w:r>
        <w:rPr>
          <w:rStyle w:val="Style"/>
        </w:rPr>
        <w:t>) verfügen.</w:t>
      </w:r>
      <w:r>
        <w:rPr>
          <w:rStyle w:val="Style"/>
        </w:rPr>
        <w:fldChar w:fldCharType="end"/>
      </w:r>
    </w:p>
    <w:p>
      <w:pPr>
        <w:pStyle w:val="Heading3"/>
        <w:ind w:hanging="0" w:left="0"/>
        <w:rPr/>
      </w:pPr>
      <w:bookmarkStart w:id="582" w:name="__RefHeading___ueberwachung_73"/>
      <w:bookmarkStart w:id="583" w:name="_Toc531165075"/>
      <w:bookmarkStart w:id="584" w:name="_Toc187327102"/>
      <w:bookmarkStart w:id="585" w:name="ueberwachung"/>
      <w:bookmarkStart w:id="586" w:name="_Toc178761373"/>
      <w:bookmarkStart w:id="587" w:name="rl%25252525252525252525253Akap_10%25252k"/>
      <w:bookmarkStart w:id="588" w:name="_Toc530662940"/>
      <w:bookmarkEnd w:id="582"/>
      <w:bookmarkEnd w:id="587"/>
      <w:r>
        <w:rPr/>
        <w:t>Überwachung</w:t>
      </w:r>
      <w:bookmarkEnd w:id="583"/>
      <w:bookmarkEnd w:id="584"/>
      <w:bookmarkEnd w:id="585"/>
      <w:bookmarkEnd w:id="586"/>
      <w:bookmarkEnd w:id="588"/>
    </w:p>
    <w:p>
      <w:pPr>
        <w:pStyle w:val="10000-DefaultParagraph"/>
        <w:rPr/>
      </w:pPr>
      <w:r>
        <w:rPr/>
        <w:t xml:space="preserve">Es MUSS überwacht werden, ob sich </w:t>
      </w:r>
      <w:r>
        <w:rPr>
          <w:shd w:fill="auto" w:val="clear"/>
        </w:rPr>
        <w:t xml:space="preserve">wichtige </w:t>
      </w:r>
      <w:r>
        <w:rPr/>
        <w:t>IT-Systeme im Regelbetrieb befinden.</w:t>
      </w:r>
    </w:p>
    <w:p>
      <w:pPr>
        <w:pStyle w:val="10000-DefaultParagraph"/>
        <w:rPr/>
      </w:pPr>
      <w:r>
        <w:rPr/>
        <w:t xml:space="preserve">Dabei MUSS sichergestellt werden, dass der Ausfall eines </w:t>
      </w:r>
      <w:r>
        <w:rPr>
          <w:shd w:fill="auto" w:val="clear"/>
        </w:rPr>
        <w:t xml:space="preserve">wichtigen </w:t>
      </w:r>
      <w:r>
        <w:rPr/>
        <w:t>IT-Systems erkannt und entsprechende Gegenmaßnahmen eingeleitet werden.</w:t>
      </w:r>
    </w:p>
    <w:p>
      <w:pPr>
        <w:pStyle w:val="10000-Empfehlung"/>
        <w:rPr/>
      </w:pPr>
      <w:r>
        <w:rPr>
          <w:rStyle w:val="Emphasis"/>
          <w:i/>
        </w:rPr>
        <w:t xml:space="preserve">Darüber hinaus SOLLTEN die Ressourcen </w:t>
      </w:r>
      <w:r>
        <w:rPr>
          <w:rStyle w:val="Emphasis"/>
          <w:i/>
          <w:shd w:fill="auto" w:val="clear"/>
        </w:rPr>
        <w:t xml:space="preserve">wichtiger </w:t>
      </w:r>
      <w:r>
        <w:rPr>
          <w:rStyle w:val="Emphasis"/>
          <w:i/>
        </w:rPr>
        <w:t>IT-Systeme überwacht werden, um Engpässe zu erkennen, bevor sie akut werden.</w:t>
      </w:r>
    </w:p>
    <w:p>
      <w:pPr>
        <w:pStyle w:val="Heading3"/>
        <w:ind w:hanging="0" w:left="0"/>
        <w:rPr/>
      </w:pPr>
      <w:bookmarkStart w:id="589" w:name="__RefHeading___kritische_individualsoftw"/>
      <w:bookmarkEnd w:id="589"/>
      <w:r>
        <w:rPr/>
        <w:t>Wichtige</w:t>
      </w:r>
      <w:bookmarkStart w:id="590" w:name="_Toc531165077"/>
      <w:bookmarkStart w:id="591" w:name="kritische_individualsoftware"/>
      <w:bookmarkStart w:id="592" w:name="_Toc530662942"/>
      <w:bookmarkStart w:id="593" w:name="_Toc187327104"/>
      <w:bookmarkStart w:id="594" w:name="_Toc178761375"/>
      <w:r>
        <w:rPr/>
        <w:t xml:space="preserve"> Individualsoftware</w:t>
      </w:r>
      <w:bookmarkEnd w:id="590"/>
      <w:bookmarkEnd w:id="591"/>
      <w:bookmarkEnd w:id="592"/>
      <w:bookmarkEnd w:id="593"/>
      <w:bookmarkEnd w:id="594"/>
    </w:p>
    <w:p>
      <w:pPr>
        <w:pStyle w:val="10000-DefaultParagraph"/>
        <w:rPr/>
      </w:pPr>
      <w:r>
        <w:rPr>
          <w:rStyle w:val="Emphasis"/>
          <w:i w:val="false"/>
          <w:iCs w:val="false"/>
        </w:rPr>
        <w:t xml:space="preserve">Die Organisation MUSS durch vertragliche und/oder organisatorische Regelungen sicherstellen, dass sie </w:t>
      </w:r>
      <w:r>
        <w:rPr>
          <w:rStyle w:val="Emphasis"/>
          <w:i w:val="false"/>
          <w:iCs w:val="false"/>
          <w:shd w:fill="auto" w:val="clear"/>
        </w:rPr>
        <w:t xml:space="preserve">wichtige </w:t>
      </w:r>
      <w:r>
        <w:rPr>
          <w:rStyle w:val="Emphasis"/>
          <w:i w:val="false"/>
          <w:iCs w:val="false"/>
        </w:rPr>
        <w:t>Individualsoftware auch in Zukunft verwenden und ihren Bedürfnissen anpassen kann.</w:t>
      </w:r>
    </w:p>
    <w:p>
      <w:pPr>
        <w:pStyle w:val="Heading3"/>
        <w:ind w:hanging="0" w:left="0"/>
        <w:rPr/>
      </w:pPr>
      <w:bookmarkStart w:id="595" w:name="__RefHeading___Toc42887_2021121348"/>
      <w:bookmarkEnd w:id="595"/>
      <w:r>
        <w:rPr>
          <w:rStyle w:val="Emphasis"/>
          <w:i w:val="false"/>
          <w:iCs w:val="false"/>
        </w:rPr>
        <w:t>Entwicklung, Beschaffung und Wartung wichtiger IT-Systeme, IT-Komponenten und Individualsoftware</w:t>
      </w:r>
    </w:p>
    <w:p>
      <w:pPr>
        <w:pStyle w:val="Normal"/>
        <w:rPr/>
      </w:pPr>
      <w:r>
        <w:rPr>
          <w:rStyle w:val="Emphasis"/>
          <w:i w:val="false"/>
          <w:iCs w:val="false"/>
        </w:rPr>
        <w:t>Bei Entwicklung, Beschaffung und Wartung von wichtiger Software, wichtigen IT-Systemen und wichtigen IT-Komponenten MÜSSEN die folgenden Anforderungen erfüllt werden:</w:t>
      </w:r>
    </w:p>
    <w:p>
      <w:pPr>
        <w:pStyle w:val="Normal"/>
        <w:numPr>
          <w:ilvl w:val="0"/>
          <w:numId w:val="386"/>
        </w:numPr>
        <w:rPr/>
      </w:pPr>
      <w:r>
        <w:rPr/>
        <w:t>Die Sicherheitsanforderungen an das Produkt werden durch eine Risikoanalyse und -behandlung definiert.</w:t>
      </w:r>
    </w:p>
    <w:p>
      <w:pPr>
        <w:pStyle w:val="Normal"/>
        <w:numPr>
          <w:ilvl w:val="0"/>
          <w:numId w:val="387"/>
        </w:numPr>
        <w:rPr/>
      </w:pPr>
      <w:r>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rPr>
        <w:t>Bei umfangreicheren Projekten SOLLTE ein Lasten- und Pflichtenheft erstellt und projektbegleitend gepflegt werden.</w:t>
      </w:r>
    </w:p>
    <w:p>
      <w:pPr>
        <w:pStyle w:val="Heading2"/>
        <w:ind w:hanging="0" w:left="0"/>
        <w:rPr/>
      </w:pPr>
      <w:bookmarkStart w:id="596" w:name="__RefHeading___Toc32036_2021121348"/>
      <w:bookmarkStart w:id="597" w:name="_Toc187327093"/>
      <w:bookmarkStart w:id="598" w:name="_Toc178761365"/>
      <w:bookmarkStart w:id="599" w:name="_Toc178588086"/>
      <w:bookmarkStart w:id="600" w:name="_Toc531165067"/>
      <w:bookmarkStart w:id="601" w:name="_Toc530662932"/>
      <w:bookmarkStart w:id="602" w:name="rl%25252525252525252525253Akap_10%25252l"/>
      <w:bookmarkEnd w:id="596"/>
      <w:bookmarkEnd w:id="602"/>
      <w:r>
        <w:rPr/>
        <w:t>Zusätzliche Maßnahmen für kritische IT-Systeme</w:t>
      </w:r>
      <w:bookmarkEnd w:id="597"/>
      <w:bookmarkEnd w:id="598"/>
      <w:bookmarkEnd w:id="599"/>
      <w:bookmarkEnd w:id="600"/>
      <w:bookmarkEnd w:id="601"/>
    </w:p>
    <w:p>
      <w:pPr>
        <w:pStyle w:val="Heading3"/>
        <w:ind w:hanging="0" w:left="0"/>
        <w:rPr/>
      </w:pPr>
      <w:bookmarkStart w:id="603" w:name="__RefHeading___Toc32038_2021121348"/>
      <w:bookmarkStart w:id="604" w:name="_Toc187327094"/>
      <w:bookmarkEnd w:id="603"/>
      <w:r>
        <w:rPr/>
        <w:t>Grundlagen</w:t>
      </w:r>
      <w:bookmarkEnd w:id="604"/>
      <w:r>
        <w:rPr/>
        <w:t xml:space="preserve"> </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zusätzlich für alle kritischen IT-Systeme umgesetzt werden.</w:t>
      </w:r>
      <w:r>
        <w:rPr>
          <w:rStyle w:val="Style"/>
        </w:rPr>
        <w:fldChar w:fldCharType="end"/>
      </w:r>
    </w:p>
    <w:p>
      <w:pPr>
        <w:pStyle w:val="Normal"/>
        <w:rPr/>
      </w:pPr>
      <w:r>
        <w:rPr/>
        <w:t>Wenn Maßnahmen nicht umgesetzt werden, MÜSSEN die dadurch entstehenden Risiken in der Risikoidentifizierung, -analyse und -behandlung (siehe</w:t>
      </w:r>
      <w:r>
        <w:rPr>
          <w:spacing w:val="-2"/>
        </w:rPr>
        <w:t xml:space="preserve"> Anhang</w:t>
      </w:r>
      <w:r>
        <w:rPr/>
        <w:t xml:space="preserve"> </w:t>
      </w:r>
      <w:r>
        <w:rPr/>
        <w:fldChar w:fldCharType="begin"/>
      </w:r>
      <w:r>
        <w:rPr/>
        <w:instrText xml:space="preserve"> REF _Ref179186913 \n \n \h </w:instrText>
      </w:r>
      <w:r>
        <w:rPr/>
        <w:fldChar w:fldCharType="separate"/>
      </w:r>
      <w:r>
        <w:rPr/>
        <w:t>A.2</w:t>
      </w:r>
      <w:r>
        <w:rPr/>
        <w:fldChar w:fldCharType="end"/>
      </w:r>
      <w:r>
        <w:rPr/>
        <w:t>) begegnet werden.</w:t>
      </w:r>
    </w:p>
    <w:p>
      <w:pPr>
        <w:pStyle w:val="Heading3"/>
        <w:ind w:hanging="0" w:left="0"/>
        <w:rPr/>
      </w:pPr>
      <w:bookmarkStart w:id="605" w:name="__RefHeading___notbetriebsniveau_67"/>
      <w:bookmarkStart w:id="606" w:name="_Toc530662934"/>
      <w:bookmarkStart w:id="607" w:name="_Ref179189166"/>
      <w:bookmarkStart w:id="608" w:name="_Ref179187477"/>
      <w:bookmarkStart w:id="609" w:name="_Toc531165069"/>
      <w:bookmarkStart w:id="610" w:name="notbetriebsniveau"/>
      <w:bookmarkStart w:id="611" w:name="_Toc187327096"/>
      <w:bookmarkStart w:id="612" w:name="_Ref179378810"/>
      <w:bookmarkStart w:id="613" w:name="_Ref179378792"/>
      <w:bookmarkStart w:id="614" w:name="_Toc178761367"/>
      <w:bookmarkStart w:id="615" w:name="rl%25252525252525252525253Akap_10%25252m"/>
      <w:bookmarkEnd w:id="605"/>
      <w:bookmarkEnd w:id="615"/>
      <w:r>
        <w:rPr/>
        <w:t>Notbetriebsniveau</w:t>
      </w:r>
      <w:bookmarkEnd w:id="606"/>
      <w:bookmarkEnd w:id="607"/>
      <w:bookmarkEnd w:id="608"/>
      <w:bookmarkEnd w:id="609"/>
      <w:bookmarkEnd w:id="610"/>
      <w:bookmarkEnd w:id="611"/>
      <w:bookmarkEnd w:id="612"/>
      <w:bookmarkEnd w:id="613"/>
      <w:bookmarkEnd w:id="614"/>
    </w:p>
    <w:p>
      <w:pPr>
        <w:pStyle w:val="10000-Empfehlung"/>
        <w:rPr/>
      </w:pPr>
      <w:r>
        <w:rPr>
          <w:rStyle w:val="Emphasis"/>
          <w:i/>
        </w:rPr>
        <w:t>Für jedes kritische IT-System SOLLTE ein Notbetriebsniveau definiert werden.</w:t>
      </w:r>
    </w:p>
    <w:p>
      <w:pPr>
        <w:pStyle w:val="Heading3"/>
        <w:ind w:hanging="0" w:left="0"/>
        <w:rPr/>
      </w:pPr>
      <w:bookmarkStart w:id="616" w:name="__RefHeading___robustheit_68"/>
      <w:bookmarkStart w:id="617" w:name="_Toc178761368"/>
      <w:bookmarkStart w:id="618" w:name="_Toc187327097"/>
      <w:bookmarkStart w:id="619" w:name="robustheit"/>
      <w:bookmarkStart w:id="620" w:name="_Toc531165070"/>
      <w:bookmarkStart w:id="621" w:name="_Toc530662935"/>
      <w:bookmarkStart w:id="622" w:name="rl%25252525252525252525253Akap_10%25252n"/>
      <w:bookmarkEnd w:id="616"/>
      <w:bookmarkEnd w:id="622"/>
      <w:r>
        <w:rPr/>
        <w:t>Robustheit</w:t>
      </w:r>
      <w:bookmarkEnd w:id="617"/>
      <w:bookmarkEnd w:id="618"/>
      <w:bookmarkEnd w:id="619"/>
      <w:bookmarkEnd w:id="620"/>
      <w:bookmarkEnd w:id="621"/>
    </w:p>
    <w:p>
      <w:pPr>
        <w:pStyle w:val="10000-DefaultParagraph"/>
        <w:rPr/>
      </w:pPr>
      <w:r>
        <w:rPr/>
        <w:t>Auf kritischen IT-Systemen DÜRFEN KEINE Entwicklungen oder Tests durchgeführt werden.</w:t>
      </w:r>
    </w:p>
    <w:p>
      <w:pPr>
        <w:pStyle w:val="10000-DefaultParagraph"/>
        <w:rPr/>
      </w:pPr>
      <w:r>
        <w:rPr/>
        <w:t>Auf kritischen IT-Systemen MÜSSEN alle Netzwerkdienste, die nicht zur Aufgabenerfüllung benötigt werden, deinstalliert, abgeschaltet oder durch geeignete Filtermechanismen unzugänglich gemacht werden.</w:t>
      </w:r>
    </w:p>
    <w:p>
      <w:pPr>
        <w:pStyle w:val="Heading3"/>
        <w:ind w:hanging="0" w:left="0"/>
        <w:rPr/>
      </w:pPr>
      <w:bookmarkStart w:id="623" w:name="__RefHeading___Toc42889_2021121348"/>
      <w:bookmarkEnd w:id="623"/>
      <w:r>
        <w:rPr/>
        <w:t>Kryptografie</w:t>
      </w:r>
    </w:p>
    <w:p>
      <w:pPr>
        <w:pStyle w:val="Normal"/>
        <w:rPr/>
      </w:pPr>
      <w:r>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pPr>
      <w:r>
        <w:rPr/>
        <w:t>Die dabei eingesetzten kryptografischen Maßnahmen MÜSSEN auf anerkannt sicheren technischen Verfahren basieren, wie sie z. B. in BSI TR-02102-1 aufgeführt sind.</w:t>
      </w:r>
    </w:p>
    <w:p>
      <w:pPr>
        <w:pStyle w:val="Heading3"/>
        <w:ind w:hanging="0" w:left="0"/>
        <w:rPr/>
      </w:pPr>
      <w:bookmarkStart w:id="624" w:name="__RefHeading___externe_schnittstellen_un"/>
      <w:bookmarkStart w:id="625" w:name="rl%25252525252525252525253Akap_10%25252o"/>
      <w:bookmarkStart w:id="626" w:name="_Toc531165071"/>
      <w:bookmarkStart w:id="627" w:name="_Toc530662936"/>
      <w:bookmarkStart w:id="628" w:name="externe_schnittstellen_und_laufwerke1"/>
      <w:bookmarkStart w:id="629" w:name="_Toc187327098"/>
      <w:bookmarkStart w:id="630" w:name="_Toc178761369"/>
      <w:bookmarkEnd w:id="624"/>
      <w:bookmarkEnd w:id="625"/>
      <w:r>
        <w:rPr/>
        <w:t>Externe Schnittstellen und Laufwerke</w:t>
      </w:r>
      <w:bookmarkEnd w:id="626"/>
      <w:bookmarkEnd w:id="627"/>
      <w:bookmarkEnd w:id="628"/>
      <w:bookmarkEnd w:id="629"/>
      <w:bookmarkEnd w:id="630"/>
    </w:p>
    <w:p>
      <w:pPr>
        <w:pStyle w:val="10000-DefaultParagraph"/>
        <w:rPr/>
      </w:pPr>
      <w:r>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31" w:name="__RefHeading___aenderungsmanagement_70"/>
      <w:bookmarkStart w:id="632" w:name="_Toc178761370"/>
      <w:bookmarkStart w:id="633" w:name="_Toc530662937"/>
      <w:bookmarkStart w:id="634" w:name="aenderungsmanagement"/>
      <w:bookmarkStart w:id="635" w:name="_Toc187327099"/>
      <w:bookmarkStart w:id="636" w:name="_Toc531165072"/>
      <w:bookmarkStart w:id="637" w:name="rl%25252525252525252525253Akap_10%25252p"/>
      <w:bookmarkEnd w:id="631"/>
      <w:bookmarkEnd w:id="637"/>
      <w:r>
        <w:rPr/>
        <w:t>Änderungsmanagement</w:t>
      </w:r>
      <w:bookmarkEnd w:id="632"/>
      <w:bookmarkEnd w:id="633"/>
      <w:bookmarkEnd w:id="634"/>
      <w:bookmarkEnd w:id="635"/>
      <w:bookmarkEnd w:id="636"/>
    </w:p>
    <w:p>
      <w:pPr>
        <w:pStyle w:val="10000-DefaultParagraph"/>
        <w:rPr/>
      </w:pPr>
      <w:r>
        <w:rPr/>
        <w:t>Änderungen, die auf kritischen IT-Systemen umgesetzt werden sollen, MÜSSEN zuvor in einer Test</w:t>
        <w:softHyphen/>
        <w:t>umgebung getestet und freigegeben worden sein.</w:t>
      </w:r>
    </w:p>
    <w:p>
      <w:pPr>
        <w:pStyle w:val="10000-DefaultParagraph"/>
        <w:rPr/>
      </w:pPr>
      <w:r>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fldChar w:fldCharType="begin"/>
      </w:r>
      <w:r>
        <w:rPr/>
        <w:instrText xml:space="preserve"> REF _Ref179187025 \n \n \h </w:instrText>
      </w:r>
      <w:r>
        <w:rPr/>
        <w:fldChar w:fldCharType="separate"/>
      </w:r>
      <w:r>
        <w:rPr/>
        <w:t>10.7.7</w:t>
      </w:r>
      <w:r>
        <w:rPr/>
        <w:fldChar w:fldCharType="end"/>
      </w:r>
      <w:r>
        <w:rPr/>
        <w:t>).</w:t>
      </w:r>
    </w:p>
    <w:p>
      <w:pPr>
        <w:pStyle w:val="Heading3"/>
        <w:ind w:hanging="0" w:left="0"/>
        <w:rPr/>
      </w:pPr>
      <w:bookmarkStart w:id="638" w:name="__RefHeading___ersatzsysteme_und_-verfah"/>
      <w:bookmarkStart w:id="639" w:name="_Toc178761374"/>
      <w:bookmarkStart w:id="640" w:name="_Ref179189029"/>
      <w:bookmarkStart w:id="641" w:name="_Ref179187025"/>
      <w:bookmarkStart w:id="642" w:name="_Toc531165076"/>
      <w:bookmarkStart w:id="643" w:name="_Toc187327103"/>
      <w:bookmarkStart w:id="644" w:name="_Toc530662941"/>
      <w:bookmarkStart w:id="645" w:name="_Ref179189188"/>
      <w:bookmarkStart w:id="646" w:name="ersatzsysteme_und_-verfahren"/>
      <w:bookmarkStart w:id="647" w:name="rl%25252525252525252525253Akap_10%25252q"/>
      <w:bookmarkEnd w:id="638"/>
      <w:bookmarkEnd w:id="647"/>
      <w:r>
        <w:rPr/>
        <w:t>Ersatzsysteme und -verfahren</w:t>
      </w:r>
      <w:bookmarkEnd w:id="639"/>
      <w:bookmarkEnd w:id="640"/>
      <w:bookmarkEnd w:id="641"/>
      <w:bookmarkEnd w:id="642"/>
      <w:bookmarkEnd w:id="643"/>
      <w:bookmarkEnd w:id="644"/>
      <w:bookmarkEnd w:id="645"/>
      <w:bookmarkEnd w:id="646"/>
    </w:p>
    <w:p>
      <w:pPr>
        <w:pStyle w:val="10000-DefaultParagraph"/>
        <w:rPr/>
      </w:pPr>
      <w:r>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rPr>
        <w:t xml:space="preserve">Das Ersatzsystem oder -verfahren SOLLTE das Notbetriebsniveau (siehe Abschnitt </w:t>
      </w:r>
      <w:r>
        <w:rPr>
          <w:rStyle w:val="Emphasis"/>
          <w:i/>
        </w:rPr>
        <w:fldChar w:fldCharType="begin"/>
      </w:r>
      <w:r>
        <w:rPr>
          <w:rStyle w:val="Emphasis"/>
          <w:i/>
        </w:rPr>
        <w:instrText xml:space="preserve"> REF _Ref179378810 \n \n \h </w:instrText>
      </w:r>
      <w:r>
        <w:rPr>
          <w:rStyle w:val="Emphasis"/>
          <w:i/>
        </w:rPr>
        <w:fldChar w:fldCharType="separate"/>
      </w:r>
      <w:r>
        <w:rPr>
          <w:rStyle w:val="Emphasis"/>
          <w:i/>
        </w:rPr>
        <w:t>10.7.2</w:t>
      </w:r>
      <w:r>
        <w:rPr>
          <w:rStyle w:val="Emphasis"/>
          <w:i/>
        </w:rPr>
        <w:fldChar w:fldCharType="end"/>
      </w:r>
      <w:r>
        <w:rPr>
          <w:rStyle w:val="Emphasis"/>
          <w:i/>
        </w:rPr>
        <w:t>) des kritischen IT-Systems sicherstellen.</w:t>
      </w:r>
    </w:p>
    <w:p>
      <w:pPr>
        <w:pStyle w:val="Heading3"/>
        <w:ind w:hanging="0" w:left="0"/>
        <w:rPr/>
      </w:pPr>
      <w:bookmarkStart w:id="648" w:name="__RefHeading___Toc42891_2021121348"/>
      <w:bookmarkEnd w:id="648"/>
      <w:r>
        <w:rPr/>
        <w:t>Entwicklung, Beschaffung und Wartung kritischer IT-Systeme, IT-Komponenten und kritischer Individualsoftware</w:t>
      </w:r>
    </w:p>
    <w:p>
      <w:pPr>
        <w:pStyle w:val="Normal"/>
        <w:rPr/>
      </w:pPr>
      <w:r>
        <w:rPr/>
        <w:t>Bei Entwicklungkritischer Individualsoftware MÜSSEN die folgenden Anforderungen erfüllt werden:</w:t>
      </w:r>
    </w:p>
    <w:p>
      <w:pPr>
        <w:pStyle w:val="Normal"/>
        <w:numPr>
          <w:ilvl w:val="0"/>
          <w:numId w:val="388"/>
        </w:numPr>
        <w:rPr/>
      </w:pPr>
      <w:r>
        <w:rPr/>
        <w:t>Es wird eine Sicherheitsarchitektur definiert, die die ermittelten Sicherheitsanforderungen (siehe Abschnitt X.Y) erfüllt.</w:t>
      </w:r>
    </w:p>
    <w:p>
      <w:pPr>
        <w:pStyle w:val="Normal"/>
        <w:numPr>
          <w:ilvl w:val="0"/>
          <w:numId w:val="389"/>
        </w:numPr>
        <w:rPr/>
      </w:pPr>
      <w:r>
        <w:rPr/>
        <w:t>Der Produkt- und Entwicklungslebenszyklus ist so gestaltet, dass die Sicherheitsanforderungen im gesamten Lebenszyklus (Planung, Implementierung, Test, Betrieb, Anpassung und Ausmusterung) berücksichtigt werden.</w:t>
      </w:r>
    </w:p>
    <w:p>
      <w:pPr>
        <w:pStyle w:val="Normal"/>
        <w:numPr>
          <w:ilvl w:val="0"/>
          <w:numId w:val="390"/>
        </w:numPr>
        <w:rPr/>
      </w:pPr>
      <w:r>
        <w:rPr/>
        <w:t>Es ist über ihren gesamten Lebenszyklus sichergestellt, dass Sicherheitsrisiken dokumentiert sowie ausgenutzte Schwachstellen und Sicherheitsvorfälle aktiv gemeldet werden.</w:t>
      </w:r>
    </w:p>
    <w:p>
      <w:pPr>
        <w:pStyle w:val="Normal"/>
        <w:numPr>
          <w:ilvl w:val="0"/>
          <w:numId w:val="391"/>
        </w:numPr>
        <w:rPr/>
      </w:pPr>
      <w:r>
        <w:rPr/>
        <w:t>Für die Dauer des Support-Zeitraums ist sichergestellt, dass Schwachstellen wirksam behandelt werden (z. B. durch Updates oder Hinweise zur sicheren Konfiguration).</w:t>
      </w:r>
    </w:p>
    <w:p>
      <w:pPr>
        <w:pStyle w:val="Normal"/>
        <w:numPr>
          <w:ilvl w:val="0"/>
          <w:numId w:val="392"/>
        </w:numPr>
        <w:rPr/>
      </w:pPr>
      <w:r>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pPr>
      <w:bookmarkStart w:id="649" w:name="__RefHeading___Toc32040_2021121348"/>
      <w:bookmarkStart w:id="650" w:name="rl%25252525252525252525253Akap_11%252525"/>
      <w:bookmarkStart w:id="651" w:name="_Toc187327105"/>
      <w:bookmarkStart w:id="652" w:name="_Ref184204596"/>
      <w:bookmarkStart w:id="653" w:name="_Toc530662943"/>
      <w:bookmarkStart w:id="654" w:name="netzwerke_und_verbindungen"/>
      <w:bookmarkStart w:id="655" w:name="_Toc178588087"/>
      <w:bookmarkStart w:id="656" w:name="_Toc178761376"/>
      <w:bookmarkStart w:id="657" w:name="_Toc531165078"/>
      <w:bookmarkEnd w:id="649"/>
      <w:bookmarkEnd w:id="650"/>
      <w:r>
        <w:rPr/>
        <w:t>Netzwerke und Verbindungen</w:t>
      </w:r>
      <w:bookmarkEnd w:id="651"/>
      <w:bookmarkEnd w:id="652"/>
      <w:bookmarkEnd w:id="653"/>
      <w:bookmarkEnd w:id="654"/>
      <w:bookmarkEnd w:id="655"/>
      <w:bookmarkEnd w:id="656"/>
      <w:bookmarkEnd w:id="657"/>
    </w:p>
    <w:p>
      <w:pPr>
        <w:pStyle w:val="Heading2"/>
        <w:ind w:hanging="0" w:left="0"/>
        <w:rPr/>
      </w:pPr>
      <w:bookmarkStart w:id="658" w:name="__RefHeading___Toc32042_2021121348"/>
      <w:bookmarkStart w:id="659" w:name="_Toc187327106"/>
      <w:bookmarkEnd w:id="658"/>
      <w:r>
        <w:rPr/>
        <w:t>Grundlagen</w:t>
      </w:r>
      <w:bookmarkEnd w:id="659"/>
    </w:p>
    <w:p>
      <w:pPr>
        <w:pStyle w:val="10000-DefaultParagraph"/>
        <w:rPr/>
      </w:pPr>
      <w:r>
        <w:rPr/>
        <w:t>Netzwerke und Verbindungen übertragen Informationen und vernetzen IT-Systeme miteinander. Es ist notwendig, sie angemessen abzusichern.</w:t>
      </w:r>
    </w:p>
    <w:p>
      <w:pPr>
        <w:pStyle w:val="Heading2"/>
        <w:ind w:hanging="0" w:left="0"/>
        <w:rPr/>
      </w:pPr>
      <w:bookmarkStart w:id="660" w:name="__RefHeading___Toc32044_2021121348"/>
      <w:bookmarkStart w:id="661" w:name="_Toc187327107"/>
      <w:bookmarkStart w:id="662" w:name="del_dokumentationdel_netzwerkplan"/>
      <w:bookmarkStart w:id="663" w:name="_Toc531165079"/>
      <w:bookmarkStart w:id="664" w:name="_Toc530662944"/>
      <w:bookmarkStart w:id="665" w:name="_Toc178761377"/>
      <w:bookmarkStart w:id="666" w:name="_Toc178588088"/>
      <w:bookmarkStart w:id="667" w:name="rl%25252525252525252525253Akap_11%252521"/>
      <w:bookmarkEnd w:id="660"/>
      <w:bookmarkEnd w:id="667"/>
      <w:r>
        <w:rPr/>
        <w:t>Netzwerkplan</w:t>
      </w:r>
      <w:bookmarkEnd w:id="661"/>
      <w:bookmarkEnd w:id="662"/>
      <w:bookmarkEnd w:id="663"/>
      <w:bookmarkEnd w:id="664"/>
      <w:bookmarkEnd w:id="665"/>
      <w:bookmarkEnd w:id="666"/>
    </w:p>
    <w:p>
      <w:pPr>
        <w:pStyle w:val="10000-DefaultParagraph"/>
        <w:rPr/>
      </w:pPr>
      <w:r>
        <w:rPr/>
        <w:t>Die Netzwerke der Organisation MÜSSEN so erfasst sein, dass fachlich versierte Personen folgende Punkte nachvollziehen können:</w:t>
      </w:r>
    </w:p>
    <w:p>
      <w:pPr>
        <w:pStyle w:val="10000-DefaultParagraph"/>
        <w:numPr>
          <w:ilvl w:val="0"/>
          <w:numId w:val="393"/>
        </w:numPr>
        <w:rPr/>
      </w:pPr>
      <w:r>
        <w:rPr/>
        <w:t>physikalische Netzwerkstruktur</w:t>
      </w:r>
    </w:p>
    <w:p>
      <w:pPr>
        <w:pStyle w:val="10000-DefaultParagraph"/>
        <w:numPr>
          <w:ilvl w:val="1"/>
          <w:numId w:val="394"/>
        </w:numPr>
        <w:rPr/>
      </w:pPr>
      <w:r>
        <w:rPr/>
        <w:t>aktive Netzwerkkomponenten und deren Verbindungen untereinander</w:t>
      </w:r>
    </w:p>
    <w:p>
      <w:pPr>
        <w:pStyle w:val="10000-DefaultParagraph"/>
        <w:numPr>
          <w:ilvl w:val="1"/>
          <w:numId w:val="28"/>
        </w:numPr>
        <w:rPr/>
      </w:pPr>
      <w:r>
        <w:rPr/>
        <w:t>physikalisches Medium der Verbindungen</w:t>
      </w:r>
    </w:p>
    <w:p>
      <w:pPr>
        <w:pStyle w:val="10000-DefaultParagraph"/>
        <w:numPr>
          <w:ilvl w:val="0"/>
          <w:numId w:val="395"/>
        </w:numPr>
        <w:rPr/>
      </w:pPr>
      <w:r>
        <w:rPr/>
        <w:t>logische Netzwerkstruktur</w:t>
      </w:r>
    </w:p>
    <w:p>
      <w:pPr>
        <w:pStyle w:val="10000-DefaultParagraph"/>
        <w:numPr>
          <w:ilvl w:val="1"/>
          <w:numId w:val="396"/>
        </w:numPr>
        <w:rPr/>
      </w:pPr>
      <w:r>
        <w:rPr/>
        <w:t xml:space="preserve">Netzwerksegmente (siehe Abschnitt </w:t>
      </w:r>
      <w:r>
        <w:rPr/>
        <w:fldChar w:fldCharType="begin"/>
      </w:r>
      <w:r>
        <w:rPr/>
        <w:instrText xml:space="preserve"> REF segmentierung \n \n \h </w:instrText>
      </w:r>
      <w:r>
        <w:rPr/>
        <w:fldChar w:fldCharType="separate"/>
      </w:r>
      <w:r>
        <w:rPr/>
        <w:t>11.5.3</w:t>
      </w:r>
      <w:r>
        <w:rPr/>
        <w:fldChar w:fldCharType="end"/>
      </w:r>
      <w:r>
        <w:rPr/>
        <w:t>), deren Einsatzzweck und deren Verbindungen untereinander</w:t>
      </w:r>
    </w:p>
    <w:p>
      <w:pPr>
        <w:pStyle w:val="10000-DefaultParagraph"/>
        <w:numPr>
          <w:ilvl w:val="1"/>
          <w:numId w:val="28"/>
        </w:numPr>
        <w:rPr/>
      </w:pPr>
      <w:r>
        <w:rPr/>
        <w:t xml:space="preserve">Fernzugänge (siehe Abschnitt </w:t>
      </w:r>
      <w:r>
        <w:rPr/>
        <w:fldChar w:fldCharType="begin"/>
      </w:r>
      <w:r>
        <w:rPr/>
        <w:instrText xml:space="preserve"> REF _Ref179187517 \n \n \h </w:instrText>
      </w:r>
      <w:r>
        <w:rPr/>
        <w:fldChar w:fldCharType="separate"/>
      </w:r>
      <w:r>
        <w:rPr/>
        <w:t>11.5.4</w:t>
      </w:r>
      <w:r>
        <w:rPr/>
        <w:fldChar w:fldCharType="end"/>
      </w:r>
      <w:r>
        <w:rPr/>
        <w:t>)</w:t>
      </w:r>
    </w:p>
    <w:p>
      <w:pPr>
        <w:pStyle w:val="10000-DefaultParagraph"/>
        <w:numPr>
          <w:ilvl w:val="1"/>
          <w:numId w:val="28"/>
        </w:numPr>
        <w:rPr/>
      </w:pPr>
      <w:r>
        <w:rPr/>
        <w:t xml:space="preserve">Netzwerkkopplungen (siehe Abschnitt </w:t>
      </w:r>
      <w:r>
        <w:rPr/>
        <w:fldChar w:fldCharType="begin"/>
      </w:r>
      <w:r>
        <w:rPr/>
        <w:instrText xml:space="preserve"> REF netzwerkkopplung \n \n \h </w:instrText>
      </w:r>
      <w:r>
        <w:rPr/>
        <w:fldChar w:fldCharType="separate"/>
      </w:r>
      <w:r>
        <w:rPr/>
        <w:t>11.5.5</w:t>
      </w:r>
      <w:r>
        <w:rPr/>
        <w:fldChar w:fldCharType="end"/>
      </w:r>
      <w:r>
        <w:rPr/>
        <w:t>)</w:t>
      </w:r>
    </w:p>
    <w:p>
      <w:pPr>
        <w:pStyle w:val="10000-DefaultParagraph"/>
        <w:numPr>
          <w:ilvl w:val="1"/>
          <w:numId w:val="28"/>
        </w:numPr>
        <w:rPr/>
      </w:pPr>
      <w:r>
        <w:rPr/>
        <w:t xml:space="preserve">Netzübergänge zu weniger oder nicht vertrauenswürdigen Netzwerken (siehe Abschnitt </w:t>
      </w:r>
      <w:r>
        <w:rPr/>
        <w:fldChar w:fldCharType="begin"/>
      </w:r>
      <w:r>
        <w:rPr/>
        <w:instrText xml:space="preserve"> REF _Ref179187553 \n \n \h </w:instrText>
      </w:r>
      <w:r>
        <w:rPr/>
        <w:fldChar w:fldCharType="separate"/>
      </w:r>
      <w:r>
        <w:rPr/>
        <w:t>11.4</w:t>
      </w:r>
      <w:r>
        <w:rPr/>
        <w:fldChar w:fldCharType="end"/>
      </w:r>
      <w:r>
        <w:rPr/>
        <w:t>)</w:t>
      </w:r>
    </w:p>
    <w:p>
      <w:pPr>
        <w:pStyle w:val="Heading2"/>
        <w:ind w:hanging="0" w:left="0"/>
        <w:rPr/>
      </w:pPr>
      <w:bookmarkStart w:id="668" w:name="__RefHeading___Toc32046_2021121348"/>
      <w:bookmarkStart w:id="669" w:name="_Toc178761378"/>
      <w:bookmarkStart w:id="670" w:name="_Toc187327108"/>
      <w:bookmarkStart w:id="671" w:name="_Toc178588089"/>
      <w:bookmarkStart w:id="672" w:name="_Toc531165080"/>
      <w:bookmarkStart w:id="673" w:name="rl%25252525252525252525253Akap_11%252522"/>
      <w:bookmarkStart w:id="674" w:name="_Toc530662945"/>
      <w:bookmarkStart w:id="675" w:name="aktive_netzwerkkomponenten"/>
      <w:bookmarkEnd w:id="668"/>
      <w:bookmarkEnd w:id="673"/>
      <w:r>
        <w:rPr/>
        <w:t>Aktive Netzwerkkomponenten</w:t>
      </w:r>
      <w:bookmarkEnd w:id="669"/>
      <w:bookmarkEnd w:id="670"/>
      <w:bookmarkEnd w:id="671"/>
      <w:bookmarkEnd w:id="672"/>
      <w:bookmarkEnd w:id="674"/>
      <w:bookmarkEnd w:id="675"/>
    </w:p>
    <w:p>
      <w:pPr>
        <w:pStyle w:val="10000-DefaultParagraph"/>
        <w:rPr/>
      </w:pPr>
      <w:r>
        <w:rPr/>
        <w:t xml:space="preserve">Aktive Netzwerkkomponenten sind IT-Systeme und MÜSSEN gemäß Kapitel </w:t>
      </w:r>
      <w:r>
        <w:rPr/>
        <w:fldChar w:fldCharType="begin"/>
      </w:r>
      <w:r>
        <w:rPr/>
        <w:instrText xml:space="preserve"> REF it-systeme \n \n \h </w:instrText>
      </w:r>
      <w:r>
        <w:rPr/>
        <w:fldChar w:fldCharType="separate"/>
      </w:r>
      <w:r>
        <w:rPr/>
        <w:t>10</w:t>
      </w:r>
      <w:r>
        <w:rPr/>
        <w:fldChar w:fldCharType="end"/>
      </w:r>
      <w:r>
        <w:rPr/>
        <w:t xml:space="preserve"> behandelt werden.</w:t>
      </w:r>
    </w:p>
    <w:p>
      <w:pPr>
        <w:pStyle w:val="Heading2"/>
        <w:ind w:hanging="0" w:left="0"/>
        <w:rPr/>
      </w:pPr>
      <w:bookmarkStart w:id="676" w:name="__RefHeading___Toc32048_2021121348"/>
      <w:bookmarkStart w:id="677" w:name="_Toc530662946"/>
      <w:bookmarkStart w:id="678" w:name="_Toc531165081"/>
      <w:bookmarkStart w:id="679" w:name="netzuebergaenge"/>
      <w:bookmarkStart w:id="680" w:name="_Ref179187553"/>
      <w:bookmarkStart w:id="681" w:name="rl%25252525252525252525253Akap_11%252523"/>
      <w:bookmarkStart w:id="682" w:name="_Toc178588090"/>
      <w:bookmarkStart w:id="683" w:name="_Toc187327109"/>
      <w:bookmarkStart w:id="684" w:name="_Toc178761379"/>
      <w:bookmarkEnd w:id="676"/>
      <w:bookmarkEnd w:id="681"/>
      <w:r>
        <w:rPr/>
        <w:t>Netzübergänge</w:t>
      </w:r>
      <w:bookmarkEnd w:id="677"/>
      <w:bookmarkEnd w:id="678"/>
      <w:bookmarkEnd w:id="679"/>
      <w:bookmarkEnd w:id="680"/>
      <w:bookmarkEnd w:id="682"/>
      <w:bookmarkEnd w:id="683"/>
      <w:bookmarkEnd w:id="684"/>
    </w:p>
    <w:p>
      <w:pPr>
        <w:pStyle w:val="10000-DefaultParagraph"/>
        <w:rPr/>
      </w:pPr>
      <w:r>
        <w:rPr/>
        <w:t>Folgende Maßnahmen MÜSSEN für alle Netzübergänge zu weniger oder nicht vertrauenswürdigen Netzwerken umgesetzt werden:</w:t>
      </w:r>
    </w:p>
    <w:p>
      <w:pPr>
        <w:pStyle w:val="10000-DefaultParagraph"/>
        <w:numPr>
          <w:ilvl w:val="0"/>
          <w:numId w:val="397"/>
        </w:numPr>
        <w:rPr/>
      </w:pPr>
      <w:r>
        <w:rPr/>
        <w:t>Der Netzwerkverkehr wird auf das für die Funktionsfähigkeit notwendige Minimum beschränkt.</w:t>
      </w:r>
    </w:p>
    <w:p>
      <w:pPr>
        <w:pStyle w:val="10000-DefaultParagraph"/>
        <w:numPr>
          <w:ilvl w:val="0"/>
          <w:numId w:val="398"/>
        </w:numPr>
        <w:rPr/>
      </w:pPr>
      <w:r>
        <w:rPr/>
        <w:t>Der Inhalt erlaubter Verbindungen wird auf Schadsoftware und Angriffe untersucht; erkannte Schadsoftware und Angriffe werden blockiert.</w:t>
      </w:r>
    </w:p>
    <w:p>
      <w:pPr>
        <w:pStyle w:val="10000-DefaultParagraph"/>
        <w:numPr>
          <w:ilvl w:val="0"/>
          <w:numId w:val="399"/>
        </w:numPr>
        <w:rPr/>
      </w:pPr>
      <w:r>
        <w:rPr/>
        <w:t xml:space="preserve">Hinweise auf Schadsoftware in der IT-Infrastruktur der Organisation und Angriffe aus der IT-Infrastruktur der Organisation heraus werden als Sicherheitsvorfall (siehe Kapitel </w:t>
      </w:r>
      <w:r>
        <w:rPr/>
        <w:fldChar w:fldCharType="begin"/>
      </w:r>
      <w:r>
        <w:rPr/>
        <w:instrText xml:space="preserve"> REF _Ref179187629 \n \n \h </w:instrText>
      </w:r>
      <w:r>
        <w:rPr/>
        <w:fldChar w:fldCharType="separate"/>
      </w:r>
      <w:r>
        <w:rPr/>
        <w:t>17</w:t>
      </w:r>
      <w:r>
        <w:rPr/>
        <w:fldChar w:fldCharType="end"/>
      </w:r>
      <w:r>
        <w:rPr/>
        <w:t>) behandelt.</w:t>
      </w:r>
    </w:p>
    <w:p>
      <w:pPr>
        <w:pStyle w:val="10000-DefaultParagraph"/>
        <w:rPr/>
      </w:pPr>
      <w:r>
        <w:rPr>
          <w:rStyle w:val="Emphasis"/>
          <w:i w:val="false"/>
          <w:iCs w:val="false"/>
        </w:rPr>
        <w:t>Wenn Maßnahmen nicht umgesetzt werden, MÜSSEN die dadurch entstehenden Risiken identifiziert, analysiert und behandelt werden (siehe</w:t>
      </w:r>
      <w:r>
        <w:rPr>
          <w:spacing w:val="-2"/>
        </w:rPr>
        <w:t xml:space="preserve"> Anhang</w:t>
      </w:r>
      <w:r>
        <w:rPr>
          <w:rStyle w:val="Emphasis"/>
          <w:i w:val="false"/>
        </w:rPr>
        <w:t xml:space="preserve"> </w:t>
      </w:r>
      <w:r>
        <w:rPr>
          <w:rStyle w:val="Emphasis"/>
          <w:i w:val="false"/>
          <w:iCs w:val="false"/>
        </w:rPr>
        <w:fldChar w:fldCharType="begin"/>
      </w:r>
      <w:r>
        <w:rPr>
          <w:rStyle w:val="Emphasis"/>
          <w:i w:val="false"/>
          <w:iCs w:val="false"/>
        </w:rPr>
        <w:instrText xml:space="preserve"> REF _Ref179187642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10000-Empfehlung"/>
        <w:rPr/>
      </w:pPr>
      <w:r>
        <w:rPr>
          <w:rStyle w:val="Emphasis"/>
          <w:i/>
        </w:rPr>
        <w:t>Weitere Sicherheitsmaßnahmen SOLLTEN im Zuge einer Risikoidentifikation, -analyse und -behandlung (siehe</w:t>
      </w:r>
      <w:r>
        <w:rPr>
          <w:spacing w:val="-2"/>
        </w:rPr>
        <w:t xml:space="preserve"> </w:t>
      </w:r>
      <w:r>
        <w:rPr>
          <w:i/>
          <w:iCs/>
          <w:spacing w:val="-2"/>
        </w:rPr>
        <w:t>Anhang</w:t>
      </w:r>
      <w:r>
        <w:rPr>
          <w:rStyle w:val="Emphasis"/>
          <w:i/>
        </w:rPr>
        <w:t xml:space="preserve"> </w:t>
      </w:r>
      <w:r>
        <w:rPr>
          <w:rStyle w:val="Emphasis"/>
          <w:i/>
        </w:rPr>
        <w:fldChar w:fldCharType="begin"/>
      </w:r>
      <w:r>
        <w:rPr>
          <w:rStyle w:val="Emphasis"/>
          <w:i/>
        </w:rPr>
        <w:instrText xml:space="preserve"> REF _Ref179187652 \n \n \h </w:instrText>
      </w:r>
      <w:r>
        <w:rPr>
          <w:rStyle w:val="Emphasis"/>
          <w:i/>
        </w:rPr>
        <w:fldChar w:fldCharType="separate"/>
      </w:r>
      <w:r>
        <w:rPr>
          <w:rStyle w:val="Emphasis"/>
          <w:i/>
        </w:rPr>
        <w:t>A.2</w:t>
      </w:r>
      <w:r>
        <w:rPr>
          <w:rStyle w:val="Emphasis"/>
          <w:i/>
        </w:rPr>
        <w:fldChar w:fldCharType="end"/>
      </w:r>
      <w:r>
        <w:rPr>
          <w:rStyle w:val="Emphasis"/>
          <w:i/>
        </w:rPr>
        <w:t>) ermittelt und umgesetzt werden.</w:t>
      </w:r>
    </w:p>
    <w:p>
      <w:pPr>
        <w:pStyle w:val="10000-DefaultParagraph"/>
        <w:rPr/>
      </w:pPr>
      <w:r>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0"/>
        </w:numPr>
        <w:rPr/>
      </w:pPr>
      <w:r>
        <w:rPr>
          <w:i w:val="false"/>
          <w:iCs w:val="false"/>
          <w:color w:val="auto"/>
        </w:rPr>
        <w:t>Für die sicherheitsrelevanten Einstellungen</w:t>
      </w:r>
      <w:r>
        <w:rPr>
          <w:rStyle w:val="VdSListe1Zchn"/>
          <w:i w:val="false"/>
          <w:iCs w:val="false"/>
          <w:color w:val="auto"/>
        </w:rPr>
        <w:t xml:space="preserve"> sind folgende Punkte dokumentiert:</w:t>
      </w:r>
    </w:p>
    <w:p>
      <w:pPr>
        <w:pStyle w:val="10000-DefaultParagraph"/>
        <w:widowControl/>
        <w:numPr>
          <w:ilvl w:val="1"/>
          <w:numId w:val="401"/>
        </w:numPr>
        <w:suppressAutoHyphens w:val="false"/>
        <w:bidi w:val="0"/>
        <w:spacing w:lineRule="auto" w:line="247" w:before="0" w:after="120"/>
        <w:ind w:hanging="340" w:left="964" w:right="0"/>
        <w:jc w:val="both"/>
        <w:rPr/>
      </w:pPr>
      <w:r>
        <w:rPr>
          <w:rStyle w:val="ListeaZchn1"/>
          <w:i w:val="false"/>
          <w:iCs w:val="false"/>
          <w:color w:val="auto"/>
        </w:rPr>
        <w:t>Wer hat sie implementiert?</w:t>
      </w:r>
    </w:p>
    <w:p>
      <w:pPr>
        <w:pStyle w:val="10000-DefaultParagraph"/>
        <w:widowControl/>
        <w:numPr>
          <w:ilvl w:val="1"/>
          <w:numId w:val="402"/>
        </w:numPr>
        <w:suppressAutoHyphens w:val="false"/>
        <w:bidi w:val="0"/>
        <w:spacing w:lineRule="auto" w:line="247" w:before="0" w:after="120"/>
        <w:ind w:hanging="340" w:left="964" w:right="0"/>
        <w:jc w:val="both"/>
        <w:rPr/>
      </w:pPr>
      <w:r>
        <w:rPr>
          <w:rStyle w:val="ListeaZchn1"/>
          <w:i w:val="false"/>
          <w:iCs w:val="false"/>
          <w:color w:val="auto"/>
        </w:rPr>
        <w:t>Wann wurden sie implementiert?</w:t>
      </w:r>
    </w:p>
    <w:p>
      <w:pPr>
        <w:pStyle w:val="10000-DefaultParagraph"/>
        <w:widowControl/>
        <w:numPr>
          <w:ilvl w:val="1"/>
          <w:numId w:val="403"/>
        </w:numPr>
        <w:suppressAutoHyphens w:val="false"/>
        <w:bidi w:val="0"/>
        <w:spacing w:lineRule="auto" w:line="247" w:before="0" w:after="120"/>
        <w:ind w:hanging="340" w:left="964" w:right="0"/>
        <w:jc w:val="both"/>
        <w:rPr/>
      </w:pPr>
      <w:r>
        <w:rPr>
          <w:rStyle w:val="ListeaZchn1"/>
          <w:i w:val="false"/>
          <w:iCs w:val="false"/>
          <w:color w:val="auto"/>
        </w:rPr>
        <w:t>Was bewirken sie?</w:t>
      </w:r>
    </w:p>
    <w:p>
      <w:pPr>
        <w:pStyle w:val="10000-DefaultParagraph"/>
        <w:widowControl/>
        <w:numPr>
          <w:ilvl w:val="1"/>
          <w:numId w:val="404"/>
        </w:numPr>
        <w:suppressAutoHyphens w:val="false"/>
        <w:bidi w:val="0"/>
        <w:spacing w:lineRule="auto" w:line="247" w:before="0" w:after="120"/>
        <w:ind w:hanging="340" w:left="964" w:right="0"/>
        <w:jc w:val="both"/>
        <w:rPr/>
      </w:pPr>
      <w:r>
        <w:rPr>
          <w:rStyle w:val="ListeaZchn1"/>
          <w:i w:val="false"/>
          <w:iCs w:val="false"/>
          <w:color w:val="auto"/>
        </w:rPr>
        <w:t>Warum werden sie benötigt?</w:t>
      </w:r>
    </w:p>
    <w:p>
      <w:pPr>
        <w:pStyle w:val="10000-DefaultParagraph"/>
        <w:numPr>
          <w:ilvl w:val="0"/>
          <w:numId w:val="405"/>
        </w:numPr>
        <w:rPr/>
      </w:pPr>
      <w:r>
        <w:rPr>
          <w:rStyle w:val="VdSListe1Zchn"/>
          <w:i w:val="false"/>
          <w:iCs w:val="false"/>
          <w:color w:val="auto"/>
        </w:rPr>
        <w:t>Die angestrebten Verkehrsbeschränkungen werden wirksam umgesetzt.</w:t>
      </w:r>
    </w:p>
    <w:p>
      <w:pPr>
        <w:pStyle w:val="Heading2"/>
        <w:ind w:hanging="0" w:left="0"/>
        <w:rPr/>
      </w:pPr>
      <w:bookmarkStart w:id="685" w:name="__RefHeading___Toc32050_2021121348"/>
      <w:bookmarkStart w:id="686" w:name="_Toc530662947"/>
      <w:bookmarkStart w:id="687" w:name="rl%25252525252525252525253Akap_11%252524"/>
      <w:bookmarkStart w:id="688" w:name="_Toc178588091"/>
      <w:bookmarkStart w:id="689" w:name="_Toc178761380"/>
      <w:bookmarkStart w:id="690" w:name="_Toc531165082"/>
      <w:bookmarkStart w:id="691" w:name="basisschutz1"/>
      <w:bookmarkStart w:id="692" w:name="_Toc187327110"/>
      <w:bookmarkEnd w:id="685"/>
      <w:bookmarkEnd w:id="687"/>
      <w:r>
        <w:rPr/>
        <w:t>Basisschutz</w:t>
      </w:r>
      <w:bookmarkEnd w:id="686"/>
      <w:bookmarkEnd w:id="688"/>
      <w:bookmarkEnd w:id="689"/>
      <w:bookmarkEnd w:id="690"/>
      <w:bookmarkEnd w:id="691"/>
      <w:bookmarkEnd w:id="692"/>
    </w:p>
    <w:p>
      <w:pPr>
        <w:pStyle w:val="Heading3"/>
        <w:ind w:hanging="0" w:left="0"/>
        <w:rPr/>
      </w:pPr>
      <w:bookmarkStart w:id="693" w:name="__RefHeading___Toc32052_2021121348"/>
      <w:bookmarkStart w:id="694" w:name="_Toc187327111"/>
      <w:bookmarkEnd w:id="693"/>
      <w:r>
        <w:rPr/>
        <w:t>Grundanforderungen</w:t>
      </w:r>
      <w:bookmarkEnd w:id="694"/>
    </w:p>
    <w:p>
      <w:pPr>
        <w:pStyle w:val="10000-DefaultParagraph"/>
        <w:rPr/>
      </w:pPr>
      <w:r>
        <w:rPr/>
        <w:t>Die Maßnahmen der folgenden Abschnitte MÜSSEN, sofern eine entsprechende Funktionalität gegeben ist, für alle Netzwerke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_Ref179187788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_Ref179187798 \n \n \h </w:instrText>
      </w:r>
      <w:r>
        <w:rPr/>
        <w:fldChar w:fldCharType="separate"/>
      </w:r>
      <w:r>
        <w:rPr/>
        <w:t>A.2</w:t>
      </w:r>
      <w:r>
        <w:rPr/>
        <w:fldChar w:fldCharType="end"/>
      </w:r>
      <w:r>
        <w:rPr/>
        <w:t>).</w:t>
      </w:r>
    </w:p>
    <w:p>
      <w:pPr>
        <w:pStyle w:val="Empfehlung"/>
        <w:rPr/>
      </w:pPr>
      <w:r>
        <w:rPr/>
        <w:t>Nachrangige Netzwerke KÖNNEN von der Umsetzung der Maßnahmen des Basisschutzes generell ausgenommen werden.</w:t>
      </w:r>
    </w:p>
    <w:p>
      <w:pPr>
        <w:pStyle w:val="Heading3"/>
        <w:ind w:hanging="0" w:left="0"/>
        <w:rPr/>
      </w:pPr>
      <w:bookmarkStart w:id="695" w:name="__RefHeading___netzwerkanschluesse_81"/>
      <w:bookmarkStart w:id="696" w:name="_Toc187327112"/>
      <w:bookmarkStart w:id="697" w:name="rl%25252525252525252525253Akap_11%252526"/>
      <w:bookmarkStart w:id="698" w:name="_Toc531165083"/>
      <w:bookmarkStart w:id="699" w:name="_Toc178761381"/>
      <w:bookmarkStart w:id="700" w:name="netzwerkanschluesse"/>
      <w:bookmarkStart w:id="701" w:name="_Toc530662948"/>
      <w:bookmarkEnd w:id="695"/>
      <w:bookmarkEnd w:id="697"/>
      <w:r>
        <w:rPr/>
        <w:t>Netzwerkanschlüsse</w:t>
      </w:r>
      <w:bookmarkEnd w:id="696"/>
      <w:bookmarkEnd w:id="698"/>
      <w:bookmarkEnd w:id="699"/>
      <w:bookmarkEnd w:id="700"/>
      <w:bookmarkEnd w:id="701"/>
    </w:p>
    <w:p>
      <w:pPr>
        <w:pStyle w:val="10000-DefaultParagraph"/>
        <w:rPr/>
      </w:pPr>
      <w:r>
        <w:rPr/>
        <w:t>Dauerhaft nicht genutzte Netzwerkanschlüsse MÜSSEN vor unberechtigter Nutzung gesichert werden.</w:t>
      </w:r>
    </w:p>
    <w:p>
      <w:pPr>
        <w:pStyle w:val="10000-Empfehlung"/>
        <w:rPr/>
      </w:pPr>
      <w:r>
        <w:rPr>
          <w:rStyle w:val="Emphasis"/>
          <w:i/>
        </w:rPr>
        <w:t>Dies KANN z. B. durch eine Zutrittsbeschränkung, eine Deaktivierung der Netzwerkanschlüsse oder durch eine Netzwerkzugangskontrolle geschehen.</w:t>
      </w:r>
    </w:p>
    <w:p>
      <w:pPr>
        <w:pStyle w:val="Heading3"/>
        <w:ind w:hanging="0" w:left="0"/>
        <w:rPr/>
      </w:pPr>
      <w:bookmarkStart w:id="702" w:name="__RefHeading___segmentierung_82"/>
      <w:bookmarkStart w:id="703" w:name="_Toc187327113"/>
      <w:bookmarkStart w:id="704" w:name="rl%25252525252525252525253Akap_11%252527"/>
      <w:bookmarkStart w:id="705" w:name="_Toc531165084"/>
      <w:bookmarkStart w:id="706" w:name="_Toc178761382"/>
      <w:bookmarkStart w:id="707" w:name="segmentierung"/>
      <w:bookmarkStart w:id="708" w:name="_Ref184204610"/>
      <w:bookmarkStart w:id="709" w:name="_Toc530662949"/>
      <w:bookmarkEnd w:id="702"/>
      <w:bookmarkEnd w:id="704"/>
      <w:r>
        <w:rPr/>
        <w:t>Segmentierung</w:t>
      </w:r>
      <w:bookmarkEnd w:id="703"/>
      <w:bookmarkEnd w:id="705"/>
      <w:bookmarkEnd w:id="706"/>
      <w:bookmarkEnd w:id="707"/>
      <w:bookmarkEnd w:id="708"/>
      <w:bookmarkEnd w:id="709"/>
    </w:p>
    <w:p>
      <w:pPr>
        <w:pStyle w:val="10000-DefaultParagraph"/>
        <w:rPr/>
      </w:pPr>
      <w:r>
        <w:rPr/>
        <w:t>Es MÜSSEN Kriterien definiert werden, anhand derer die Netzwerke in einzelne Sicherheitszonen unterteilt werden (Segmentierung).</w:t>
      </w:r>
    </w:p>
    <w:p>
      <w:pPr>
        <w:pStyle w:val="10000-DefaultParagraph"/>
        <w:rPr/>
      </w:pPr>
      <w:r>
        <w:rPr/>
        <w:t>Die Umsetzung der Segmentierung MUSS eine möglichst umfassende Beschränkung der Verbindungen sowie die Möglichkeit der Protokollierung von blockierten Verbindungen beinhalten.</w:t>
      </w:r>
    </w:p>
    <w:p>
      <w:pPr>
        <w:pStyle w:val="Heading3"/>
        <w:ind w:hanging="0" w:left="0"/>
        <w:rPr/>
      </w:pPr>
      <w:bookmarkStart w:id="710" w:name="__RefHeading___fernzugriff_83"/>
      <w:bookmarkStart w:id="711" w:name="_Toc531165085"/>
      <w:bookmarkStart w:id="712" w:name="_Ref179187517"/>
      <w:bookmarkStart w:id="713" w:name="rl%25252525252525252525253Akap_11%252528"/>
      <w:bookmarkStart w:id="714" w:name="_Toc530662950"/>
      <w:bookmarkStart w:id="715" w:name="_Toc187327114"/>
      <w:bookmarkStart w:id="716" w:name="_Toc178761383"/>
      <w:bookmarkStart w:id="717" w:name="_Ref184204619"/>
      <w:bookmarkEnd w:id="710"/>
      <w:bookmarkEnd w:id="713"/>
      <w:r>
        <w:rPr/>
        <w:t>Fernzugang</w:t>
      </w:r>
      <w:bookmarkEnd w:id="711"/>
      <w:bookmarkEnd w:id="712"/>
      <w:bookmarkEnd w:id="714"/>
      <w:bookmarkEnd w:id="715"/>
      <w:bookmarkEnd w:id="716"/>
      <w:bookmarkEnd w:id="717"/>
    </w:p>
    <w:p>
      <w:pPr>
        <w:pStyle w:val="10000-DefaultParagraph"/>
        <w:rPr/>
      </w:pPr>
      <w:r>
        <w:rPr/>
        <w:t>Der Zugang zu nichtöffentlichen Bereichen von IT-Systemen über weniger oder nicht vertrauenswürdige Netzwerke MUSS abgesichert werden.</w:t>
      </w:r>
    </w:p>
    <w:p>
      <w:pPr>
        <w:pStyle w:val="10000-DefaultParagraph"/>
        <w:rPr/>
      </w:pPr>
      <w:r>
        <w:rPr/>
        <w:t>Dabei MÜSSEN folgende Anforderungen erfüllt werden:</w:t>
      </w:r>
    </w:p>
    <w:p>
      <w:pPr>
        <w:pStyle w:val="10000-DefaultParagraph"/>
        <w:numPr>
          <w:ilvl w:val="0"/>
          <w:numId w:val="406"/>
        </w:numPr>
        <w:rPr/>
      </w:pPr>
      <w:r>
        <w:rPr/>
        <w:t>Die Vertraulichkeit, Integrität und Authentizität der übertragenen Informationen wird geschützt.</w:t>
      </w:r>
    </w:p>
    <w:p>
      <w:pPr>
        <w:pStyle w:val="Empfehlung"/>
        <w:ind w:hanging="0" w:left="360"/>
        <w:rPr/>
      </w:pPr>
      <w:r>
        <w:rPr/>
        <w:t>Dies KANN durch den Einsatz von anerkannt sicheren kryptografischen Maßnahmen sichergestellt werden, wie sie z. B. in BSI TR-02102-1 verzeichnet sind.</w:t>
      </w:r>
    </w:p>
    <w:p>
      <w:pPr>
        <w:pStyle w:val="10000-DefaultParagraph"/>
        <w:numPr>
          <w:ilvl w:val="0"/>
          <w:numId w:val="407"/>
        </w:numPr>
        <w:rPr/>
      </w:pPr>
      <w:r>
        <w:rPr/>
        <w:t>Der Zugang wird so gestaltet, dass über ihn nur IT-Systeme erreichbar sind, die der jeweilige Nutzer für seine Aufgabenerfüllung benötigt.</w:t>
      </w:r>
    </w:p>
    <w:p>
      <w:pPr>
        <w:pStyle w:val="10000-DefaultParagraph"/>
        <w:numPr>
          <w:ilvl w:val="0"/>
          <w:numId w:val="408"/>
        </w:numPr>
        <w:rPr/>
      </w:pPr>
      <w:r>
        <w:rPr/>
        <w:t xml:space="preserve">Der Nutzer wird, vor allem wenn er umfangreiche Zugriffsrechte besitzt, mit Hilfe einer Mehr-Faktor-Authentifizierung </w:t>
      </w:r>
      <w:r>
        <w:rPr>
          <w:shd w:fill="auto" w:val="clear"/>
        </w:rPr>
        <w:t xml:space="preserve">oder durch eine kontinuierliche Authentifizierung </w:t>
      </w:r>
      <w:r>
        <w:rPr/>
        <w:t>authentifiziert, um die Gefahr eines unberechtigten Zugangs zu verringern.</w:t>
      </w:r>
    </w:p>
    <w:p>
      <w:pPr>
        <w:pStyle w:val="10000-Empfehlung"/>
        <w:rPr/>
      </w:pPr>
      <w:r>
        <w:rPr>
          <w:rStyle w:val="Emphasis"/>
          <w:i/>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pPr>
      <w:bookmarkStart w:id="718" w:name="__RefHeading___netzwerkkopplung_84"/>
      <w:bookmarkStart w:id="719" w:name="_Toc187327115"/>
      <w:bookmarkStart w:id="720" w:name="rl%25252525252525252525253Akap_11%252529"/>
      <w:bookmarkStart w:id="721" w:name="netzwerkkopplung"/>
      <w:bookmarkStart w:id="722" w:name="_Toc531165086"/>
      <w:bookmarkStart w:id="723" w:name="_Toc530662951"/>
      <w:bookmarkStart w:id="724" w:name="_Toc178761384"/>
      <w:bookmarkEnd w:id="718"/>
      <w:bookmarkEnd w:id="720"/>
      <w:r>
        <w:rPr/>
        <w:t>Netzwerkkopplung</w:t>
      </w:r>
      <w:bookmarkEnd w:id="719"/>
      <w:bookmarkEnd w:id="721"/>
      <w:bookmarkEnd w:id="722"/>
      <w:bookmarkEnd w:id="723"/>
      <w:bookmarkEnd w:id="724"/>
    </w:p>
    <w:p>
      <w:pPr>
        <w:pStyle w:val="10000-DefaultParagraph"/>
        <w:rPr/>
      </w:pPr>
      <w:r>
        <w:rPr/>
        <w:t>Die Kopplung von Netzwerken der Organisation über weniger oder nicht vertrauenswürdige Netzwerke hinweg MUSS abgesichert werden.</w:t>
      </w:r>
    </w:p>
    <w:p>
      <w:pPr>
        <w:pStyle w:val="10000-DefaultParagraph"/>
        <w:rPr/>
      </w:pPr>
      <w:r>
        <w:rPr/>
        <w:t>Dabei MÜSSEN die Vertraulichkeit, Integrität und Authentizität der übertragenen Informationen gewährleistet werden.</w:t>
      </w:r>
    </w:p>
    <w:p>
      <w:pPr>
        <w:pStyle w:val="Normal"/>
        <w:rPr/>
      </w:pPr>
      <w:r>
        <w:rPr/>
        <w:t>Dies MUSS durch den Einsatz von anerkannt sicheren kryptografischen Maßnahmen sichergestellt werden, wie sie z. B. in BSI TR-02102-1 verzeichnet sind.</w:t>
      </w:r>
    </w:p>
    <w:p>
      <w:pPr>
        <w:pStyle w:val="Heading2"/>
        <w:ind w:hanging="0" w:left="0"/>
        <w:rPr/>
      </w:pPr>
      <w:bookmarkStart w:id="725" w:name="__RefHeading___Toc32054_2021121348"/>
      <w:bookmarkStart w:id="726" w:name="rl%25252525252525252525253Akap_11%25252a"/>
      <w:bookmarkStart w:id="727" w:name="_Toc178761385"/>
      <w:bookmarkStart w:id="728" w:name="_Toc187327116"/>
      <w:bookmarkStart w:id="729" w:name="zusaetzliche_massnahmen_fuer_kritische_v"/>
      <w:bookmarkStart w:id="730" w:name="_Toc178588092"/>
      <w:bookmarkStart w:id="731" w:name="_Toc530662952"/>
      <w:bookmarkStart w:id="732" w:name="_Toc531165087"/>
      <w:bookmarkEnd w:id="725"/>
      <w:bookmarkEnd w:id="726"/>
      <w:r>
        <w:rPr/>
        <w:t>Zusätzliche Maßnahmen für wichtige Verbindungen</w:t>
      </w:r>
      <w:bookmarkEnd w:id="727"/>
      <w:bookmarkEnd w:id="728"/>
      <w:bookmarkEnd w:id="729"/>
      <w:bookmarkEnd w:id="730"/>
      <w:bookmarkEnd w:id="731"/>
      <w:bookmarkEnd w:id="732"/>
    </w:p>
    <w:p>
      <w:pPr>
        <w:pStyle w:val="10000-DefaultParagraph"/>
        <w:rPr/>
      </w:pPr>
      <w:r>
        <w:rPr/>
        <w:t xml:space="preserve">Für alle </w:t>
      </w:r>
      <w:r>
        <w:rPr>
          <w:shd w:fill="auto" w:val="clear"/>
        </w:rPr>
        <w:t xml:space="preserve">wichtigen </w:t>
      </w:r>
      <w:r>
        <w:rPr/>
        <w:t>Verbindungen MUSS eine Risikoidentifikation, -analyse und -behandlung (siehe</w:t>
      </w:r>
      <w:r>
        <w:rPr>
          <w:spacing w:val="-2"/>
        </w:rPr>
        <w:t xml:space="preserve"> Anhang</w:t>
      </w:r>
      <w:r>
        <w:rPr/>
        <w:t xml:space="preserve"> </w:t>
      </w:r>
      <w:r>
        <w:rPr/>
        <w:fldChar w:fldCharType="begin"/>
      </w:r>
      <w:r>
        <w:rPr/>
        <w:instrText xml:space="preserve"> REF _Ref179187843 \n \n \h </w:instrText>
      </w:r>
      <w:r>
        <w:rPr/>
        <w:fldChar w:fldCharType="separate"/>
      </w:r>
      <w:r>
        <w:rPr/>
        <w:t>A.2</w:t>
      </w:r>
      <w:r>
        <w:rPr/>
        <w:fldChar w:fldCharType="end"/>
      </w:r>
      <w:hyperlink r:id="rId5">
        <w:r>
          <w:rPr>
            <w:rStyle w:val="Style"/>
          </w:rPr>
          <w:t>) etabliert werden.</w:t>
        </w:r>
      </w:hyperlink>
    </w:p>
    <w:p>
      <w:pPr>
        <w:pStyle w:val="Normal"/>
        <w:rPr>
          <w:strike/>
        </w:rPr>
      </w:pPr>
      <w:r>
        <w:rPr/>
        <w:t>Dabei MUSS festgelegt werden, welche Verbindungen, insbesondere welche wichtige Sprach-, Video- und Textkommunikation, durch kryptografische Maßnahmen geschützt werden.</w:t>
      </w:r>
    </w:p>
    <w:p>
      <w:pPr>
        <w:pStyle w:val="Normal"/>
        <w:rPr>
          <w:strike/>
        </w:rPr>
      </w:pPr>
      <w:r>
        <w:rPr/>
        <w:t>Die dabei eingesetzten kryptografischen Maßnahmen MÜSSEN auf anerkannt sicheren technischen Verfahren basieren, wie sie z. B. in BSI TR-02102-1 aufgeführt sind.</w:t>
      </w:r>
    </w:p>
    <w:p>
      <w:pPr>
        <w:pStyle w:val="Heading1"/>
        <w:ind w:hanging="0" w:left="0"/>
        <w:rPr/>
      </w:pPr>
      <w:bookmarkStart w:id="733" w:name="__RefHeading___Toc32056_2021121348"/>
      <w:bookmarkStart w:id="734" w:name="mobile_datentraeger"/>
      <w:bookmarkStart w:id="735" w:name="_Toc530662953"/>
      <w:bookmarkStart w:id="736" w:name="rl%25252525252525252525253Akap_12%252525"/>
      <w:bookmarkStart w:id="737" w:name="_Toc187327117"/>
      <w:bookmarkStart w:id="738" w:name="_Toc531165088"/>
      <w:bookmarkStart w:id="739" w:name="_Toc178588093"/>
      <w:bookmarkStart w:id="740" w:name="_Ref178761888"/>
      <w:bookmarkStart w:id="741" w:name="_Toc178761386"/>
      <w:bookmarkEnd w:id="733"/>
      <w:bookmarkEnd w:id="736"/>
      <w:r>
        <w:rPr/>
        <w:t>Mobile Datenträger</w:t>
      </w:r>
      <w:bookmarkEnd w:id="734"/>
      <w:bookmarkEnd w:id="735"/>
      <w:bookmarkEnd w:id="737"/>
      <w:bookmarkEnd w:id="738"/>
      <w:bookmarkEnd w:id="739"/>
      <w:bookmarkEnd w:id="740"/>
      <w:bookmarkEnd w:id="741"/>
    </w:p>
    <w:p>
      <w:pPr>
        <w:pStyle w:val="Heading2"/>
        <w:ind w:hanging="0" w:left="0"/>
        <w:rPr/>
      </w:pPr>
      <w:bookmarkStart w:id="742" w:name="__RefHeading___Toc32058_2021121348"/>
      <w:bookmarkStart w:id="743" w:name="_Toc187327118"/>
      <w:bookmarkEnd w:id="742"/>
      <w:r>
        <w:rPr/>
        <w:t>Grundlagen</w:t>
      </w:r>
      <w:bookmarkEnd w:id="743"/>
    </w:p>
    <w:p>
      <w:pPr>
        <w:pStyle w:val="10000-DefaultParagraph"/>
        <w:rPr/>
      </w:pPr>
      <w:r>
        <w:rPr/>
        <w:t>Mobile Datenträger sind aufgrund ihrer exponierten Nutzungsart besonders gefährdet. Die damit verbundenen Risiken sind angemessen zu behandeln.</w:t>
      </w:r>
    </w:p>
    <w:p>
      <w:pPr>
        <w:pStyle w:val="Heading2"/>
        <w:ind w:hanging="0" w:left="0"/>
        <w:rPr/>
      </w:pPr>
      <w:bookmarkStart w:id="744" w:name="__RefHeading___Toc32060_2021121348"/>
      <w:bookmarkStart w:id="745" w:name="_Toc187327119"/>
      <w:bookmarkStart w:id="746" w:name="_Toc530662954"/>
      <w:bookmarkStart w:id="747" w:name="rl%25252525252525252525253Akap_12%252521"/>
      <w:bookmarkStart w:id="748" w:name="_Toc178761387"/>
      <w:bookmarkStart w:id="749" w:name="is-richtlinie1"/>
      <w:bookmarkStart w:id="750" w:name="_Toc531165089"/>
      <w:bookmarkStart w:id="751" w:name="_Toc178588094"/>
      <w:bookmarkEnd w:id="744"/>
      <w:bookmarkEnd w:id="747"/>
      <w:r>
        <w:rPr/>
        <w:t>IS-Richtlinie</w:t>
      </w:r>
      <w:bookmarkEnd w:id="745"/>
      <w:bookmarkEnd w:id="746"/>
      <w:bookmarkEnd w:id="748"/>
      <w:bookmarkEnd w:id="749"/>
      <w:bookmarkEnd w:id="750"/>
      <w:bookmarkEnd w:id="751"/>
    </w:p>
    <w:p>
      <w:pPr>
        <w:pStyle w:val="10000-DefaultParagraph"/>
        <w:rPr/>
      </w:pPr>
      <w:r>
        <w:rPr/>
        <w:t xml:space="preserve">In Ergänzung zu Abschnitt </w:t>
      </w:r>
      <w:r>
        <w:rPr/>
        <w:fldChar w:fldCharType="begin"/>
      </w:r>
      <w:r>
        <w:rPr/>
        <w:instrText xml:space="preserve"> REF _Ref179187911 \n \n \h </w:instrText>
      </w:r>
      <w:r>
        <w:rPr/>
        <w:fldChar w:fldCharType="separate"/>
      </w:r>
      <w:r>
        <w:rPr/>
        <w:t>6.4</w:t>
      </w:r>
      <w:r>
        <w:rPr/>
        <w:fldChar w:fldCharType="end"/>
      </w:r>
      <w:r>
        <w:rPr/>
        <w:t xml:space="preserve"> MÜSSEN in einer IS-Richtlinie Regelungen für den Umgang mit mobilen Datenträgern die folgenden Maßnahmen umgesetzt werden:</w:t>
      </w:r>
    </w:p>
    <w:p>
      <w:pPr>
        <w:pStyle w:val="10000-DefaultParagraph"/>
        <w:numPr>
          <w:ilvl w:val="0"/>
          <w:numId w:val="409"/>
        </w:numPr>
        <w:rPr/>
      </w:pPr>
      <w:r>
        <w:rPr/>
        <w:t>Es wird festgelegt, welche Informationen der Organisation auf mobilen Datenträgern gespeichert werden dürfen.</w:t>
      </w:r>
    </w:p>
    <w:p>
      <w:pPr>
        <w:pStyle w:val="10000-DefaultParagraph"/>
        <w:numPr>
          <w:ilvl w:val="0"/>
          <w:numId w:val="410"/>
        </w:numPr>
        <w:rPr/>
      </w:pPr>
      <w:r>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411"/>
        </w:numPr>
        <w:rPr/>
      </w:pPr>
      <w:r>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pPr>
      <w:bookmarkStart w:id="752" w:name="__RefHeading___Toc32062_2021121348"/>
      <w:bookmarkStart w:id="753" w:name="rl%25252525252525252525253Akap_12%252522"/>
      <w:bookmarkStart w:id="754" w:name="zusaetzliche_massnahmen_fuer_kritische_m"/>
      <w:bookmarkStart w:id="755" w:name="_Toc531165090"/>
      <w:bookmarkStart w:id="756" w:name="_Toc178761388"/>
      <w:bookmarkStart w:id="757" w:name="_Toc530662955"/>
      <w:bookmarkStart w:id="758" w:name="_Toc187327120"/>
      <w:bookmarkStart w:id="759" w:name="_Toc178588095"/>
      <w:bookmarkEnd w:id="752"/>
      <w:bookmarkEnd w:id="753"/>
      <w:bookmarkEnd w:id="754"/>
      <w:r>
        <w:rPr/>
        <w:t>Schutz der Informationen</w:t>
      </w:r>
      <w:bookmarkEnd w:id="755"/>
      <w:bookmarkEnd w:id="756"/>
      <w:bookmarkEnd w:id="757"/>
      <w:bookmarkEnd w:id="758"/>
      <w:bookmarkEnd w:id="759"/>
    </w:p>
    <w:p>
      <w:pPr>
        <w:pStyle w:val="10000-Empfehlung"/>
        <w:rPr>
          <w:i/>
          <w:i/>
        </w:rPr>
      </w:pPr>
      <w:r>
        <w:rPr/>
        <w:t>Die auf den mobilen Datenträgern gespeicherten Informationen der Organisation SOLLTEN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rPr>
        <w:t>Die dabei eingesetzten kryptografischen Maßnahmen MÜSSEN auf anerkannt sicheren technischen Verfahren basieren, wie sie z. B. in BSI TR-02102-1 aufgeführt sind.</w:t>
      </w:r>
    </w:p>
    <w:p>
      <w:pPr>
        <w:pStyle w:val="Heading2"/>
        <w:ind w:hanging="0" w:left="0"/>
        <w:rPr/>
      </w:pPr>
      <w:bookmarkStart w:id="760" w:name="__RefHeading___Toc32064_2021121348"/>
      <w:bookmarkStart w:id="761" w:name="_Toc531165091"/>
      <w:bookmarkStart w:id="762" w:name="zusaetzliche_massnahmen_fuer_kritische_1"/>
      <w:bookmarkStart w:id="763" w:name="_Toc530662956"/>
      <w:bookmarkStart w:id="764" w:name="_Toc187327121"/>
      <w:bookmarkStart w:id="765" w:name="_Toc178588096"/>
      <w:bookmarkStart w:id="766" w:name="_Toc178761389"/>
      <w:bookmarkEnd w:id="760"/>
      <w:bookmarkEnd w:id="762"/>
      <w:r>
        <w:rPr/>
        <w:t>Zusätzliche Maßnahmen für wichtige mobile Datenträger</w:t>
      </w:r>
      <w:bookmarkEnd w:id="761"/>
      <w:bookmarkEnd w:id="763"/>
      <w:bookmarkEnd w:id="764"/>
      <w:bookmarkEnd w:id="765"/>
      <w:bookmarkEnd w:id="766"/>
    </w:p>
    <w:p>
      <w:pPr>
        <w:pStyle w:val="10000-DefaultParagraph"/>
        <w:rPr/>
      </w:pPr>
      <w:r>
        <w:rPr/>
        <w:t xml:space="preserve">Für alle </w:t>
      </w:r>
      <w:r>
        <w:rPr>
          <w:shd w:fill="auto" w:val="clear"/>
        </w:rPr>
        <w:t xml:space="preserve">wichtigen </w:t>
      </w:r>
      <w:r>
        <w:rPr/>
        <w:t>mobilen Datenträger MUSS eine Risikoidentifikation, -analyse und -behandlung (siehe</w:t>
      </w:r>
      <w:r>
        <w:rPr/>
        <w:fldChar w:fldCharType="begin"/>
      </w:r>
      <w:r>
        <w:rPr/>
        <w:instrText xml:space="preserve"> REF _Ref179187943 \n \n \h </w:instrText>
      </w:r>
      <w:r>
        <w:rPr/>
        <w:fldChar w:fldCharType="separate"/>
      </w:r>
      <w:r>
        <w:rPr/>
        <w:t>A.2</w:t>
      </w:r>
      <w:r>
        <w:rPr/>
        <w:fldChar w:fldCharType="end"/>
      </w:r>
      <w:r>
        <w:rPr/>
        <w:t>) etabliert werden.</w:t>
      </w:r>
    </w:p>
    <w:p>
      <w:pPr>
        <w:pStyle w:val="Heading1"/>
        <w:ind w:hanging="0" w:left="0"/>
        <w:rPr/>
      </w:pPr>
      <w:bookmarkStart w:id="767" w:name="__RefHeading___Toc32066_2021121348"/>
      <w:bookmarkStart w:id="768" w:name="_Toc178761390"/>
      <w:bookmarkStart w:id="769" w:name="_Toc530662957"/>
      <w:bookmarkStart w:id="770" w:name="rl%25252525252525252525253Akap_13%252525"/>
      <w:bookmarkStart w:id="771" w:name="_Toc531165092"/>
      <w:bookmarkStart w:id="772" w:name="umgebung"/>
      <w:bookmarkStart w:id="773" w:name="_Toc178588097"/>
      <w:bookmarkStart w:id="774" w:name="_Toc187327122"/>
      <w:bookmarkEnd w:id="767"/>
      <w:bookmarkEnd w:id="770"/>
      <w:r>
        <w:rPr/>
        <w:t>Umgebung</w:t>
      </w:r>
      <w:bookmarkEnd w:id="768"/>
      <w:bookmarkEnd w:id="769"/>
      <w:bookmarkEnd w:id="771"/>
      <w:bookmarkEnd w:id="772"/>
      <w:bookmarkEnd w:id="773"/>
      <w:bookmarkEnd w:id="774"/>
    </w:p>
    <w:p>
      <w:pPr>
        <w:pStyle w:val="Heading2"/>
        <w:ind w:hanging="0" w:left="0"/>
        <w:rPr/>
      </w:pPr>
      <w:bookmarkStart w:id="775" w:name="__RefHeading___Toc32068_2021121348"/>
      <w:bookmarkStart w:id="776" w:name="_Toc187327123"/>
      <w:bookmarkEnd w:id="775"/>
      <w:r>
        <w:rPr/>
        <w:t>Grundlagen</w:t>
      </w:r>
      <w:bookmarkEnd w:id="776"/>
    </w:p>
    <w:p>
      <w:pPr>
        <w:pStyle w:val="10000-DefaultParagraph"/>
        <w:rPr/>
      </w:pPr>
      <w:r>
        <w:rPr/>
        <w:t>Die Organisation MUSS ihre IT-Systeme und Datenleitungen gegen negative Umwelteinflüsse absichern.</w:t>
      </w:r>
    </w:p>
    <w:p>
      <w:pPr>
        <w:pStyle w:val="10000-Empfehlung"/>
        <w:rPr/>
      </w:pPr>
      <w:r>
        <w:rPr>
          <w:rStyle w:val="Emphasis"/>
          <w:i/>
        </w:rPr>
        <w:t>Dies SOLLTE auf Basis eines anerkannten Standards, wie z. B. VdS 2007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_Ref179187958 \n \n \h </w:instrText>
      </w:r>
      <w:r>
        <w:rPr/>
        <w:fldChar w:fldCharType="separate"/>
      </w:r>
      <w:r>
        <w:rPr/>
        <w:t>A.1</w:t>
      </w:r>
      <w:r>
        <w:rPr/>
        <w:fldChar w:fldCharType="end"/>
      </w:r>
      <w:r>
        <w:rPr/>
        <w:t>) implementiert werden, das die Anforderungen folgender Abschnitte erfüllt.</w:t>
      </w:r>
    </w:p>
    <w:p>
      <w:pPr>
        <w:pStyle w:val="Heading2"/>
        <w:ind w:hanging="0" w:left="0"/>
        <w:rPr/>
      </w:pPr>
      <w:bookmarkStart w:id="777" w:name="__RefHeading___Toc32070_2021121348"/>
      <w:bookmarkStart w:id="778" w:name="_Toc530662958"/>
      <w:bookmarkStart w:id="779" w:name="_Toc178588098"/>
      <w:bookmarkStart w:id="780" w:name="rl%25252525252525252525253Akap_13%252521"/>
      <w:bookmarkStart w:id="781" w:name="server_aktive_netzwerkkomponenten_und_ne"/>
      <w:bookmarkStart w:id="782" w:name="_Toc187327124"/>
      <w:bookmarkStart w:id="783" w:name="_Toc178761391"/>
      <w:bookmarkStart w:id="784" w:name="_Toc531165093"/>
      <w:bookmarkEnd w:id="777"/>
      <w:bookmarkEnd w:id="780"/>
      <w:r>
        <w:rPr/>
        <w:t>Server, aktive Netzwerkkomponenten und Netzwerkverteilstellen</w:t>
      </w:r>
      <w:bookmarkEnd w:id="778"/>
      <w:bookmarkEnd w:id="779"/>
      <w:bookmarkEnd w:id="781"/>
      <w:bookmarkEnd w:id="782"/>
      <w:bookmarkEnd w:id="783"/>
      <w:bookmarkEnd w:id="784"/>
    </w:p>
    <w:p>
      <w:pPr>
        <w:pStyle w:val="10000-DefaultParagraph"/>
        <w:rPr/>
      </w:pPr>
      <w:r>
        <w:rPr/>
        <w:t>Server, aktive Netzwerkkomponenten und Netzwerkverteilstellen (z. B. Patchfelder) MÜSSEN vor Beschädigung und unberechtigtem Zutritt geschützt werden.</w:t>
      </w:r>
    </w:p>
    <w:p>
      <w:pPr>
        <w:pStyle w:val="10000-Empfehlung"/>
        <w:rPr/>
      </w:pPr>
      <w:r>
        <w:rPr>
          <w:rStyle w:val="Emphasis"/>
          <w:i/>
        </w:rPr>
        <w:t>Dies KANN z. B. durch bauliche Maßnahmen (Serverraum) oder durch abschließbare Schränke (Server- oder Netzwerkschränke) umgesetzt werden.</w:t>
      </w:r>
    </w:p>
    <w:p>
      <w:pPr>
        <w:pStyle w:val="10000-Empfehlung"/>
        <w:rPr/>
      </w:pPr>
      <w:r>
        <w:rPr>
          <w:rStyle w:val="Emphasis"/>
          <w:i/>
        </w:rPr>
        <w:t>Zusätzlich SOLLTEN folgende Bedrohungen bewertet und behandelt werden:</w:t>
      </w:r>
    </w:p>
    <w:p>
      <w:pPr>
        <w:pStyle w:val="10000-Empfehlung"/>
        <w:numPr>
          <w:ilvl w:val="0"/>
          <w:numId w:val="412"/>
        </w:numPr>
        <w:rPr/>
      </w:pPr>
      <w:r>
        <w:rPr>
          <w:rStyle w:val="Emphasis"/>
          <w:i/>
        </w:rPr>
        <w:t>ungeeignete Umgebungsbedingungen (wie z. B. ungeeignete Temperatur oder Luftfeuchtigkeit, Staub oder Rauch)</w:t>
      </w:r>
    </w:p>
    <w:p>
      <w:pPr>
        <w:pStyle w:val="10000-Empfehlung"/>
        <w:numPr>
          <w:ilvl w:val="0"/>
          <w:numId w:val="413"/>
        </w:numPr>
        <w:rPr/>
      </w:pPr>
      <w:r>
        <w:rPr>
          <w:rStyle w:val="Emphasis"/>
          <w:i/>
        </w:rPr>
        <w:t>negative Umwelteinflüsse (wie z. B. Feuer, Wasser, Blitzschlag)</w:t>
      </w:r>
    </w:p>
    <w:p>
      <w:pPr>
        <w:pStyle w:val="10000-Empfehlung"/>
        <w:numPr>
          <w:ilvl w:val="0"/>
          <w:numId w:val="414"/>
        </w:numPr>
        <w:rPr/>
      </w:pPr>
      <w:r>
        <w:rPr>
          <w:rStyle w:val="Emphasis"/>
          <w:i/>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rPr>
        <w:t>Fest installierte Niederspannungsanlagen SOLLTEN gemäß gängiger Normen und Standards wie z. B. der DIN VDE 0100-Reihe errichtet sein</w:t>
      </w:r>
      <w:r>
        <w:rPr>
          <w:rStyle w:val="Emphasis"/>
          <w:i w:val="false"/>
        </w:rPr>
        <w:t>.</w:t>
      </w:r>
    </w:p>
    <w:p>
      <w:pPr>
        <w:pStyle w:val="10000-Empfehlung"/>
        <w:numPr>
          <w:ilvl w:val="0"/>
          <w:numId w:val="415"/>
        </w:numPr>
        <w:rPr/>
      </w:pPr>
      <w:r>
        <w:rPr>
          <w:rStyle w:val="Emphasis"/>
          <w:i/>
        </w:rPr>
        <w:t>Beschädigung und Verlust (z. B. durch Löschmittel, Vandalismus, Diebstahl)</w:t>
      </w:r>
    </w:p>
    <w:p>
      <w:pPr>
        <w:pStyle w:val="Heading2"/>
        <w:ind w:hanging="0" w:left="0"/>
        <w:rPr/>
      </w:pPr>
      <w:bookmarkStart w:id="785" w:name="__RefHeading___Toc32072_2021121348"/>
      <w:bookmarkStart w:id="786" w:name="rl%25252525252525252525253Akap_13%252522"/>
      <w:bookmarkStart w:id="787" w:name="_Toc178588099"/>
      <w:bookmarkStart w:id="788" w:name="_Toc178761392"/>
      <w:bookmarkStart w:id="789" w:name="_Toc187327125"/>
      <w:bookmarkStart w:id="790" w:name="_Toc530662959"/>
      <w:bookmarkStart w:id="791" w:name="_Toc531165094"/>
      <w:bookmarkStart w:id="792" w:name="datenleitungen"/>
      <w:bookmarkEnd w:id="785"/>
      <w:bookmarkEnd w:id="786"/>
      <w:r>
        <w:rPr/>
        <w:t>Datenleitungen</w:t>
      </w:r>
      <w:bookmarkEnd w:id="787"/>
      <w:bookmarkEnd w:id="788"/>
      <w:bookmarkEnd w:id="789"/>
      <w:bookmarkEnd w:id="790"/>
      <w:bookmarkEnd w:id="791"/>
      <w:bookmarkEnd w:id="792"/>
    </w:p>
    <w:p>
      <w:pPr>
        <w:pStyle w:val="10000-Empfehlung"/>
        <w:rPr/>
      </w:pPr>
      <w:r>
        <w:rPr>
          <w:rStyle w:val="Emphasis"/>
          <w:i/>
        </w:rPr>
        <w:t>Sämtliche Datenleitungen SOLLTEN gemäß einschlägiger Normen und Standards, z. B. DIN EN 50173/4-Reihe installiert werden.</w:t>
      </w:r>
    </w:p>
    <w:p>
      <w:pPr>
        <w:pStyle w:val="10000-DefaultParagraph"/>
        <w:rPr/>
      </w:pPr>
      <w:r>
        <w:rPr/>
        <w:t>Wenn eine andere Vorgehensweise gewählt wird, MÜSSEN fest installierte Datenleitungen durch entsprechende bauliche Maßnahmen vor Beschädigung geschützt werden.</w:t>
      </w:r>
    </w:p>
    <w:p>
      <w:pPr>
        <w:pStyle w:val="10000-Empfehlung"/>
        <w:rPr/>
      </w:pPr>
      <w:r>
        <w:rPr>
          <w:rStyle w:val="Emphasis"/>
          <w:i/>
        </w:rPr>
        <w:t>Dies KANN z. B. durch das Verlegen der Datenleitungen in Kabelkanälen umgesetzt werden.</w:t>
      </w:r>
    </w:p>
    <w:p>
      <w:pPr>
        <w:pStyle w:val="Heading2"/>
        <w:ind w:hanging="0" w:left="0"/>
        <w:rPr/>
      </w:pPr>
      <w:bookmarkStart w:id="793" w:name="__RefHeading___Toc32074_2021121348"/>
      <w:bookmarkStart w:id="794" w:name="_Toc530662960"/>
      <w:bookmarkStart w:id="795" w:name="_Toc531165095"/>
      <w:bookmarkStart w:id="796" w:name="_Toc178761393"/>
      <w:bookmarkStart w:id="797" w:name="_Toc187327126"/>
      <w:bookmarkStart w:id="798" w:name="_Toc178588100"/>
      <w:bookmarkStart w:id="799" w:name="rl%25252525252525252525253Akap_13%252523"/>
      <w:bookmarkEnd w:id="793"/>
      <w:bookmarkEnd w:id="799"/>
      <w:r>
        <w:rPr/>
        <w:t>Zusätzliche Maßnahmen für wichtige IT-Systeme</w:t>
      </w:r>
      <w:bookmarkEnd w:id="794"/>
      <w:bookmarkEnd w:id="795"/>
      <w:bookmarkEnd w:id="796"/>
      <w:bookmarkEnd w:id="797"/>
      <w:bookmarkEnd w:id="798"/>
    </w:p>
    <w:p>
      <w:pPr>
        <w:pStyle w:val="10000-DefaultParagraph"/>
        <w:rPr/>
      </w:pPr>
      <w:r>
        <w:rPr/>
        <w:t xml:space="preserve">Im Zuge der Risikoidentifikation, -analyse und -behandlung (siehe Abschnitt &lt;FIXME&gt;) MÜSSEN für alle </w:t>
      </w:r>
      <w:r>
        <w:rPr>
          <w:shd w:fill="auto" w:val="clear"/>
        </w:rPr>
        <w:t xml:space="preserve">wichtigen </w:t>
      </w:r>
      <w:r>
        <w:rPr/>
        <w:t>IT-Systeme folgende Bedrohungen berücksichtigt werden</w:t>
      </w:r>
      <w:del w:id="25" w:author="Mark Semmler" w:date="2025-01-29T17:10:45Z">
        <w:r>
          <w:rPr/>
          <w:delText>, um deren Auswirkung zu reduzieren</w:delText>
        </w:r>
      </w:del>
      <w:r>
        <w:rPr/>
        <w:t>:</w:t>
      </w:r>
      <w:ins w:id="26" w:author="Mark Semmler" w:date="2025-01-29T17:10:57Z">
        <w:r>
          <w:rPr/>
          <w:commentReference w:id="16"/>
        </w:r>
      </w:ins>
    </w:p>
    <w:p>
      <w:pPr>
        <w:pStyle w:val="10000-DefaultParagraph"/>
        <w:numPr>
          <w:ilvl w:val="0"/>
          <w:numId w:val="416"/>
        </w:numPr>
        <w:rPr/>
      </w:pPr>
      <w:r>
        <w:rPr/>
        <w:t>ungeeignete Umgebungsbedingungen (wie z. B. ungeeignete Temperatur oder Luftfeuchtigkeit, Staub oder Rauch)</w:t>
      </w:r>
    </w:p>
    <w:p>
      <w:pPr>
        <w:pStyle w:val="10000-DefaultParagraph"/>
        <w:numPr>
          <w:ilvl w:val="0"/>
          <w:numId w:val="417"/>
        </w:numPr>
        <w:rPr/>
      </w:pPr>
      <w:r>
        <w:rPr/>
        <w:t>negative Umwelteinflüsse (wie z. B. Feuer, Wasser, Blitzschlag)</w:t>
      </w:r>
    </w:p>
    <w:p>
      <w:pPr>
        <w:pStyle w:val="10000-DefaultParagraph"/>
        <w:numPr>
          <w:ilvl w:val="0"/>
          <w:numId w:val="418"/>
        </w:numPr>
        <w:rPr/>
      </w:pPr>
      <w:r>
        <w:rPr/>
        <w:t>unzuverlässige Stromversorgung (wie z. B. Unter- oder Überspannung, Spannungsspitzen, Unterbrechung)</w:t>
      </w:r>
    </w:p>
    <w:p>
      <w:pPr>
        <w:pStyle w:val="10000-DefaultParagraph"/>
        <w:numPr>
          <w:ilvl w:val="0"/>
          <w:numId w:val="419"/>
        </w:numPr>
        <w:rPr/>
      </w:pPr>
      <w:r>
        <w:rPr/>
        <w:t>Beschädigung und Verlust (wie z. B. Löschmittel, Vandalismus, Diebstahl)</w:t>
      </w:r>
    </w:p>
    <w:p>
      <w:pPr>
        <w:pStyle w:val="10000-DefaultParagraph"/>
        <w:numPr>
          <w:ilvl w:val="0"/>
          <w:numId w:val="420"/>
        </w:numPr>
        <w:rPr/>
      </w:pPr>
      <w:r>
        <w:rPr/>
        <w:t>unautorisierter Zutritt</w:t>
      </w:r>
    </w:p>
    <w:p>
      <w:pPr>
        <w:pStyle w:val="10000-DefaultParagraph"/>
        <w:numPr>
          <w:ilvl w:val="0"/>
          <w:numId w:val="421"/>
        </w:numPr>
        <w:rPr>
          <w:ins w:id="27" w:author="Mark Semmler" w:date="2025-01-29T17:11:35Z"/>
        </w:rPr>
      </w:pPr>
      <w:r>
        <w:rPr/>
        <w:t>Ausspähen vertraulicher Informationen</w:t>
      </w:r>
    </w:p>
    <w:p>
      <w:pPr>
        <w:pStyle w:val="Normal"/>
        <w:numPr>
          <w:ilvl w:val="0"/>
          <w:numId w:val="422"/>
        </w:numPr>
        <w:pPrChange w:id="0" w:author="Mark Semmler" w:date="2025-01-29T17:11:47Z">
          <w:pPr>
            <w:pStyle w:val="10000-DefaultParagraph"/>
          </w:pPr>
        </w:pPrChange>
        <w:rPr/>
      </w:pPr>
      <w:ins w:id="28" w:author="Mark Semmler" w:date="2025-01-29T17:11:35Z">
        <w:r>
          <w:rPr/>
          <w:t>Sabotage</w:t>
        </w:r>
      </w:ins>
    </w:p>
    <w:p>
      <w:pPr>
        <w:pStyle w:val="10000-Empfehlung"/>
        <w:rPr>
          <w:i/>
          <w:i/>
        </w:rPr>
      </w:pPr>
      <w:r>
        <w:rPr/>
        <w:t xml:space="preserve">Insbesondere SOLLTE geprüft werden, </w:t>
      </w:r>
      <w:del w:id="29" w:author="Mark Semmler" w:date="2025-01-29T17:08:06Z">
        <w:r>
          <w:rPr/>
          <w:delText xml:space="preserve">kritische </w:delText>
        </w:r>
      </w:del>
      <w:ins w:id="30" w:author="Mark Semmler" w:date="2025-01-29T17:09:11Z">
        <w:r>
          <w:rPr>
            <w:shd w:fill="auto" w:val="clear"/>
          </w:rPr>
          <w:t xml:space="preserve">wichtige </w:t>
        </w:r>
      </w:ins>
      <w:r>
        <w:rPr/>
        <w:t>IT-Systeme in zusätzlich abgesicherten Gebäuden oder Gebäudeteilen unterzubringen (Sicherheitszonen).</w:t>
      </w:r>
    </w:p>
    <w:p>
      <w:pPr>
        <w:pStyle w:val="Heading1"/>
        <w:ind w:hanging="0" w:left="0"/>
        <w:rPr>
          <w:lang w:val="en-US"/>
        </w:rPr>
      </w:pPr>
      <w:bookmarkStart w:id="800" w:name="__RefHeading___Toc32076_2021121348"/>
      <w:bookmarkStart w:id="801" w:name="_Ref178761914"/>
      <w:bookmarkStart w:id="802" w:name="_Ref184204632"/>
      <w:bookmarkStart w:id="803" w:name="_Toc187327127"/>
      <w:bookmarkStart w:id="804" w:name="_Toc178761394"/>
      <w:bookmarkStart w:id="805" w:name="it-outsourcing_und_cloud_computing"/>
      <w:bookmarkStart w:id="806" w:name="_Toc530662961"/>
      <w:bookmarkStart w:id="807" w:name="_Toc531165096"/>
      <w:bookmarkStart w:id="808" w:name="rl%25252525252525252525253Akap_14%252525"/>
      <w:bookmarkStart w:id="809" w:name="_Toc178588101"/>
      <w:bookmarkEnd w:id="800"/>
      <w:bookmarkEnd w:id="808"/>
      <w:r>
        <w:rPr>
          <w:lang w:val="en-US"/>
        </w:rPr>
        <w:t>IT-Outsourcing und Cloud Computing</w:t>
      </w:r>
      <w:bookmarkEnd w:id="801"/>
      <w:bookmarkEnd w:id="802"/>
      <w:bookmarkEnd w:id="803"/>
      <w:bookmarkEnd w:id="804"/>
      <w:bookmarkEnd w:id="805"/>
      <w:bookmarkEnd w:id="806"/>
      <w:bookmarkEnd w:id="807"/>
      <w:bookmarkEnd w:id="809"/>
    </w:p>
    <w:p>
      <w:pPr>
        <w:pStyle w:val="Heading2"/>
        <w:ind w:hanging="0" w:left="0"/>
        <w:rPr/>
      </w:pPr>
      <w:bookmarkStart w:id="810" w:name="__RefHeading___Toc32078_2021121348"/>
      <w:bookmarkStart w:id="811" w:name="_Toc187327128"/>
      <w:bookmarkEnd w:id="810"/>
      <w:r>
        <w:rPr/>
        <w:t>Grundlagen</w:t>
      </w:r>
      <w:bookmarkEnd w:id="811"/>
    </w:p>
    <w:p>
      <w:pPr>
        <w:pStyle w:val="10000-DefaultParagraph"/>
        <w:rPr/>
      </w:pPr>
      <w:r>
        <w:rPr/>
        <w:t>Wenn IT-Ressourcen ausgelagert werden, ist es notwendig, die Sicherheitsinteressen der Organisation zu berücksichtigen, um diese nicht zu kompromittieren.</w:t>
      </w:r>
    </w:p>
    <w:p>
      <w:pPr>
        <w:pStyle w:val="Heading2"/>
        <w:ind w:hanging="0" w:left="0"/>
        <w:rPr/>
      </w:pPr>
      <w:bookmarkStart w:id="812" w:name="__RefHeading___Toc32080_2021121348"/>
      <w:bookmarkStart w:id="813" w:name="_Toc178761395"/>
      <w:bookmarkStart w:id="814" w:name="is-richtlinie2"/>
      <w:bookmarkStart w:id="815" w:name="_Toc178588102"/>
      <w:bookmarkStart w:id="816" w:name="rl%25252525252525252525253Akap_14%252521"/>
      <w:bookmarkStart w:id="817" w:name="_Toc187327129"/>
      <w:bookmarkStart w:id="818" w:name="_Toc530662962"/>
      <w:bookmarkStart w:id="819" w:name="_Toc531165097"/>
      <w:bookmarkEnd w:id="812"/>
      <w:bookmarkEnd w:id="816"/>
      <w:r>
        <w:rPr/>
        <w:t>IS-Richtlinie</w:t>
      </w:r>
      <w:bookmarkEnd w:id="813"/>
      <w:bookmarkEnd w:id="814"/>
      <w:bookmarkEnd w:id="815"/>
      <w:bookmarkEnd w:id="817"/>
      <w:bookmarkEnd w:id="818"/>
      <w:bookmarkEnd w:id="819"/>
    </w:p>
    <w:p>
      <w:pPr>
        <w:pStyle w:val="10000-DefaultParagraph"/>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unter welchen IT-Ressourcen ausgelagert werden dürfen, festgelegt werden.</w:t>
      </w:r>
    </w:p>
    <w:p>
      <w:pPr>
        <w:pStyle w:val="Heading2"/>
        <w:ind w:hanging="0" w:left="0"/>
        <w:rPr/>
      </w:pPr>
      <w:bookmarkStart w:id="820" w:name="__RefHeading___Toc32082_2021121348"/>
      <w:bookmarkStart w:id="821" w:name="_Toc530662963"/>
      <w:bookmarkStart w:id="822" w:name="del_14.1del_vorbereitung"/>
      <w:bookmarkStart w:id="823" w:name="_Toc178761396"/>
      <w:bookmarkStart w:id="824" w:name="_Ref184204641"/>
      <w:bookmarkStart w:id="825" w:name="_Toc178588103"/>
      <w:bookmarkStart w:id="826" w:name="rl%25252525252525252525253Akap_14%252522"/>
      <w:bookmarkStart w:id="827" w:name="_Toc187327130"/>
      <w:bookmarkStart w:id="828" w:name="_Toc531165098"/>
      <w:bookmarkEnd w:id="820"/>
      <w:bookmarkEnd w:id="826"/>
      <w:r>
        <w:rPr/>
        <w:t>Vorbereitung</w:t>
      </w:r>
      <w:bookmarkEnd w:id="821"/>
      <w:bookmarkEnd w:id="822"/>
      <w:bookmarkEnd w:id="823"/>
      <w:bookmarkEnd w:id="824"/>
      <w:bookmarkEnd w:id="825"/>
      <w:bookmarkEnd w:id="827"/>
      <w:bookmarkEnd w:id="828"/>
    </w:p>
    <w:p>
      <w:pPr>
        <w:pStyle w:val="10000-DefaultParagraph"/>
        <w:rPr/>
      </w:pPr>
      <w:r>
        <w:rPr/>
        <w:t>Für jede Maßnahme zur Auslagerung von IT-Ressourcen MÜSSEN folgende Punkte dokumentiert sein:</w:t>
      </w:r>
    </w:p>
    <w:p>
      <w:pPr>
        <w:pStyle w:val="10000-DefaultParagraph"/>
        <w:numPr>
          <w:ilvl w:val="0"/>
          <w:numId w:val="423"/>
        </w:numPr>
        <w:rPr/>
      </w:pPr>
      <w:r>
        <w:rPr/>
        <w:t>Welche IT-Ressourcen sollen ausgelagert werden?</w:t>
      </w:r>
    </w:p>
    <w:p>
      <w:pPr>
        <w:pStyle w:val="10000-DefaultParagraph"/>
        <w:numPr>
          <w:ilvl w:val="0"/>
          <w:numId w:val="424"/>
        </w:numPr>
        <w:rPr/>
      </w:pPr>
      <w:r>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25"/>
        </w:numPr>
        <w:rPr/>
      </w:pPr>
      <w:r>
        <w:rPr/>
        <w:t xml:space="preserve">Sind die auszulagernden IT-Ressourcen </w:t>
      </w:r>
      <w:r>
        <w:rPr>
          <w:shd w:fill="auto" w:val="clear"/>
        </w:rPr>
        <w:t xml:space="preserve">wichtig oder </w:t>
      </w:r>
      <w:r>
        <w:rPr/>
        <w:t>kritisch?</w:t>
      </w:r>
    </w:p>
    <w:p>
      <w:pPr>
        <w:pStyle w:val="10000-DefaultParagraph"/>
        <w:rPr/>
      </w:pPr>
      <w:r>
        <w:rPr/>
        <w:t>Die Organisation MUSS auf die Auslagerung der entsprechenden IT-Ressourcen vorbereitet werden:</w:t>
      </w:r>
    </w:p>
    <w:p>
      <w:pPr>
        <w:pStyle w:val="10000-DefaultParagraph"/>
        <w:numPr>
          <w:ilvl w:val="0"/>
          <w:numId w:val="426"/>
        </w:numPr>
        <w:rPr/>
      </w:pPr>
      <w:r>
        <w:rPr/>
        <w:t>Kompetenzen für die Steuerung der auszulagernden IT-Ressourcen werden aufgebaut.</w:t>
      </w:r>
    </w:p>
    <w:p>
      <w:pPr>
        <w:pStyle w:val="10000-DefaultParagraph"/>
        <w:numPr>
          <w:ilvl w:val="0"/>
          <w:numId w:val="427"/>
        </w:numPr>
        <w:rPr/>
      </w:pPr>
      <w:r>
        <w:rPr/>
        <w:t>Die IT-Infrastruktur wird auf das Zusammenspiel mit den auszulagernden IT-Ressourcen vorbereitet.</w:t>
      </w:r>
    </w:p>
    <w:p>
      <w:pPr>
        <w:pStyle w:val="Heading2"/>
        <w:ind w:hanging="0" w:left="0"/>
        <w:rPr/>
      </w:pPr>
      <w:bookmarkStart w:id="829" w:name="__RefHeading___Toc32084_2021121348"/>
      <w:bookmarkStart w:id="830" w:name="_Toc178588104"/>
      <w:bookmarkStart w:id="831" w:name="_Toc531165099"/>
      <w:bookmarkStart w:id="832" w:name="del_14.2del_vertragsgestaltung"/>
      <w:bookmarkStart w:id="833" w:name="rl%25252525252525252525253Akap_14%252523"/>
      <w:bookmarkStart w:id="834" w:name="_Toc178761397"/>
      <w:bookmarkStart w:id="835" w:name="_Ref184204651"/>
      <w:bookmarkStart w:id="836" w:name="_Toc530662964"/>
      <w:bookmarkStart w:id="837" w:name="_Toc187327131"/>
      <w:bookmarkEnd w:id="829"/>
      <w:bookmarkEnd w:id="833"/>
      <w:r>
        <w:rPr/>
        <w:t>Vertragsgestaltung</w:t>
      </w:r>
      <w:bookmarkEnd w:id="830"/>
      <w:bookmarkEnd w:id="831"/>
      <w:bookmarkEnd w:id="832"/>
      <w:bookmarkEnd w:id="834"/>
      <w:bookmarkEnd w:id="835"/>
      <w:bookmarkEnd w:id="836"/>
      <w:bookmarkEnd w:id="837"/>
    </w:p>
    <w:p>
      <w:pPr>
        <w:pStyle w:val="10000-DefaultParagraph"/>
        <w:rPr/>
      </w:pPr>
      <w:r>
        <w:rPr/>
        <w:t xml:space="preserve">Wenn IT-Ressourcen ausgelagert werden, MUSS mit dem Anbieter ein Vertrag geschlossen werden, der die Anforderungen aus Abschnitt </w:t>
      </w:r>
      <w:r>
        <w:rPr/>
        <w:fldChar w:fldCharType="begin"/>
      </w:r>
      <w:r>
        <w:rPr/>
        <w:instrText xml:space="preserve"> REF del_14.1del_vorbereitung \n \n \h </w:instrText>
      </w:r>
      <w:r>
        <w:rPr/>
        <w:fldChar w:fldCharType="separate"/>
      </w:r>
      <w:r>
        <w:rPr/>
        <w:t>14.3</w:t>
      </w:r>
      <w:r>
        <w:rPr/>
        <w:fldChar w:fldCharType="end"/>
      </w:r>
      <w:r>
        <w:rPr/>
        <w:t xml:space="preserve"> vertraglich festhält und den Anbieter zu deren Erfüllung verpflichtet.</w:t>
      </w:r>
    </w:p>
    <w:p>
      <w:pPr>
        <w:pStyle w:val="10000-Empfehlung"/>
        <w:rPr/>
      </w:pPr>
      <w:r>
        <w:rPr>
          <w:rStyle w:val="Emphasis"/>
          <w:i/>
        </w:rPr>
        <w:t>Darüber hinaus SOLLTEN folgende Punkte sichergestellt werden:</w:t>
      </w:r>
    </w:p>
    <w:p>
      <w:pPr>
        <w:pStyle w:val="10000-Empfehlung"/>
        <w:numPr>
          <w:ilvl w:val="0"/>
          <w:numId w:val="428"/>
        </w:numPr>
        <w:rPr/>
      </w:pPr>
      <w:r>
        <w:rPr>
          <w:rStyle w:val="Emphasis"/>
          <w:i/>
        </w:rPr>
        <w:t>Ansprüche aus Vertragsverletzungen können durchgesetzt werden, auch wenn sich der Anbieter nicht in demselben Rechtsraum wie die Organisation befindet.</w:t>
      </w:r>
    </w:p>
    <w:p>
      <w:pPr>
        <w:pStyle w:val="10000-Empfehlung"/>
        <w:numPr>
          <w:ilvl w:val="0"/>
          <w:numId w:val="429"/>
        </w:numPr>
        <w:rPr>
          <w:i/>
          <w:i/>
        </w:rPr>
      </w:pPr>
      <w:r>
        <w:rPr>
          <w:i/>
        </w:rPr>
        <w:t xml:space="preserve">Die Mitwirkungspflichten des Anbieters im Falle einer Vertragsauflösung, </w:t>
      </w:r>
      <w:r>
        <w:rPr>
          <w:i/>
          <w:iCs/>
        </w:rPr>
        <w:t>Geschäftsaufgabe</w:t>
      </w:r>
      <w:r>
        <w:rPr>
          <w:i/>
        </w:rPr>
        <w:t xml:space="preserve"> oder Insolvenz sind vereinbart, insbesondere die vollständige Herausgabe der IT-Ressourcen der Organisation sowie die aktive Unterstützung des Migrationsprozesses durch den Anbieter.</w:t>
      </w:r>
    </w:p>
    <w:p>
      <w:pPr>
        <w:pStyle w:val="Heading2"/>
        <w:ind w:hanging="0" w:left="0"/>
        <w:rPr/>
      </w:pPr>
      <w:bookmarkStart w:id="838" w:name="__RefHeading___Toc32086_2021121348"/>
      <w:bookmarkStart w:id="839" w:name="rl%25252525252525252525253Akap_14%252524"/>
      <w:bookmarkStart w:id="840" w:name="_Toc178588105"/>
      <w:bookmarkStart w:id="841" w:name="_Toc531165100"/>
      <w:bookmarkStart w:id="842" w:name="_Toc530662965"/>
      <w:bookmarkStart w:id="843" w:name="_Toc187327132"/>
      <w:bookmarkStart w:id="844" w:name="del_14.3del_zusaetzliche_massnahmen_fuer"/>
      <w:bookmarkStart w:id="845" w:name="_Toc178761398"/>
      <w:bookmarkStart w:id="846" w:name="_Ref184204672"/>
      <w:bookmarkEnd w:id="838"/>
      <w:bookmarkEnd w:id="839"/>
      <w:r>
        <w:rPr/>
        <w:t>Zusätzliche Maßnahmen für kritische IT-Ressourcen</w:t>
      </w:r>
      <w:bookmarkEnd w:id="840"/>
      <w:bookmarkEnd w:id="841"/>
      <w:bookmarkEnd w:id="842"/>
      <w:bookmarkEnd w:id="843"/>
      <w:bookmarkEnd w:id="844"/>
      <w:bookmarkEnd w:id="845"/>
      <w:bookmarkEnd w:id="846"/>
    </w:p>
    <w:p>
      <w:pPr>
        <w:pStyle w:val="10000-DefaultParagraph"/>
        <w:rPr>
          <w:spacing w:val="-2"/>
        </w:rPr>
      </w:pPr>
      <w:r>
        <w:rPr>
          <w:spacing w:val="-2"/>
        </w:rPr>
        <w:t xml:space="preserve">Wenn kritische IT-Ressourcen ausgelagert werden, MÜSSEN die Anforderungen aus </w:t>
      </w:r>
      <w:r>
        <w:rPr/>
        <w:t xml:space="preserve">Abschnitt </w:t>
      </w:r>
      <w:r>
        <w:rPr/>
        <w:fldChar w:fldCharType="begin"/>
      </w:r>
      <w:r>
        <w:rPr/>
        <w:instrText xml:space="preserve"> REF del_14.1del_vorbereitung \n \n \h </w:instrText>
      </w:r>
      <w:r>
        <w:rPr/>
        <w:fldChar w:fldCharType="separate"/>
      </w:r>
      <w:r>
        <w:rPr/>
        <w:t>14.3</w:t>
      </w:r>
      <w:r>
        <w:rPr/>
        <w:fldChar w:fldCharType="end"/>
      </w:r>
      <w:r>
        <w:rPr/>
        <w:t xml:space="preserve"> an</w:t>
      </w:r>
      <w:r>
        <w:rPr>
          <w:spacing w:val="-2"/>
        </w:rPr>
        <w:t xml:space="preserve"> ihre Vertraulichkeit, Verfügbarkeit und Integrität im Rahmen einer Risikoidentifikation und -analyse (siehe Anhang </w:t>
      </w:r>
      <w:r>
        <w:rPr/>
        <w:fldChar w:fldCharType="begin"/>
      </w:r>
      <w:r>
        <w:rPr/>
        <w:instrText xml:space="preserve"> REF _Ref179188660 \n \n \h </w:instrText>
      </w:r>
      <w:r>
        <w:rPr/>
        <w:fldChar w:fldCharType="separate"/>
      </w:r>
      <w:r>
        <w:rPr/>
        <w:t>A.2.1</w:t>
      </w:r>
      <w:r>
        <w:rPr/>
        <w:fldChar w:fldCharType="end"/>
      </w:r>
      <w:r>
        <w:rPr/>
        <w:t>)</w:t>
      </w:r>
      <w:r>
        <w:rPr>
          <w:spacing w:val="-2"/>
        </w:rPr>
        <w:t xml:space="preserve"> ermittelt und folgende Punkte vertraglich geregelt werden: </w:t>
      </w:r>
    </w:p>
    <w:p>
      <w:pPr>
        <w:pStyle w:val="10000-DefaultParagraph"/>
        <w:numPr>
          <w:ilvl w:val="0"/>
          <w:numId w:val="430"/>
        </w:numPr>
        <w:rPr/>
      </w:pPr>
      <w:r>
        <w:rPr/>
        <w:t>Leistungen</w:t>
      </w:r>
    </w:p>
    <w:p>
      <w:pPr>
        <w:pStyle w:val="10000-DefaultParagraph"/>
        <w:numPr>
          <w:ilvl w:val="1"/>
          <w:numId w:val="431"/>
        </w:numPr>
        <w:rPr/>
      </w:pPr>
      <w:r>
        <w:rPr/>
        <w:t>Die vom Anbieter zu erbringenden Leistungen werden definiert und deren Messung und Überwachung werden vereinbart.</w:t>
      </w:r>
    </w:p>
    <w:p>
      <w:pPr>
        <w:pStyle w:val="10000-DefaultParagraph"/>
        <w:numPr>
          <w:ilvl w:val="1"/>
          <w:numId w:val="28"/>
        </w:numPr>
        <w:rPr/>
      </w:pPr>
      <w:r>
        <w:rPr/>
        <w:t>Die Standorte, an denen Leistungen erbracht werden, werden festgelegt.</w:t>
      </w:r>
    </w:p>
    <w:p>
      <w:pPr>
        <w:pStyle w:val="10000-DefaultParagraph"/>
        <w:numPr>
          <w:ilvl w:val="1"/>
          <w:numId w:val="28"/>
        </w:numPr>
        <w:rPr/>
      </w:pPr>
      <w:r>
        <w:rPr/>
        <w:t>Die Sicherheitsmaßnahmen, die der Anbieter zum Schutz der ausgelagerten IT-Ressourcen treffen muss, werden vereinbart.</w:t>
      </w:r>
    </w:p>
    <w:p>
      <w:pPr>
        <w:pStyle w:val="10000-DefaultParagraph"/>
        <w:numPr>
          <w:ilvl w:val="1"/>
          <w:numId w:val="28"/>
        </w:numPr>
        <w:rPr/>
      </w:pPr>
      <w:r>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rPr>
        <w:t>Es SOLLTEN Konsequenzen bei Nichteinhaltung der vertraglich vereinbarten Leistungen vereinbart werden.</w:t>
      </w:r>
    </w:p>
    <w:p>
      <w:pPr>
        <w:pStyle w:val="10000-DefaultParagraph"/>
        <w:numPr>
          <w:ilvl w:val="0"/>
          <w:numId w:val="432"/>
        </w:numPr>
        <w:rPr/>
      </w:pPr>
      <w:r>
        <w:rPr/>
        <w:t xml:space="preserve">Kommunikation </w:t>
      </w:r>
    </w:p>
    <w:p>
      <w:pPr>
        <w:pStyle w:val="10000-DefaultParagraph"/>
        <w:numPr>
          <w:ilvl w:val="1"/>
          <w:numId w:val="433"/>
        </w:numPr>
        <w:rPr/>
      </w:pPr>
      <w:r>
        <w:rPr/>
        <w:t>Die Ansprechpartner auf Seiten der Organisation und des Anbieters werden benannt.</w:t>
      </w:r>
    </w:p>
    <w:p>
      <w:pPr>
        <w:pStyle w:val="10000-DefaultParagraph"/>
        <w:numPr>
          <w:ilvl w:val="1"/>
          <w:numId w:val="28"/>
        </w:numPr>
        <w:rPr/>
      </w:pPr>
      <w:r>
        <w:rPr/>
        <w:t>Eine Vertraulichkeitsvereinbarung wird getroffen.</w:t>
      </w:r>
    </w:p>
    <w:p>
      <w:pPr>
        <w:pStyle w:val="10000-DefaultParagraph"/>
        <w:numPr>
          <w:ilvl w:val="1"/>
          <w:numId w:val="28"/>
        </w:numPr>
        <w:rPr/>
      </w:pPr>
      <w:r>
        <w:rPr/>
        <w:t>Es wird vereinbart, ob und unter welchen Bedingungen der Anbieter dazu berechtigt ist, Daten an Dritte weiterzugeben.</w:t>
      </w:r>
    </w:p>
    <w:p>
      <w:pPr>
        <w:pStyle w:val="10000-DefaultParagraph"/>
        <w:numPr>
          <w:ilvl w:val="1"/>
          <w:numId w:val="28"/>
        </w:numPr>
        <w:rPr/>
      </w:pPr>
      <w:r>
        <w:rPr/>
        <w:t>Eine Informationspflicht des Anbieters bei Sicherheitsvorfällen, die die ausgelagerten IT-Ressourcen betreffen, wird vereinbart.</w:t>
      </w:r>
    </w:p>
    <w:p>
      <w:pPr>
        <w:pStyle w:val="10000-DefaultParagraph"/>
        <w:numPr>
          <w:ilvl w:val="0"/>
          <w:numId w:val="434"/>
        </w:numPr>
        <w:rPr/>
      </w:pPr>
      <w:r>
        <w:rPr/>
        <w:t xml:space="preserve">Leistungsänderungen und Vertragsauflösung </w:t>
      </w:r>
    </w:p>
    <w:p>
      <w:pPr>
        <w:pStyle w:val="10000-DefaultParagraph"/>
        <w:numPr>
          <w:ilvl w:val="1"/>
          <w:numId w:val="435"/>
        </w:numPr>
        <w:rPr/>
      </w:pPr>
      <w:r>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pPr>
      <w:r>
        <w:rPr/>
        <w:t>Eine schriftliche Dokumentation und Meldung bei Änderungen an einem der oben genannten Punkte MUSS vereinbart werden.</w:t>
      </w:r>
    </w:p>
    <w:p>
      <w:pPr>
        <w:pStyle w:val="10000-DefaultParagraph"/>
        <w:rPr/>
      </w:pPr>
      <w:r>
        <w:rPr/>
        <w:t>Es MUSS sichergestellt sein, dass Ansprüche aus Vertragsverletzungen durchgesetzt werden können, auch wenn sich der Anbieter nicht im gleichen Rechtsraum wie die Organisation befindet.</w:t>
      </w:r>
    </w:p>
    <w:p>
      <w:pPr>
        <w:pStyle w:val="Heading1"/>
        <w:ind w:hanging="0" w:left="0"/>
        <w:rPr/>
      </w:pPr>
      <w:bookmarkStart w:id="847" w:name="__RefHeading___Toc32088_2021121348"/>
      <w:bookmarkStart w:id="848" w:name="zugaenge_und_zugriffsrechte"/>
      <w:bookmarkStart w:id="849" w:name="_Toc178761399"/>
      <w:bookmarkStart w:id="850" w:name="_Ref184204681"/>
      <w:bookmarkStart w:id="851" w:name="rl%25252525252525252525253Akap_15%252525"/>
      <w:bookmarkStart w:id="852" w:name="_Toc531165101"/>
      <w:bookmarkStart w:id="853" w:name="_Toc187327133"/>
      <w:bookmarkStart w:id="854" w:name="_Toc530662966"/>
      <w:bookmarkStart w:id="855" w:name="_Toc178588106"/>
      <w:bookmarkStart w:id="856" w:name="_Ref179186593"/>
      <w:bookmarkEnd w:id="847"/>
      <w:bookmarkEnd w:id="851"/>
      <w:r>
        <w:rPr/>
        <w:t xml:space="preserve">Zugänge, Zugriffs- und </w:t>
      </w:r>
      <w:bookmarkEnd w:id="848"/>
      <w:bookmarkEnd w:id="852"/>
      <w:bookmarkEnd w:id="854"/>
      <w:r>
        <w:rPr/>
        <w:t>Zutrittsrechte</w:t>
      </w:r>
      <w:bookmarkEnd w:id="849"/>
      <w:bookmarkEnd w:id="850"/>
      <w:bookmarkEnd w:id="853"/>
      <w:bookmarkEnd w:id="855"/>
      <w:bookmarkEnd w:id="856"/>
    </w:p>
    <w:p>
      <w:pPr>
        <w:pStyle w:val="Heading2"/>
        <w:ind w:hanging="0" w:left="0"/>
        <w:rPr/>
      </w:pPr>
      <w:bookmarkStart w:id="857" w:name="__RefHeading___Toc32090_2021121348"/>
      <w:bookmarkStart w:id="858" w:name="_Toc187327134"/>
      <w:bookmarkEnd w:id="857"/>
      <w:r>
        <w:rPr/>
        <w:t>Grundlagen</w:t>
      </w:r>
      <w:bookmarkEnd w:id="858"/>
    </w:p>
    <w:p>
      <w:pPr>
        <w:pStyle w:val="10000-DefaultParagraph"/>
        <w:rPr/>
      </w:pPr>
      <w:r>
        <w:rPr/>
        <w:t>Zugänge, Zugriffs- und Zutrittsrechte erlauben es, auf die nichtöffentliche IT der Organisation und ihre Daten zuzugreifen. Deshalb ist es notwendig, diese strukturiert zu verwalten.</w:t>
      </w:r>
    </w:p>
    <w:p>
      <w:pPr>
        <w:pStyle w:val="Heading2"/>
        <w:ind w:hanging="0" w:left="0"/>
        <w:rPr/>
      </w:pPr>
      <w:bookmarkStart w:id="859" w:name="__RefHeading___Toc32092_2021121348"/>
      <w:bookmarkStart w:id="860" w:name="rl%25252525252525252525253Akap_15%252521"/>
      <w:bookmarkStart w:id="861" w:name="_Toc187327135"/>
      <w:bookmarkStart w:id="862" w:name="verwaltung"/>
      <w:bookmarkStart w:id="863" w:name="_Ref184204689"/>
      <w:bookmarkStart w:id="864" w:name="_Toc531165102"/>
      <w:bookmarkStart w:id="865" w:name="_Toc530662967"/>
      <w:bookmarkStart w:id="866" w:name="_Toc178588107"/>
      <w:bookmarkStart w:id="867" w:name="_Toc178761400"/>
      <w:bookmarkEnd w:id="859"/>
      <w:bookmarkEnd w:id="860"/>
      <w:r>
        <w:rPr/>
        <w:t>Verwaltung</w:t>
      </w:r>
      <w:bookmarkEnd w:id="861"/>
      <w:bookmarkEnd w:id="862"/>
      <w:bookmarkEnd w:id="863"/>
      <w:bookmarkEnd w:id="864"/>
      <w:bookmarkEnd w:id="865"/>
      <w:bookmarkEnd w:id="866"/>
      <w:bookmarkEnd w:id="867"/>
    </w:p>
    <w:p>
      <w:pPr>
        <w:pStyle w:val="10000-DefaultParagraph"/>
        <w:rPr/>
      </w:pPr>
      <w:r>
        <w:rPr/>
        <w:t>Es MÜSSEN Verfahren (siehe</w:t>
      </w:r>
      <w:r>
        <w:rPr>
          <w:spacing w:val="-2"/>
        </w:rPr>
        <w:t xml:space="preserve"> Anhang</w:t>
      </w:r>
      <w:r>
        <w:rPr/>
        <w:t xml:space="preserve"> </w:t>
      </w:r>
      <w:r>
        <w:rPr/>
        <w:fldChar w:fldCharType="begin"/>
      </w:r>
      <w:r>
        <w:rPr/>
        <w:instrText xml:space="preserve"> REF _Ref179188712 \n \n \h </w:instrText>
      </w:r>
      <w:r>
        <w:rPr/>
        <w:fldChar w:fldCharType="separate"/>
      </w:r>
      <w:r>
        <w:rPr/>
        <w:t>A.1</w:t>
      </w:r>
      <w:r>
        <w:rPr/>
        <w:fldChar w:fldCharType="end"/>
      </w:r>
      <w:r>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36"/>
        </w:numPr>
        <w:rPr/>
      </w:pPr>
      <w:r>
        <w:rPr/>
        <w:t>Die jeweiligen Vorgänge werden vor ihrer Umsetzung beantragt, geprüft und genehmigt.</w:t>
      </w:r>
    </w:p>
    <w:p>
      <w:pPr>
        <w:pStyle w:val="10000-DefaultParagraph"/>
        <w:numPr>
          <w:ilvl w:val="0"/>
          <w:numId w:val="437"/>
        </w:numPr>
        <w:rPr/>
      </w:pPr>
      <w:r>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38"/>
        </w:numPr>
        <w:rPr/>
      </w:pPr>
      <w:r>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39"/>
        </w:numPr>
        <w:rPr/>
      </w:pPr>
      <w:r>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t>Wenn Zugänge, Zugriffsrechte oder Zutrittsrechte entzogen werden, KANN auf das Informieren des Nutzers verzichtet werden.</w:t>
      </w:r>
    </w:p>
    <w:p>
      <w:pPr>
        <w:pStyle w:val="10000-DefaultParagraph"/>
        <w:numPr>
          <w:ilvl w:val="0"/>
          <w:numId w:val="440"/>
        </w:numPr>
        <w:rPr/>
      </w:pPr>
      <w:r>
        <w:rPr/>
        <w:t>Vor dem Löschen eines Zugangs werden die Daten, die mit ihm verknüpft sind, weitergegeben, gelöscht oder gesichert bzw. archiviert.</w:t>
      </w:r>
    </w:p>
    <w:p>
      <w:pPr>
        <w:pStyle w:val="10000-DefaultParagraph"/>
        <w:numPr>
          <w:ilvl w:val="0"/>
          <w:numId w:val="441"/>
        </w:numPr>
        <w:rPr/>
      </w:pPr>
      <w:r>
        <w:rPr/>
        <w:t>Die jeweiligen Vorgänge werden dokumentiert.</w:t>
      </w:r>
    </w:p>
    <w:p>
      <w:pPr>
        <w:pStyle w:val="Heading2"/>
        <w:ind w:hanging="0" w:left="0"/>
        <w:jc w:val="left"/>
        <w:rPr/>
      </w:pPr>
      <w:bookmarkStart w:id="868" w:name="__RefHeading___Toc32094_2021121348"/>
      <w:bookmarkStart w:id="869" w:name="_Toc531165103"/>
      <w:bookmarkStart w:id="870" w:name="_Toc178588108"/>
      <w:bookmarkStart w:id="871" w:name="_Toc178761401"/>
      <w:bookmarkStart w:id="872" w:name="_Toc530662968"/>
      <w:bookmarkStart w:id="873" w:name="_Toc187327136"/>
      <w:bookmarkStart w:id="874" w:name="rl%25252525252525252525253Akap_15%252522"/>
      <w:bookmarkStart w:id="875" w:name="_Ref184204700"/>
      <w:bookmarkEnd w:id="868"/>
      <w:bookmarkEnd w:id="874"/>
      <w:r>
        <w:rPr/>
        <w:t>Zusätzliche Maßnahmen für kritische IT-Systeme und Informationen</w:t>
      </w:r>
      <w:bookmarkEnd w:id="869"/>
      <w:bookmarkEnd w:id="870"/>
      <w:bookmarkEnd w:id="871"/>
      <w:bookmarkEnd w:id="872"/>
      <w:bookmarkEnd w:id="873"/>
      <w:bookmarkEnd w:id="875"/>
    </w:p>
    <w:p>
      <w:pPr>
        <w:pStyle w:val="10000-DefaultParagraph"/>
        <w:rPr/>
      </w:pPr>
      <w: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fldChar w:fldCharType="begin"/>
      </w:r>
      <w:r>
        <w:rPr/>
        <w:instrText xml:space="preserve"> REF verwaltung \n \n \h </w:instrText>
      </w:r>
      <w:r>
        <w:rPr/>
        <w:fldChar w:fldCharType="separate"/>
      </w:r>
      <w:r>
        <w:rPr/>
        <w:t>15.2</w:t>
      </w:r>
      <w:r>
        <w:rPr/>
        <w:fldChar w:fldCharType="end"/>
      </w:r>
      <w:r>
        <w:rPr/>
        <w:t xml:space="preserve"> angelegt wurden und benötigt werden.</w:t>
      </w:r>
    </w:p>
    <w:p>
      <w:pPr>
        <w:pStyle w:val="10000-DefaultParagraph"/>
        <w:rPr/>
      </w:pPr>
      <w:r>
        <w:rPr/>
        <w:t xml:space="preserve">Nicht ordnungsgemäß angelegte Zugänge, Zugriffsrechte oder Zutrittsrechte MÜSSEN als Sicherheitsvorfall (siehe Kapitel </w:t>
      </w:r>
      <w:r>
        <w:rPr/>
        <w:fldChar w:fldCharType="begin"/>
      </w:r>
      <w:r>
        <w:rPr/>
        <w:instrText xml:space="preserve"> REF _Ref179188750 \n \n \h </w:instrText>
      </w:r>
      <w:r>
        <w:rPr/>
        <w:fldChar w:fldCharType="separate"/>
      </w:r>
      <w:r>
        <w:rPr/>
        <w:t>17</w:t>
      </w:r>
      <w:r>
        <w:rPr/>
        <w:fldChar w:fldCharType="end"/>
      </w:r>
      <w:r>
        <w:rPr/>
        <w:t>) behandelt werden.</w:t>
      </w:r>
    </w:p>
    <w:p>
      <w:pPr>
        <w:pStyle w:val="Heading1"/>
        <w:ind w:hanging="0" w:left="0"/>
        <w:rPr/>
      </w:pPr>
      <w:bookmarkStart w:id="876" w:name="__RefHeading___Toc32096_2021121348"/>
      <w:bookmarkStart w:id="877" w:name="_Toc178761402"/>
      <w:bookmarkStart w:id="878" w:name="_Toc531165104"/>
      <w:bookmarkStart w:id="879" w:name="_Ref179187414"/>
      <w:bookmarkStart w:id="880" w:name="rl%25252525252525252525253Akap_16%252525"/>
      <w:bookmarkStart w:id="881" w:name="_Ref179378700"/>
      <w:bookmarkStart w:id="882" w:name="_Toc187327137"/>
      <w:bookmarkStart w:id="883" w:name="_Toc530662969"/>
      <w:bookmarkStart w:id="884" w:name="_Toc178588109"/>
      <w:bookmarkStart w:id="885" w:name="_Ref179378737"/>
      <w:bookmarkStart w:id="886" w:name="_Ref179378707"/>
      <w:bookmarkStart w:id="887" w:name="_Ref179378716"/>
      <w:bookmarkStart w:id="888" w:name="_Ref178761950"/>
      <w:bookmarkStart w:id="889" w:name="datensicherung_und_archivierung"/>
      <w:bookmarkEnd w:id="876"/>
      <w:bookmarkEnd w:id="880"/>
      <w:r>
        <w:rPr/>
        <w:t>Datensicherung</w:t>
      </w:r>
      <w:bookmarkEnd w:id="877"/>
      <w:bookmarkEnd w:id="878"/>
      <w:bookmarkEnd w:id="879"/>
      <w:bookmarkEnd w:id="881"/>
      <w:bookmarkEnd w:id="882"/>
      <w:bookmarkEnd w:id="883"/>
      <w:bookmarkEnd w:id="884"/>
      <w:bookmarkEnd w:id="885"/>
      <w:bookmarkEnd w:id="886"/>
      <w:bookmarkEnd w:id="887"/>
      <w:bookmarkEnd w:id="888"/>
      <w:bookmarkEnd w:id="889"/>
    </w:p>
    <w:p>
      <w:pPr>
        <w:pStyle w:val="Heading2"/>
        <w:ind w:hanging="0" w:left="0"/>
        <w:rPr/>
      </w:pPr>
      <w:bookmarkStart w:id="890" w:name="__RefHeading___Toc32098_2021121348"/>
      <w:bookmarkStart w:id="891" w:name="_Toc187327138"/>
      <w:bookmarkEnd w:id="890"/>
      <w:r>
        <w:rPr/>
        <w:t>Grundlagen</w:t>
      </w:r>
      <w:bookmarkEnd w:id="891"/>
    </w:p>
    <w:p>
      <w:pPr>
        <w:pStyle w:val="10000-DefaultParagraph"/>
        <w:rPr/>
      </w:pPr>
      <w:r>
        <w:rPr/>
        <w:t>Daten können unbrauchbar werden oder verloren gehen. Deshalb ist es notwendig, durch eine Datensicherung die Integrität und Verfügbarkeit der Daten sicherzustellen.</w:t>
      </w:r>
    </w:p>
    <w:p>
      <w:pPr>
        <w:pStyle w:val="10000-Empfehlung"/>
        <w:rPr/>
      </w:pPr>
      <w:r>
        <w:rPr>
          <w:rStyle w:val="Emphasis"/>
          <w:i/>
        </w:rPr>
        <w:t xml:space="preserve">Die Datensicherung SOLLTE auf Basis eines anerkannten Standards wie z. B. </w:t>
      </w:r>
      <w:hyperlink r:id="rId6">
        <w:r>
          <w:rPr>
            <w:rStyle w:val="Style"/>
            <w:i/>
            <w:iCs/>
          </w:rPr>
          <w:t>BSI-Standard 200-2</w:t>
        </w:r>
      </w:hyperlink>
      <w:r>
        <w:rPr>
          <w:rStyle w:val="Emphasis"/>
          <w:i/>
        </w:rPr>
        <w:t xml:space="preserve"> unter Berücksichtigung der IT-Grundschutz-Bausteine des BSI implementiert werden.</w:t>
      </w:r>
    </w:p>
    <w:p>
      <w:pPr>
        <w:pStyle w:val="10000-DefaultParagraph"/>
        <w:rPr/>
      </w:pPr>
      <w:r>
        <w:rPr/>
        <w:t>Wenn eine andere Vorgehensweise gewählt wird, MÜSSEN die Anforderungen folgender Abschnitte erfüllt werden.</w:t>
      </w:r>
    </w:p>
    <w:p>
      <w:pPr>
        <w:pStyle w:val="Heading2"/>
        <w:ind w:hanging="0" w:left="0"/>
        <w:rPr/>
      </w:pPr>
      <w:bookmarkStart w:id="892" w:name="__RefHeading___Toc32100_2021121348"/>
      <w:bookmarkStart w:id="893" w:name="rl%25252525252525252525253Akap_16%252521"/>
      <w:bookmarkStart w:id="894" w:name="_Toc178588110"/>
      <w:bookmarkStart w:id="895" w:name="_Toc187327139"/>
      <w:bookmarkStart w:id="896" w:name="is-richtlinie3"/>
      <w:bookmarkStart w:id="897" w:name="_Ref179188907"/>
      <w:bookmarkStart w:id="898" w:name="_Toc530662970"/>
      <w:bookmarkStart w:id="899" w:name="_Toc178761403"/>
      <w:bookmarkStart w:id="900" w:name="_Toc531165105"/>
      <w:bookmarkEnd w:id="892"/>
      <w:bookmarkEnd w:id="893"/>
      <w:r>
        <w:rPr/>
        <w:t>IS-Richtlinie</w:t>
      </w:r>
      <w:bookmarkEnd w:id="894"/>
      <w:bookmarkEnd w:id="895"/>
      <w:bookmarkEnd w:id="896"/>
      <w:bookmarkEnd w:id="897"/>
      <w:bookmarkEnd w:id="898"/>
      <w:bookmarkEnd w:id="899"/>
      <w:bookmarkEnd w:id="900"/>
    </w:p>
    <w:p>
      <w:pPr>
        <w:pStyle w:val="10000-DefaultParagraph"/>
        <w:rPr/>
      </w:pPr>
      <w:r>
        <w:rPr/>
        <w:t xml:space="preserve">In Ergänzung zu Abschnitt </w:t>
      </w:r>
      <w:r>
        <w:rPr/>
        <w:fldChar w:fldCharType="begin"/>
      </w:r>
      <w:r>
        <w:rPr/>
        <w:instrText xml:space="preserve"> REF _Ref179188801 \n \n \h </w:instrText>
      </w:r>
      <w:r>
        <w:rPr/>
        <w:fldChar w:fldCharType="separate"/>
      </w:r>
      <w:r>
        <w:rPr/>
        <w:t>6.4</w:t>
      </w:r>
      <w:r>
        <w:rPr/>
        <w:fldChar w:fldCharType="end"/>
      </w:r>
      <w:r>
        <w:rPr/>
        <w:t xml:space="preserve"> MÜSSEN in einer IS-Richtlinie die Speicherorte für die Daten der Organisation festgelegt werden.</w:t>
      </w:r>
    </w:p>
    <w:p>
      <w:pPr>
        <w:pStyle w:val="Normal"/>
        <w:rPr/>
      </w:pPr>
      <w:r>
        <w:rPr/>
        <w:t>Zur Kontrolle der Vollständigkeit SOLLTEN die Speicherorte der wichtigen Anwendungen untersucht werden.</w:t>
      </w:r>
      <w:r>
        <w:rPr/>
        <w:commentReference w:id="17"/>
      </w:r>
    </w:p>
    <w:p>
      <w:pPr>
        <w:pStyle w:val="Heading2"/>
        <w:ind w:hanging="0" w:left="0"/>
        <w:rPr/>
      </w:pPr>
      <w:bookmarkStart w:id="901" w:name="__RefHeading___Toc32102_2021121348"/>
      <w:bookmarkStart w:id="902" w:name="_Toc178588111"/>
      <w:bookmarkStart w:id="903" w:name="verfahren"/>
      <w:bookmarkStart w:id="904" w:name="_Ref184204724"/>
      <w:bookmarkStart w:id="905" w:name="_Toc187327140"/>
      <w:bookmarkStart w:id="906" w:name="rl%25252525252525252525253Akap_16%252522"/>
      <w:bookmarkStart w:id="907" w:name="_Toc178761404"/>
      <w:bookmarkStart w:id="908" w:name="_Toc530662972"/>
      <w:bookmarkStart w:id="909" w:name="_Toc531165107"/>
      <w:bookmarkEnd w:id="901"/>
      <w:bookmarkEnd w:id="906"/>
      <w:r>
        <w:rPr/>
        <w:t>Verfahren</w:t>
      </w:r>
      <w:bookmarkEnd w:id="902"/>
      <w:bookmarkEnd w:id="903"/>
      <w:bookmarkEnd w:id="904"/>
      <w:bookmarkEnd w:id="905"/>
      <w:bookmarkEnd w:id="907"/>
      <w:bookmarkEnd w:id="908"/>
      <w:bookmarkEnd w:id="909"/>
    </w:p>
    <w:p>
      <w:pPr>
        <w:pStyle w:val="10000-DefaultParagraph"/>
        <w:rPr/>
      </w:pPr>
      <w:r>
        <w:rPr/>
        <w:t>Für die Datensicherung und -wiederherstellung MÜSSEN Verfahren (siehe</w:t>
      </w:r>
      <w:r>
        <w:rPr>
          <w:spacing w:val="-2"/>
        </w:rPr>
        <w:t xml:space="preserve"> Anhang</w:t>
      </w:r>
      <w:r>
        <w:rPr/>
        <w:t xml:space="preserve"> </w:t>
      </w:r>
      <w:r>
        <w:rPr/>
        <w:fldChar w:fldCharType="begin"/>
      </w:r>
      <w:r>
        <w:rPr/>
        <w:instrText xml:space="preserve"> REF _Ref179188814 \n \n \h </w:instrText>
      </w:r>
      <w:r>
        <w:rPr/>
        <w:fldChar w:fldCharType="separate"/>
      </w:r>
      <w:r>
        <w:rPr/>
        <w:t>A.1</w:t>
      </w:r>
      <w:r>
        <w:rPr/>
        <w:fldChar w:fldCharType="end"/>
      </w:r>
      <w:r>
        <w:rPr/>
        <w:t>) implementiert werden, die die folgenden Punkte sicherstellen:</w:t>
      </w:r>
    </w:p>
    <w:p>
      <w:pPr>
        <w:pStyle w:val="10000-DefaultParagraph"/>
        <w:numPr>
          <w:ilvl w:val="0"/>
          <w:numId w:val="29"/>
        </w:numPr>
        <w:rPr/>
      </w:pPr>
      <w:r>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rPr>
        <w:t>Der Schutz der Vertraulichkeit KANN z. B. durch eine Verschlüsselung der Daten oder der Sicherungsmedien erreicht werden.</w:t>
      </w:r>
    </w:p>
    <w:p>
      <w:pPr>
        <w:pStyle w:val="10000-DefaultParagraph"/>
        <w:numPr>
          <w:ilvl w:val="0"/>
          <w:numId w:val="29"/>
        </w:numPr>
        <w:rPr/>
      </w:pPr>
      <w:r>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9"/>
        </w:numPr>
        <w:rPr/>
      </w:pPr>
      <w:r>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9"/>
        </w:numPr>
        <w:rPr/>
      </w:pPr>
      <w:r>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i/>
          <w:i/>
          <w:iCs/>
        </w:rPr>
      </w:pPr>
      <w:r>
        <w:rPr/>
        <w:t>Dazu KANN eine vollständige Datensicherung in festen zeitlichen Abständen (z. B. wöchentlich) an einen entfernten Standort ausgelagert werden.</w:t>
      </w:r>
    </w:p>
    <w:p>
      <w:pPr>
        <w:pStyle w:val="10000-DefaultParagraph"/>
        <w:numPr>
          <w:ilvl w:val="0"/>
          <w:numId w:val="29"/>
        </w:numPr>
        <w:rPr/>
      </w:pPr>
      <w:r>
        <w:rPr/>
        <w:t>Für die Datensicherung werden mehrere Medien eingesetzt und dabei ist sichergestellt, dass der Ausfall eines Mediums nicht zum Verlust von wesentlichen Teilen der gesicherten Daten führt - wenn die Datensicherung ausschließlich über Cloud-Dienste erfolgt, MUSS sichergestellt sein,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9"/>
        </w:numPr>
        <w:rPr/>
      </w:pPr>
      <w:r>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9"/>
        </w:numPr>
        <w:rPr/>
      </w:pPr>
      <w:r>
        <w:rPr/>
        <w:t>Die Durchführung und die Ergebnisse der Tests werden dokumentiert.</w:t>
      </w:r>
    </w:p>
    <w:p>
      <w:pPr>
        <w:pStyle w:val="Heading2"/>
        <w:ind w:hanging="0" w:left="0"/>
        <w:rPr/>
      </w:pPr>
      <w:bookmarkStart w:id="910" w:name="__RefHeading___Toc32104_2021121348"/>
      <w:bookmarkStart w:id="911" w:name="_Toc187327141"/>
      <w:bookmarkStart w:id="912" w:name="_Toc530662973"/>
      <w:bookmarkStart w:id="913" w:name="rl%25252525252525252525253Akap_16%252523"/>
      <w:bookmarkStart w:id="914" w:name="_Toc531165108"/>
      <w:bookmarkStart w:id="915" w:name="weiterentwicklung"/>
      <w:bookmarkStart w:id="916" w:name="_Toc178761405"/>
      <w:bookmarkStart w:id="917" w:name="_Toc178588112"/>
      <w:bookmarkStart w:id="918" w:name="_Ref179189000"/>
      <w:bookmarkEnd w:id="910"/>
      <w:bookmarkEnd w:id="913"/>
      <w:r>
        <w:rPr/>
        <w:t>Weiterentwicklung</w:t>
      </w:r>
      <w:bookmarkEnd w:id="911"/>
      <w:bookmarkEnd w:id="912"/>
      <w:bookmarkEnd w:id="914"/>
      <w:bookmarkEnd w:id="915"/>
      <w:bookmarkEnd w:id="916"/>
      <w:bookmarkEnd w:id="917"/>
      <w:bookmarkEnd w:id="918"/>
    </w:p>
    <w:p>
      <w:pPr>
        <w:pStyle w:val="10000-DefaultParagraph"/>
        <w:rPr/>
      </w:pPr>
      <w:r>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pPr>
      <w:r>
        <w:rPr/>
        <w:t>Notwendige Anpassungen MÜSSEN zeitnah implementiert werden.</w:t>
      </w:r>
    </w:p>
    <w:p>
      <w:pPr>
        <w:pStyle w:val="Heading2"/>
        <w:ind w:hanging="0" w:left="0"/>
        <w:rPr/>
      </w:pPr>
      <w:bookmarkStart w:id="919" w:name="__RefHeading___Toc32106_2021121348"/>
      <w:bookmarkStart w:id="920" w:name="basisschutz2"/>
      <w:bookmarkStart w:id="921" w:name="_Toc178588113"/>
      <w:bookmarkStart w:id="922" w:name="rl%25252525252525252525253Akap_16%252524"/>
      <w:bookmarkStart w:id="923" w:name="_Toc530662974"/>
      <w:bookmarkStart w:id="924" w:name="_Toc531165109"/>
      <w:bookmarkStart w:id="925" w:name="_Ref179379162"/>
      <w:bookmarkStart w:id="926" w:name="_Toc187327142"/>
      <w:bookmarkStart w:id="927" w:name="_Toc178761406"/>
      <w:bookmarkEnd w:id="919"/>
      <w:bookmarkEnd w:id="922"/>
      <w:r>
        <w:rPr/>
        <w:t>Basisschutz</w:t>
      </w:r>
      <w:bookmarkEnd w:id="920"/>
      <w:bookmarkEnd w:id="921"/>
      <w:bookmarkEnd w:id="923"/>
      <w:bookmarkEnd w:id="924"/>
      <w:bookmarkEnd w:id="925"/>
      <w:bookmarkEnd w:id="926"/>
      <w:bookmarkEnd w:id="927"/>
    </w:p>
    <w:p>
      <w:pPr>
        <w:pStyle w:val="Heading3"/>
        <w:ind w:hanging="0" w:left="0"/>
        <w:rPr/>
      </w:pPr>
      <w:bookmarkStart w:id="928" w:name="__RefHeading___Toc32108_2021121348"/>
      <w:bookmarkStart w:id="929" w:name="_Toc187327143"/>
      <w:bookmarkEnd w:id="928"/>
      <w:r>
        <w:rPr/>
        <w:t>Basisschutz-Maßnahmen</w:t>
      </w:r>
      <w:bookmarkEnd w:id="929"/>
    </w:p>
    <w:p>
      <w:pPr>
        <w:pStyle w:val="10000-DefaultParagraph"/>
        <w:rPr/>
      </w:pPr>
      <w:r>
        <w:rPr/>
        <w:t xml:space="preserve">Die Maßnahmen der folgenden Abschnitte MÜSSEN, sofern eine entsprechende Funktionalität gegeben ist, für Speicherorte (siehe Abschnitt </w:t>
      </w:r>
      <w:r>
        <w:rPr/>
        <w:fldChar w:fldCharType="begin"/>
      </w:r>
      <w:r>
        <w:rPr/>
        <w:instrText xml:space="preserve"> REF _Ref179188907 \n \n \h </w:instrText>
      </w:r>
      <w:r>
        <w:rPr/>
        <w:fldChar w:fldCharType="separate"/>
      </w:r>
      <w:r>
        <w:rPr/>
        <w:t>16.2</w:t>
      </w:r>
      <w:r>
        <w:rPr/>
        <w:fldChar w:fldCharType="end"/>
      </w:r>
      <w:r>
        <w:rPr/>
        <w:t>), Server, aktive Netzwerkkomponenten und mobile IT-Systeme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_Ref179188860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_Ref179188878 \n \n \h </w:instrText>
      </w:r>
      <w:r>
        <w:rPr/>
        <w:fldChar w:fldCharType="separate"/>
      </w:r>
      <w:r>
        <w:rPr/>
        <w:t>A.2</w:t>
      </w:r>
      <w:r>
        <w:rPr/>
        <w:fldChar w:fldCharType="end"/>
      </w:r>
      <w:r>
        <w:rPr/>
        <w:t>).</w:t>
      </w:r>
    </w:p>
    <w:p>
      <w:pPr>
        <w:pStyle w:val="Normal"/>
        <w:rPr/>
      </w:pPr>
      <w:r>
        <w:rPr/>
        <w:t>Nachrangige Speicherorte, Server, aktive Netzwerkkomponenten und mobile IT-Systeme KÖNNEN von der Umsetzung der Maßnahmen des Basisschutzes generell ausgenommen werden.</w:t>
      </w:r>
    </w:p>
    <w:p>
      <w:pPr>
        <w:pStyle w:val="Heading3"/>
        <w:ind w:hanging="0" w:left="0"/>
        <w:rPr/>
      </w:pPr>
      <w:bookmarkStart w:id="930" w:name="__RefHeading___Toc32110_2021121348"/>
      <w:bookmarkStart w:id="931" w:name="_Toc178761407"/>
      <w:bookmarkStart w:id="932" w:name="_Ref184204739"/>
      <w:bookmarkStart w:id="933" w:name="_Toc187327144"/>
      <w:bookmarkEnd w:id="930"/>
      <w:r>
        <w:rPr/>
        <w:t>IT-Systeme für die Datensicherung und -wiederherstellung</w:t>
      </w:r>
      <w:bookmarkEnd w:id="931"/>
      <w:bookmarkEnd w:id="932"/>
      <w:bookmarkEnd w:id="933"/>
    </w:p>
    <w:p>
      <w:pPr>
        <w:pStyle w:val="10000-DefaultParagraph"/>
        <w:rPr/>
      </w:pPr>
      <w:r>
        <w:rPr/>
        <w:t>Die für die Datensicherung und -wiederherstellung eingesetzten IT-Systeme MÜSSEN besonders vor unbefugtem Zugang geschützt werden. Dazu sind die folgenden Punkte umzusetzen:</w:t>
      </w:r>
    </w:p>
    <w:p>
      <w:pPr>
        <w:pStyle w:val="10000-DefaultParagraph"/>
        <w:widowControl/>
        <w:numPr>
          <w:ilvl w:val="0"/>
          <w:numId w:val="20"/>
        </w:numPr>
        <w:suppressAutoHyphens w:val="false"/>
        <w:bidi w:val="0"/>
        <w:spacing w:lineRule="auto" w:line="247" w:before="0" w:after="120"/>
        <w:ind w:hanging="397" w:left="397" w:right="0"/>
        <w:jc w:val="both"/>
        <w:rPr/>
      </w:pPr>
      <w:r>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pPr>
      <w:r>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pPr>
      <w:r>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pPr>
      <w:r>
        <w:rPr/>
        <w:t>Der Netzwerkverkehr von und zu den IT-Systemen ist auf das für die Funktionsfähigkeit notwendige Minimum beschränkt.</w:t>
      </w:r>
    </w:p>
    <w:p>
      <w:pPr>
        <w:pStyle w:val="Heading3"/>
        <w:ind w:hanging="0" w:left="0"/>
        <w:rPr/>
      </w:pPr>
      <w:bookmarkStart w:id="934" w:name="__RefHeading___speicherorte_110"/>
      <w:bookmarkStart w:id="935" w:name="rl%25252525252525252525253Akap_16%252526"/>
      <w:bookmarkStart w:id="936" w:name="_Toc531165110"/>
      <w:bookmarkStart w:id="937" w:name="_Toc530662975"/>
      <w:bookmarkStart w:id="938" w:name="_Toc187327145"/>
      <w:bookmarkStart w:id="939" w:name="_Toc178761408"/>
      <w:bookmarkStart w:id="940" w:name="speicherorte"/>
      <w:bookmarkEnd w:id="934"/>
      <w:bookmarkEnd w:id="935"/>
      <w:r>
        <w:rPr/>
        <w:t>Speicherorte</w:t>
      </w:r>
      <w:bookmarkEnd w:id="936"/>
      <w:bookmarkEnd w:id="937"/>
      <w:bookmarkEnd w:id="938"/>
      <w:bookmarkEnd w:id="939"/>
      <w:bookmarkEnd w:id="940"/>
    </w:p>
    <w:p>
      <w:pPr>
        <w:pStyle w:val="10000-DefaultParagraph"/>
        <w:rPr/>
      </w:pPr>
      <w:r>
        <w:rPr/>
        <w:t>Speicherorte MÜSSEN so gesichert werden, dass ihr letzter vollständig wiederherstellbarer Zustand nicht älter als 24 Stunden ist.</w:t>
      </w:r>
    </w:p>
    <w:p>
      <w:pPr>
        <w:pStyle w:val="Heading3"/>
        <w:ind w:hanging="0" w:left="0"/>
        <w:rPr/>
      </w:pPr>
      <w:bookmarkStart w:id="941" w:name="__RefHeading___server_111"/>
      <w:bookmarkStart w:id="942" w:name="_Toc178761409"/>
      <w:bookmarkStart w:id="943" w:name="_Toc531165111"/>
      <w:bookmarkStart w:id="944" w:name="rl%25252525252525252525253Akap_16%252527"/>
      <w:bookmarkStart w:id="945" w:name="_Toc187327146"/>
      <w:bookmarkStart w:id="946" w:name="_Toc530662976"/>
      <w:bookmarkStart w:id="947" w:name="server"/>
      <w:bookmarkEnd w:id="941"/>
      <w:bookmarkEnd w:id="944"/>
      <w:r>
        <w:rPr/>
        <w:t>Server</w:t>
      </w:r>
      <w:bookmarkEnd w:id="942"/>
      <w:bookmarkEnd w:id="943"/>
      <w:bookmarkEnd w:id="945"/>
      <w:bookmarkEnd w:id="946"/>
      <w:bookmarkEnd w:id="947"/>
    </w:p>
    <w:p>
      <w:pPr>
        <w:pStyle w:val="10000-DefaultParagraph"/>
        <w:rPr>
          <w:spacing w:val="-2"/>
        </w:rPr>
      </w:pPr>
      <w:r>
        <w:rPr/>
        <w:t>Server MÜSSEN so gesichert werden, dass ihr letzter vollständig wiederherstellbarer Zustand (Systemsoftware, Konfigurationen, Anwendungssoftware, Anwendungs-, Logdaten usw.) nicht älter als 24 Stunden ist.</w:t>
      </w:r>
    </w:p>
    <w:p>
      <w:pPr>
        <w:pStyle w:val="Heading3"/>
        <w:ind w:hanging="0" w:left="0"/>
        <w:rPr/>
      </w:pPr>
      <w:bookmarkStart w:id="948" w:name="__RefHeading___aktive_netzwerkkomponente"/>
      <w:bookmarkStart w:id="949" w:name="aktive_netzwerkkomponenten1"/>
      <w:bookmarkStart w:id="950" w:name="_Toc530662977"/>
      <w:bookmarkStart w:id="951" w:name="_Toc531165112"/>
      <w:bookmarkStart w:id="952" w:name="_Toc187327147"/>
      <w:bookmarkStart w:id="953" w:name="_Toc178761410"/>
      <w:bookmarkStart w:id="954" w:name="rl%25252525252525252525253Akap_16%252528"/>
      <w:bookmarkEnd w:id="948"/>
      <w:bookmarkEnd w:id="954"/>
      <w:r>
        <w:rPr/>
        <w:t>Aktive Netzwerkkomponenten</w:t>
      </w:r>
      <w:bookmarkEnd w:id="949"/>
      <w:bookmarkEnd w:id="950"/>
      <w:bookmarkEnd w:id="951"/>
      <w:bookmarkEnd w:id="952"/>
      <w:bookmarkEnd w:id="953"/>
    </w:p>
    <w:p>
      <w:pPr>
        <w:pStyle w:val="10000-DefaultParagraph"/>
        <w:rPr/>
      </w:pPr>
      <w:r>
        <w:rPr/>
        <w:t>Systemsoftware und Konfiguration der aktiven Netzwerkkomponenten MÜSSEN initial und nach jeder Änderung gesichert werden.</w:t>
      </w:r>
    </w:p>
    <w:p>
      <w:pPr>
        <w:pStyle w:val="Heading3"/>
        <w:ind w:hanging="0" w:left="0"/>
        <w:rPr/>
      </w:pPr>
      <w:bookmarkStart w:id="955" w:name="__RefHeading___mobile_it-systeme_113"/>
      <w:bookmarkStart w:id="956" w:name="mobile_it-systeme"/>
      <w:bookmarkStart w:id="957" w:name="_Toc178761411"/>
      <w:bookmarkStart w:id="958" w:name="_Toc531165113"/>
      <w:bookmarkStart w:id="959" w:name="rl%25252525252525252525253Akap_16%252529"/>
      <w:bookmarkStart w:id="960" w:name="_Toc187327148"/>
      <w:bookmarkStart w:id="961" w:name="_Toc530662978"/>
      <w:bookmarkEnd w:id="955"/>
      <w:bookmarkEnd w:id="959"/>
      <w:r>
        <w:rPr/>
        <w:t>Mobile IT-Systeme</w:t>
      </w:r>
      <w:bookmarkEnd w:id="956"/>
      <w:bookmarkEnd w:id="957"/>
      <w:bookmarkEnd w:id="958"/>
      <w:bookmarkEnd w:id="960"/>
      <w:bookmarkEnd w:id="961"/>
    </w:p>
    <w:p>
      <w:pPr>
        <w:pStyle w:val="10000-DefaultParagraph"/>
        <w:rPr/>
      </w:pPr>
      <w:r>
        <w:rPr/>
        <w:t>Es MUSS eine Vorgehensweise für die Datensicherung von mobilen IT-Systemen vorhandenen Daten von einem Administrator vorgegeben werden.</w:t>
      </w:r>
    </w:p>
    <w:p>
      <w:pPr>
        <w:pStyle w:val="Heading2"/>
        <w:ind w:hanging="0" w:left="0"/>
        <w:rPr/>
      </w:pPr>
      <w:bookmarkStart w:id="962" w:name="__RefHeading___Toc32112_2021121348"/>
      <w:bookmarkStart w:id="963" w:name="rl%25252525252525252525253Akap_16%25252a"/>
      <w:bookmarkStart w:id="964" w:name="_Toc178761412"/>
      <w:bookmarkStart w:id="965" w:name="_Toc531165114"/>
      <w:bookmarkStart w:id="966" w:name="_Toc530662979"/>
      <w:bookmarkStart w:id="967" w:name="_Toc187327149"/>
      <w:bookmarkStart w:id="968" w:name="_Toc178588114"/>
      <w:bookmarkEnd w:id="962"/>
      <w:bookmarkEnd w:id="963"/>
      <w:r>
        <w:rPr/>
        <w:t>Zusätzliche Maßnahmen für wichtige IT-Systeme</w:t>
      </w:r>
      <w:bookmarkEnd w:id="964"/>
      <w:bookmarkEnd w:id="965"/>
      <w:bookmarkEnd w:id="966"/>
      <w:bookmarkEnd w:id="967"/>
      <w:bookmarkEnd w:id="968"/>
    </w:p>
    <w:p>
      <w:pPr>
        <w:pStyle w:val="Heading3"/>
        <w:ind w:hanging="0" w:left="0"/>
        <w:rPr/>
      </w:pPr>
      <w:bookmarkStart w:id="969" w:name="__RefHeading___Toc32114_2021121348"/>
      <w:bookmarkStart w:id="970" w:name="_Toc187327150"/>
      <w:bookmarkStart w:id="971" w:name="_Ref179187386"/>
      <w:bookmarkEnd w:id="969"/>
      <w:r>
        <w:rPr/>
        <w:t>Datensicherung</w:t>
      </w:r>
      <w:bookmarkEnd w:id="970"/>
      <w:bookmarkEnd w:id="971"/>
    </w:p>
    <w:p>
      <w:pPr>
        <w:pStyle w:val="10000-DefaultParagraph"/>
        <w:rPr/>
      </w:pPr>
      <w:r>
        <w:rPr/>
        <w:t xml:space="preserve">Jedes </w:t>
      </w:r>
      <w:r>
        <w:rPr>
          <w:shd w:fill="auto" w:val="clear"/>
        </w:rPr>
        <w:t xml:space="preserve">wichtige </w:t>
      </w:r>
      <w:r>
        <w:rPr/>
        <w:t xml:space="preserve">IT-System MUSS über eine Datensicherung verfügen, die in Ergänzung zu </w:t>
      </w:r>
      <w:r>
        <w:rPr>
          <w:rStyle w:val="Hyperlink"/>
          <w:color w:val="auto"/>
          <w:u w:val="none"/>
        </w:rPr>
        <w:t xml:space="preserve">Abschnitt </w:t>
      </w:r>
      <w:r>
        <w:rPr/>
        <w:fldChar w:fldCharType="begin"/>
      </w:r>
      <w:r>
        <w:rPr/>
        <w:instrText xml:space="preserve"> REF _Ref179379162 \n \n \h </w:instrText>
      </w:r>
      <w:r>
        <w:rPr/>
        <w:fldChar w:fldCharType="separate"/>
      </w:r>
      <w:r>
        <w:rPr/>
        <w:t>16.5</w:t>
      </w:r>
      <w:r>
        <w:rPr/>
        <w:fldChar w:fldCharType="end"/>
      </w:r>
      <w:r>
        <w:rPr>
          <w:rStyle w:val="Hyperlink"/>
          <w:color w:val="auto"/>
          <w:u w:val="none"/>
        </w:rPr>
        <w:t xml:space="preserve"> </w:t>
      </w:r>
      <w:r>
        <w:rPr/>
        <w:t>folgende Anforderungen erfüllt.</w:t>
      </w:r>
    </w:p>
    <w:p>
      <w:pPr>
        <w:pStyle w:val="Heading3"/>
        <w:ind w:hanging="0" w:left="0"/>
        <w:rPr/>
      </w:pPr>
      <w:bookmarkStart w:id="972" w:name="__RefHeading___risikoanalyse_116"/>
      <w:bookmarkStart w:id="973" w:name="_Toc178761413"/>
      <w:bookmarkStart w:id="974" w:name="_Toc187327151"/>
      <w:bookmarkStart w:id="975" w:name="_Toc531165115"/>
      <w:bookmarkStart w:id="976" w:name="risikoanalyse"/>
      <w:bookmarkStart w:id="977" w:name="rl%25252525252525252525253Akap_16%25252b"/>
      <w:bookmarkStart w:id="978" w:name="_Toc530662980"/>
      <w:bookmarkEnd w:id="972"/>
      <w:bookmarkEnd w:id="977"/>
      <w:r>
        <w:rPr/>
        <w:t>Risikoanalyse</w:t>
      </w:r>
      <w:bookmarkEnd w:id="973"/>
      <w:bookmarkEnd w:id="974"/>
      <w:bookmarkEnd w:id="975"/>
      <w:bookmarkEnd w:id="976"/>
      <w:bookmarkEnd w:id="978"/>
    </w:p>
    <w:p>
      <w:pPr>
        <w:pStyle w:val="10000-DefaultParagraph"/>
        <w:rPr/>
      </w:pPr>
      <w:r>
        <w:rPr/>
        <w:t xml:space="preserve">Im Zuge der Risikoanalyse und -behandlung (siehe </w:t>
      </w:r>
      <w:r>
        <w:rPr>
          <w:rStyle w:val="Hyperlink"/>
          <w:color w:val="auto"/>
          <w:u w:val="none"/>
        </w:rPr>
        <w:t>Abschnitt &lt;FIXME&gt;</w:t>
      </w:r>
      <w:r>
        <w:rPr/>
        <w:t>) MÜSSEN die Folgen eines Datenverlusts analysiert und dabei der MTD bestimmt werden.</w:t>
      </w:r>
    </w:p>
    <w:p>
      <w:pPr>
        <w:pStyle w:val="Heading3"/>
        <w:ind w:hanging="0" w:left="0"/>
        <w:rPr/>
      </w:pPr>
      <w:bookmarkStart w:id="979" w:name="__RefHeading___verfahren_117"/>
      <w:bookmarkStart w:id="980" w:name="_Toc530662981"/>
      <w:bookmarkStart w:id="981" w:name="verfahren1"/>
      <w:bookmarkStart w:id="982" w:name="_Toc531165116"/>
      <w:bookmarkStart w:id="983" w:name="_Toc178761414"/>
      <w:bookmarkStart w:id="984" w:name="rl%25252525252525252525253Akap_16%25252c"/>
      <w:bookmarkStart w:id="985" w:name="_Toc187327152"/>
      <w:bookmarkEnd w:id="979"/>
      <w:bookmarkEnd w:id="984"/>
      <w:r>
        <w:rPr/>
        <w:t>Verfahren</w:t>
      </w:r>
      <w:bookmarkEnd w:id="980"/>
      <w:bookmarkEnd w:id="981"/>
      <w:bookmarkEnd w:id="982"/>
      <w:bookmarkEnd w:id="983"/>
      <w:bookmarkEnd w:id="985"/>
    </w:p>
    <w:p>
      <w:pPr>
        <w:pStyle w:val="10000-DefaultParagraph"/>
        <w:rPr/>
      </w:pPr>
      <w:r>
        <w:rPr/>
        <w:t xml:space="preserve">Die Verfahren zur Datensicherung und -wiederherstellung MÜSSEN in Ergänzung zu Abschnitt </w:t>
      </w:r>
      <w:r>
        <w:rPr/>
        <w:fldChar w:fldCharType="begin"/>
      </w:r>
      <w:r>
        <w:rPr/>
        <w:instrText xml:space="preserve"> REF _Ref179189000 \n \n \h </w:instrText>
      </w:r>
      <w:r>
        <w:rPr/>
        <w:fldChar w:fldCharType="separate"/>
      </w:r>
      <w:r>
        <w:rPr/>
        <w:t>16.4</w:t>
      </w:r>
      <w:r>
        <w:rPr/>
        <w:fldChar w:fldCharType="end"/>
      </w:r>
      <w:r>
        <w:rPr/>
        <w:t xml:space="preserve"> folgende Punkte sicherstellen:</w:t>
      </w:r>
    </w:p>
    <w:p>
      <w:pPr>
        <w:pStyle w:val="10000-DefaultParagraph"/>
        <w:numPr>
          <w:ilvl w:val="0"/>
          <w:numId w:val="442"/>
        </w:numPr>
        <w:rPr/>
      </w:pPr>
      <w:r>
        <w:rPr>
          <w:shd w:fill="auto" w:val="clear"/>
        </w:rPr>
        <w:t xml:space="preserve">Wichtige </w:t>
      </w:r>
      <w:r>
        <w:rPr/>
        <w:t xml:space="preserve"> IT-Systeme werden vollständig gesichert (Systemsoftware, Konfigurationen, Anwendungssoftware, Anwendungs-, Logdaten usw.).</w:t>
      </w:r>
    </w:p>
    <w:p>
      <w:pPr>
        <w:pStyle w:val="10000-DefaultParagraph"/>
        <w:numPr>
          <w:ilvl w:val="0"/>
          <w:numId w:val="443"/>
        </w:numPr>
        <w:rPr/>
      </w:pPr>
      <w:r>
        <w:rPr/>
        <w:t>Der MTD wird nicht überschritten.</w:t>
      </w:r>
    </w:p>
    <w:p>
      <w:pPr>
        <w:pStyle w:val="10000-DefaultParagraph"/>
        <w:numPr>
          <w:ilvl w:val="0"/>
          <w:numId w:val="444"/>
        </w:numPr>
        <w:rPr/>
      </w:pPr>
      <w:r>
        <w:rPr/>
        <w:t xml:space="preserve">Die Wiederherstellung innerhalb der MTA wird gewährleistet, sofern keine Ersatzsysteme oder </w:t>
        <w:br/>
        <w:t xml:space="preserve">-verfahren verfügbar sind (siehe </w:t>
      </w:r>
      <w:r>
        <w:rPr>
          <w:rStyle w:val="Hyperlink"/>
          <w:color w:val="auto"/>
          <w:u w:val="none"/>
        </w:rPr>
        <w:t xml:space="preserve">Abschnitt </w:t>
      </w:r>
      <w:r>
        <w:rPr/>
        <w:fldChar w:fldCharType="begin"/>
      </w:r>
      <w:r>
        <w:rPr/>
        <w:instrText xml:space="preserve"> REF _Ref179189029 \n \n \h </w:instrText>
      </w:r>
      <w:r>
        <w:rPr/>
        <w:fldChar w:fldCharType="separate"/>
      </w:r>
      <w:r>
        <w:rPr/>
        <w:t>10.7.7</w:t>
      </w:r>
      <w:r>
        <w:rPr/>
        <w:fldChar w:fldCharType="end"/>
      </w:r>
      <w:r>
        <w:rPr/>
        <w:t>).</w:t>
      </w:r>
      <w:bookmarkStart w:id="986" w:name="del_testsdel1"/>
      <w:bookmarkEnd w:id="986"/>
    </w:p>
    <w:p>
      <w:pPr>
        <w:pStyle w:val="Heading1"/>
        <w:ind w:hanging="0" w:left="0"/>
        <w:rPr/>
      </w:pPr>
      <w:bookmarkStart w:id="987" w:name="__RefHeading___Toc32116_2021121348"/>
      <w:bookmarkStart w:id="988" w:name="_Ref179186901"/>
      <w:bookmarkStart w:id="989" w:name="_Ref178761991"/>
      <w:bookmarkStart w:id="990" w:name="_Toc531165117_Copy_1_Copy_1_Copy_1_Copy_"/>
      <w:bookmarkStart w:id="991" w:name="stoerungen_und_ausfaelle_Copy_1_Copy_1_C"/>
      <w:bookmarkStart w:id="992" w:name="_Ref179187629"/>
      <w:bookmarkStart w:id="993" w:name="_Toc530662982_Copy_1_Copy_1_Copy_1_Copy_"/>
      <w:bookmarkStart w:id="994" w:name="_Toc187327153"/>
      <w:bookmarkStart w:id="995" w:name="_Toc178761415"/>
      <w:bookmarkStart w:id="996" w:name="_Ref179188750"/>
      <w:bookmarkStart w:id="997" w:name="_Toc178588115"/>
      <w:bookmarkStart w:id="998" w:name="_Ref179378695"/>
      <w:bookmarkEnd w:id="987"/>
      <w:bookmarkEnd w:id="990"/>
      <w:bookmarkEnd w:id="991"/>
      <w:bookmarkEnd w:id="993"/>
      <w:r>
        <w:rPr/>
        <w:t>Sicherheitsvorfälle</w:t>
      </w:r>
      <w:bookmarkEnd w:id="988"/>
      <w:bookmarkEnd w:id="989"/>
      <w:bookmarkEnd w:id="992"/>
      <w:bookmarkEnd w:id="994"/>
      <w:bookmarkEnd w:id="995"/>
      <w:bookmarkEnd w:id="996"/>
      <w:bookmarkEnd w:id="997"/>
      <w:bookmarkEnd w:id="998"/>
      <w:r>
        <w:rPr/>
        <w:t xml:space="preserve"> und Krisenmanagement</w:t>
      </w:r>
      <w:r>
        <w:rPr/>
        <w:commentReference w:id="18"/>
      </w:r>
    </w:p>
    <w:p>
      <w:pPr>
        <w:pStyle w:val="Heading2"/>
        <w:ind w:hanging="0" w:left="0"/>
        <w:rPr/>
      </w:pPr>
      <w:bookmarkStart w:id="999" w:name="__RefHeading___Toc32118_2021121348"/>
      <w:bookmarkStart w:id="1000" w:name="_Toc187327154"/>
      <w:bookmarkEnd w:id="999"/>
      <w:r>
        <w:rPr/>
        <w:t>Vorbereitung auf Sicherheitsvorfälle</w:t>
      </w:r>
      <w:bookmarkEnd w:id="1000"/>
    </w:p>
    <w:p>
      <w:pPr>
        <w:pStyle w:val="10000-DefaultParagraph"/>
        <w:rPr/>
      </w:pPr>
      <w:r>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rPr>
        <w:t>Zu diesem Zweck SOLLTE die Organisation ein Business Continuity Management (BCM) auf Basis eines anerkannten Standards wie BSI-Standard 200-4 oder DIN EN ISO 22301 implementieren.</w:t>
      </w:r>
    </w:p>
    <w:p>
      <w:pPr>
        <w:pStyle w:val="10000-DefaultParagraph"/>
        <w:rPr/>
      </w:pPr>
      <w:r>
        <w:rPr/>
        <w:t>Wenn eine andere Vorgehensweise gewählt wird, MÜSSEN die Anforderungen folgender Abschnitte erfüllt werden.</w:t>
      </w:r>
    </w:p>
    <w:p>
      <w:pPr>
        <w:pStyle w:val="Heading2"/>
        <w:ind w:hanging="0" w:left="0"/>
        <w:rPr/>
      </w:pPr>
      <w:bookmarkStart w:id="1001" w:name="__RefHeading___Toc32120_2021121348"/>
      <w:bookmarkStart w:id="1002" w:name="is-richtlinie4"/>
      <w:bookmarkStart w:id="1003" w:name="_Toc187327155"/>
      <w:bookmarkStart w:id="1004" w:name="_Toc178761416"/>
      <w:bookmarkStart w:id="1005" w:name="_Toc530662983"/>
      <w:bookmarkStart w:id="1006" w:name="rl%25252525252525252525253Akap_17%252525"/>
      <w:bookmarkStart w:id="1007" w:name="_Toc531165118"/>
      <w:bookmarkStart w:id="1008" w:name="_Toc178588116"/>
      <w:bookmarkEnd w:id="1001"/>
      <w:bookmarkEnd w:id="1006"/>
      <w:r>
        <w:rPr/>
        <w:t>IS-Richtlinie</w:t>
      </w:r>
      <w:bookmarkEnd w:id="1002"/>
      <w:bookmarkEnd w:id="1003"/>
      <w:bookmarkEnd w:id="1004"/>
      <w:bookmarkEnd w:id="1005"/>
      <w:bookmarkEnd w:id="1007"/>
      <w:bookmarkEnd w:id="1008"/>
    </w:p>
    <w:p>
      <w:pPr>
        <w:pStyle w:val="10000-DefaultParagraph"/>
        <w:rPr/>
      </w:pPr>
      <w:r>
        <w:rPr/>
        <w:t xml:space="preserve">In Ergänzung zu Abschnitt </w:t>
      </w:r>
      <w:r>
        <w:rPr/>
        <w:fldChar w:fldCharType="begin"/>
      </w:r>
      <w:r>
        <w:rPr/>
        <w:instrText xml:space="preserve"> REF _Ref179189056 \n \n \h </w:instrText>
      </w:r>
      <w:r>
        <w:rPr/>
        <w:fldChar w:fldCharType="separate"/>
      </w:r>
      <w:r>
        <w:rPr/>
        <w:t>6.4</w:t>
      </w:r>
      <w:r>
        <w:rPr/>
        <w:fldChar w:fldCharType="end"/>
      </w:r>
      <w:r>
        <w:rPr/>
        <w:t xml:space="preserve"> MÜSSEN in einer IS-Richtlinie Regelungen für den Umgang mit Sicherheitsvorfällen getroffen werden:</w:t>
      </w:r>
    </w:p>
    <w:p>
      <w:pPr>
        <w:pStyle w:val="10000-DefaultParagraph"/>
        <w:numPr>
          <w:ilvl w:val="0"/>
          <w:numId w:val="445"/>
        </w:numPr>
        <w:rPr/>
      </w:pPr>
      <w:r>
        <w:rPr/>
        <w:t xml:space="preserve">Die Begriffe </w:t>
      </w:r>
      <w:r>
        <w:rPr>
          <w:i/>
          <w:iCs/>
        </w:rPr>
        <w:t>Sicherheitsvorfall</w:t>
      </w:r>
      <w:r>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rPr>
        <w:t>Es SOLLTE beschrieben werden, welche Ereignisse oder Auffälligkeiten dazu führen, dass ein Vorfall als Sicherheitsvorfall eingestuft wird.</w:t>
      </w:r>
    </w:p>
    <w:p>
      <w:pPr>
        <w:pStyle w:val="10000-DefaultParagraph"/>
        <w:numPr>
          <w:ilvl w:val="0"/>
          <w:numId w:val="446"/>
        </w:numPr>
        <w:rPr/>
      </w:pPr>
      <w:r>
        <w:rPr/>
        <w:t>Jeder Mitarbeiter meldet mögliche Sicherheitsvorfälle über die dafür vorgesehenen Meldewege.</w:t>
      </w:r>
    </w:p>
    <w:p>
      <w:pPr>
        <w:pStyle w:val="10000-DefaultParagraph"/>
        <w:numPr>
          <w:ilvl w:val="0"/>
          <w:numId w:val="447"/>
        </w:numPr>
        <w:rPr/>
      </w:pPr>
      <w:r>
        <w:rPr/>
        <w:t>Administratoren untersuchen, ggf. in Zusammenarbeit mit den jeweiligen Prozessverantwortlichen, dem IT-Verantwortlichen und dem ISB, Sicherheitsvorfälle vordringlich.</w:t>
      </w:r>
    </w:p>
    <w:p>
      <w:pPr>
        <w:pStyle w:val="10000-DefaultParagraph"/>
        <w:numPr>
          <w:ilvl w:val="0"/>
          <w:numId w:val="448"/>
        </w:numPr>
        <w:rPr/>
      </w:pPr>
      <w:r>
        <w:rPr/>
        <w:t>Es wird definiert, in welchen Fällen das Topmanagement über Sicherheitsvorfälle informiert wird.</w:t>
      </w:r>
    </w:p>
    <w:p>
      <w:pPr>
        <w:pStyle w:val="10000-DefaultParagraph"/>
        <w:numPr>
          <w:ilvl w:val="0"/>
          <w:numId w:val="449"/>
        </w:numPr>
        <w:rPr/>
      </w:pPr>
      <w:r>
        <w:rPr/>
        <w:t>Es wird definiert, wie die Organisation intern und extern akute und bewältigte Sicherheitsvorfälle kommuniziert.</w:t>
      </w:r>
    </w:p>
    <w:p>
      <w:pPr>
        <w:pStyle w:val="Heading2"/>
        <w:ind w:hanging="0" w:left="0"/>
        <w:rPr/>
      </w:pPr>
      <w:bookmarkStart w:id="1009" w:name="__RefHeading___Toc32122_2021121348"/>
      <w:bookmarkStart w:id="1010" w:name="_Toc178761417"/>
      <w:bookmarkStart w:id="1011" w:name="_Toc178588117"/>
      <w:bookmarkStart w:id="1012" w:name="_Toc187327156"/>
      <w:bookmarkEnd w:id="1009"/>
      <w:r>
        <w:rPr/>
        <w:t>Erkennen</w:t>
      </w:r>
      <w:bookmarkEnd w:id="1010"/>
      <w:bookmarkEnd w:id="1011"/>
      <w:bookmarkEnd w:id="1012"/>
    </w:p>
    <w:p>
      <w:pPr>
        <w:pStyle w:val="10000-Empfehlung"/>
        <w:rPr>
          <w:i/>
          <w:i/>
          <w:iCs/>
        </w:rPr>
      </w:pPr>
      <w:r>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pPr>
      <w:r>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pPr>
      <w:r>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pPr>
      <w:r>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pPr>
      <w:r>
        <w:rPr/>
        <w:t>Sensor-Systeme (Honeypots)</w:t>
      </w:r>
    </w:p>
    <w:p>
      <w:pPr>
        <w:pStyle w:val="10000-Empfehlung"/>
        <w:widowControl/>
        <w:numPr>
          <w:ilvl w:val="0"/>
          <w:numId w:val="21"/>
        </w:numPr>
        <w:suppressAutoHyphens w:val="false"/>
        <w:bidi w:val="0"/>
        <w:spacing w:lineRule="auto" w:line="247" w:before="0" w:after="120"/>
        <w:ind w:hanging="340" w:left="340" w:right="0"/>
        <w:jc w:val="both"/>
        <w:rPr/>
      </w:pPr>
      <w:r>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pPr>
      <w:r>
        <w:rPr/>
        <w:t>Erfassen und Auswerten von Logmeldungen</w:t>
      </w:r>
    </w:p>
    <w:p>
      <w:pPr>
        <w:pStyle w:val="10000-Empfehlung"/>
        <w:rPr/>
      </w:pPr>
      <w:r>
        <w:rPr>
          <w:rStyle w:val="Emphasis"/>
          <w:i/>
        </w:rPr>
        <w:t>Das</w:t>
      </w:r>
      <w:r>
        <w:rPr>
          <w:i/>
          <w:iCs/>
        </w:rPr>
        <w:t xml:space="preserve"> Melden von Sicherheitsvorfällen SOLLTE durch eine konstruktive Fehlerkultur und/oder anonyme Meldewege gefördert werden.</w:t>
      </w:r>
    </w:p>
    <w:p>
      <w:pPr>
        <w:pStyle w:val="Heading2"/>
        <w:ind w:hanging="0" w:left="0"/>
        <w:rPr/>
      </w:pPr>
      <w:bookmarkStart w:id="1013" w:name="__RefHeading___Toc32124_2021121348"/>
      <w:bookmarkStart w:id="1014" w:name="_Toc178761418"/>
      <w:bookmarkStart w:id="1015" w:name="_Toc187327157"/>
      <w:bookmarkStart w:id="1016" w:name="_Toc178588118"/>
      <w:bookmarkStart w:id="1017" w:name="rl%25252525252525252525253Akap_17%252521"/>
      <w:bookmarkStart w:id="1018" w:name="_Toc531165119"/>
      <w:bookmarkStart w:id="1019" w:name="_Toc530662984"/>
      <w:bookmarkStart w:id="1020" w:name="reaktion"/>
      <w:bookmarkEnd w:id="1013"/>
      <w:bookmarkEnd w:id="1017"/>
      <w:r>
        <w:rPr/>
        <w:t>Reaktion</w:t>
      </w:r>
      <w:bookmarkEnd w:id="1014"/>
      <w:bookmarkEnd w:id="1015"/>
      <w:bookmarkEnd w:id="1016"/>
      <w:bookmarkEnd w:id="1018"/>
      <w:bookmarkEnd w:id="1019"/>
      <w:bookmarkEnd w:id="1020"/>
    </w:p>
    <w:p>
      <w:pPr>
        <w:pStyle w:val="10000-DefaultParagraph"/>
        <w:rPr/>
      </w:pPr>
      <w:r>
        <w:rPr/>
        <w:t>Es MUSS ein Verfahren (siehe</w:t>
      </w:r>
      <w:r>
        <w:rPr>
          <w:spacing w:val="-2"/>
        </w:rPr>
        <w:t xml:space="preserve"> Anhang</w:t>
      </w:r>
      <w:r>
        <w:rPr/>
        <w:t xml:space="preserve"> </w:t>
      </w:r>
      <w:r>
        <w:rPr/>
        <w:fldChar w:fldCharType="begin"/>
      </w:r>
      <w:r>
        <w:rPr/>
        <w:instrText xml:space="preserve"> REF _Ref179379202 \n \n \h </w:instrText>
      </w:r>
      <w:r>
        <w:rPr/>
        <w:fldChar w:fldCharType="separate"/>
      </w:r>
      <w:r>
        <w:rPr/>
        <w:t>A.1</w:t>
      </w:r>
      <w:r>
        <w:rPr/>
        <w:fldChar w:fldCharType="end"/>
      </w:r>
      <w:r>
        <w:rPr/>
        <w:t>) implementiert werden, das beim Auftreten eines Sicherheitsvorfalls folgende Reaktionen zeitnah sicherstellt:</w:t>
      </w:r>
    </w:p>
    <w:p>
      <w:pPr>
        <w:pStyle w:val="10000-DefaultParagraph"/>
        <w:numPr>
          <w:ilvl w:val="0"/>
          <w:numId w:val="450"/>
        </w:numPr>
        <w:rPr/>
      </w:pPr>
      <w:r>
        <w:rPr/>
        <w:t>Es wird ein Überblick über die Situation gewonnen.</w:t>
      </w:r>
    </w:p>
    <w:p>
      <w:pPr>
        <w:pStyle w:val="10000-DefaultParagraph"/>
        <w:numPr>
          <w:ilvl w:val="0"/>
          <w:numId w:val="451"/>
        </w:numPr>
        <w:rPr/>
      </w:pPr>
      <w:r>
        <w:rPr/>
        <w:t>Es werden alle erforderlichen Maßnahmen getroffen, um Leib und Leben von Personen zu schützen.</w:t>
      </w:r>
    </w:p>
    <w:p>
      <w:pPr>
        <w:pStyle w:val="10000-DefaultParagraph"/>
        <w:numPr>
          <w:ilvl w:val="0"/>
          <w:numId w:val="452"/>
        </w:numPr>
        <w:rPr/>
      </w:pPr>
      <w:r>
        <w:rPr/>
        <w:t>Der Schaden wird durch Sofortmaßnahmen eingedämmt.</w:t>
      </w:r>
    </w:p>
    <w:p>
      <w:pPr>
        <w:pStyle w:val="10000-DefaultParagraph"/>
        <w:numPr>
          <w:ilvl w:val="0"/>
          <w:numId w:val="453"/>
        </w:numPr>
        <w:rPr/>
      </w:pPr>
      <w:r>
        <w:rPr/>
        <w:t>Der Sicherheitsvorfall und der Schaden werden so dokumentiert, dass die Organisation ihre Informationspflichten erfüllen kann.</w:t>
      </w:r>
    </w:p>
    <w:p>
      <w:pPr>
        <w:pStyle w:val="10000-DefaultParagraph"/>
        <w:numPr>
          <w:ilvl w:val="0"/>
          <w:numId w:val="454"/>
        </w:numPr>
        <w:rPr/>
      </w:pPr>
      <w:r>
        <w:rPr/>
        <w:t>Entsprechende Stellen wie Versicherungen und Aufsichtsbehörden werden zeitnah informiert.</w:t>
      </w:r>
    </w:p>
    <w:p>
      <w:pPr>
        <w:pStyle w:val="10000-DefaultParagraph"/>
        <w:numPr>
          <w:ilvl w:val="0"/>
          <w:numId w:val="455"/>
        </w:numPr>
        <w:rPr/>
      </w:pPr>
      <w:r>
        <w:rPr/>
        <w:t>Beweismittel werden gesichert.</w:t>
      </w:r>
    </w:p>
    <w:p>
      <w:pPr>
        <w:pStyle w:val="10000-DefaultParagraph"/>
        <w:numPr>
          <w:ilvl w:val="0"/>
          <w:numId w:val="456"/>
        </w:numPr>
        <w:rPr/>
      </w:pPr>
      <w:r>
        <w:rPr/>
        <w:t>Der Schaden wird behoben und der Regelbetrieb wieder aufgenommen.</w:t>
      </w:r>
    </w:p>
    <w:p>
      <w:pPr>
        <w:pStyle w:val="10000-DefaultParagraph"/>
        <w:numPr>
          <w:ilvl w:val="0"/>
          <w:numId w:val="457"/>
        </w:numPr>
        <w:rPr/>
      </w:pPr>
      <w:r>
        <w:rPr/>
        <w:t>Es findet eine Nachbereitung statt, bei der die Ursachen ermittelt und konkrete Verbesserungen erarbeitet werden.</w:t>
      </w:r>
    </w:p>
    <w:p>
      <w:pPr>
        <w:pStyle w:val="10000-Empfehlung"/>
        <w:rPr/>
      </w:pPr>
      <w:r>
        <w:rPr>
          <w:rStyle w:val="Emphasis"/>
          <w:i/>
        </w:rPr>
        <w:t>Bei geringfügigen Sicherheitsvorfällen KÖNNEN einzelne Punkte ausgelassen und/oder das Verfahren vorzeitig beendet werden.</w:t>
      </w:r>
    </w:p>
    <w:p>
      <w:pPr>
        <w:pStyle w:val="Normal"/>
        <w:rPr/>
      </w:pPr>
      <w:r>
        <w:rPr>
          <w:rStyle w:val="Emphasis"/>
          <w:i w:val="false"/>
          <w:iCs w:val="false"/>
        </w:rPr>
        <w:t>Zusätzlich MUSS das Verfahren bei einem erheblichen Sicherheitsvorfall die folgenden Punkte sicherstellen:</w:t>
      </w:r>
    </w:p>
    <w:p>
      <w:pPr>
        <w:pStyle w:val="Normal"/>
        <w:numPr>
          <w:ilvl w:val="0"/>
          <w:numId w:val="458"/>
        </w:numPr>
        <w:rPr/>
      </w:pPr>
      <w:r>
        <w:rPr>
          <w:rStyle w:val="Emphasis"/>
          <w:i w:val="false"/>
          <w:iCs w:val="false"/>
        </w:rPr>
        <w:t>Es stehen autarke Kommunikationswege für die interne und externe Kommunikation zur Verfügung, die auch bei einer Störung oder einem Ausfall der IT-Infrastruktur genutzt werden können.</w:t>
      </w:r>
    </w:p>
    <w:p>
      <w:pPr>
        <w:pStyle w:val="Normal"/>
        <w:numPr>
          <w:ilvl w:val="0"/>
          <w:numId w:val="459"/>
        </w:numPr>
        <w:rPr/>
      </w:pPr>
      <w:r>
        <w:rPr>
          <w:rStyle w:val="Emphasis"/>
          <w:i w:val="false"/>
          <w:iCs w:val="false"/>
        </w:rPr>
        <w:t>Der Sicherheitsvorfall wird von Beginn an fortlaufend so dokumentiert, dass die Organisation ihre Informationspflichten erfüllen kann.</w:t>
      </w:r>
    </w:p>
    <w:p>
      <w:pPr>
        <w:pStyle w:val="Normal"/>
        <w:numPr>
          <w:ilvl w:val="0"/>
          <w:numId w:val="460"/>
        </w:numPr>
        <w:rPr/>
      </w:pPr>
      <w:r>
        <w:rPr>
          <w:rStyle w:val="Emphasis"/>
          <w:i w:val="false"/>
          <w:iCs w:val="false"/>
        </w:rPr>
        <w:t xml:space="preserve">Entsprechende interne Stellen (wie Topmanagement, Abteilungsleiter, Prozesseigentümer </w:t>
      </w:r>
      <w:ins w:id="31" w:author="Mark Semmler" w:date="2025-01-29T17:31:49Z">
        <w:r>
          <w:rPr>
            <w:rStyle w:val="Emphasis"/>
            <w:i w:val="false"/>
            <w:iCs w:val="false"/>
          </w:rPr>
          <w:t xml:space="preserve">der betroffenen </w:t>
        </w:r>
      </w:ins>
      <w:del w:id="32" w:author="Mark Semmler" w:date="2025-01-29T17:31:53Z">
        <w:r>
          <w:rPr>
            <w:rStyle w:val="Emphasis"/>
            <w:i w:val="false"/>
            <w:iCs w:val="false"/>
          </w:rPr>
          <w:delText xml:space="preserve">eines </w:delText>
        </w:r>
      </w:del>
      <w:r>
        <w:rPr>
          <w:rStyle w:val="Emphasis"/>
          <w:i w:val="false"/>
          <w:iCs w:val="false"/>
        </w:rPr>
        <w:t>zentralen Prozesse</w:t>
      </w:r>
      <w:del w:id="33" w:author="Mark Semmler" w:date="2025-01-29T17:31:56Z">
        <w:r>
          <w:rPr>
            <w:rStyle w:val="Emphasis"/>
            <w:i w:val="false"/>
            <w:iCs w:val="false"/>
          </w:rPr>
          <w:delText>s</w:delText>
        </w:r>
      </w:del>
      <w:r>
        <w:rPr>
          <w:rStyle w:val="Emphasis"/>
          <w:i w:val="false"/>
          <w:iCs w:val="false"/>
        </w:rPr>
        <w:t xml:space="preserve"> oder</w:t>
      </w:r>
      <w:ins w:id="34" w:author="Mark Semmler" w:date="2025-01-29T17:31:59Z">
        <w:r>
          <w:rPr>
            <w:rStyle w:val="Emphasis"/>
            <w:i w:val="false"/>
            <w:iCs w:val="false"/>
          </w:rPr>
          <w:t>/</w:t>
        </w:r>
      </w:ins>
      <w:ins w:id="35" w:author="Mark Semmler" w:date="2025-01-29T17:31:59Z">
        <w:r>
          <w:rPr>
            <w:rStyle w:val="Emphasis"/>
            <w:i w:val="false"/>
            <w:iCs w:val="false"/>
          </w:rPr>
          <w:t>oder</w:t>
        </w:r>
      </w:ins>
      <w:r>
        <w:rPr>
          <w:rStyle w:val="Emphasis"/>
          <w:i w:val="false"/>
          <w:iCs w:val="false"/>
        </w:rPr>
        <w:t xml:space="preserve"> </w:t>
      </w:r>
      <w:del w:id="36" w:author="Mark Semmler" w:date="2025-01-29T17:32:02Z">
        <w:r>
          <w:rPr>
            <w:rStyle w:val="Emphasis"/>
            <w:i w:val="false"/>
            <w:iCs w:val="false"/>
          </w:rPr>
          <w:delText>eines</w:delText>
        </w:r>
      </w:del>
      <w:ins w:id="37" w:author="Mark Semmler" w:date="2025-01-29T17:32:02Z">
        <w:r>
          <w:rPr>
            <w:rStyle w:val="Emphasis"/>
            <w:i w:val="false"/>
            <w:iCs w:val="false"/>
          </w:rPr>
          <w:t>der</w:t>
        </w:r>
      </w:ins>
      <w:r>
        <w:rPr>
          <w:rStyle w:val="Emphasis"/>
          <w:i w:val="false"/>
          <w:iCs w:val="false"/>
        </w:rPr>
        <w:t xml:space="preserve"> </w:t>
      </w:r>
      <w:ins w:id="38" w:author="Mark Semmler" w:date="2025-01-29T17:32:04Z">
        <w:r>
          <w:rPr>
            <w:rStyle w:val="Emphasis"/>
            <w:i w:val="false"/>
            <w:iCs w:val="false"/>
          </w:rPr>
          <w:t xml:space="preserve">betroffenen </w:t>
        </w:r>
      </w:ins>
      <w:r>
        <w:rPr>
          <w:rStyle w:val="Emphasis"/>
          <w:i w:val="false"/>
          <w:iCs w:val="false"/>
        </w:rPr>
        <w:t>Prozesse</w:t>
      </w:r>
      <w:del w:id="39" w:author="Mark Semmler" w:date="2025-01-29T17:32:08Z">
        <w:r>
          <w:rPr>
            <w:rStyle w:val="Emphasis"/>
            <w:i w:val="false"/>
            <w:iCs w:val="false"/>
          </w:rPr>
          <w:delText>s</w:delText>
        </w:r>
      </w:del>
      <w:r>
        <w:rPr>
          <w:rStyle w:val="Emphasis"/>
          <w:i w:val="false"/>
          <w:iCs w:val="false"/>
        </w:rPr>
        <w:t xml:space="preserve"> mit hohem Schadenspotential) und externe Stellen (wie Partner, Kunden, Versicherungen und Aufsichtsbehörden) werden zeitnah informiert; entsprechende Adresslisten und Inhalte sind vorbereitet.</w:t>
      </w:r>
    </w:p>
    <w:p>
      <w:pPr>
        <w:pStyle w:val="Normal"/>
        <w:numPr>
          <w:ilvl w:val="0"/>
          <w:numId w:val="461"/>
        </w:numPr>
        <w:rPr/>
      </w:pPr>
      <w:r>
        <w:rPr>
          <w:rStyle w:val="Emphasis"/>
          <w:i w:val="false"/>
          <w:iCs w:val="false"/>
        </w:rPr>
        <w:t>Einem Mitarbeiter mit entsprechender Fachkompetenz wird die Verantwortlichkeit zugeordnet, mit dem BSI zu kommunizieren.</w:t>
      </w:r>
    </w:p>
    <w:p>
      <w:pPr>
        <w:pStyle w:val="Empfehlung"/>
        <w:ind w:hanging="0" w:left="360"/>
        <w:rPr/>
      </w:pPr>
      <w:r>
        <w:rPr>
          <w:rStyle w:val="Emphasis"/>
          <w:i/>
        </w:rPr>
        <w:t>Diese Verantwortlichkeit KANN z. B. der ISB wahrnehmen.</w:t>
      </w:r>
    </w:p>
    <w:p>
      <w:pPr>
        <w:pStyle w:val="Normal"/>
        <w:numPr>
          <w:ilvl w:val="0"/>
          <w:numId w:val="462"/>
        </w:numPr>
        <w:rPr>
          <w:rStyle w:val="Emphasis"/>
          <w:i w:val="false"/>
          <w:i w:val="false"/>
          <w:iCs w:val="false"/>
        </w:rPr>
      </w:pPr>
      <w:r>
        <w:rPr>
          <w:rStyle w:val="Emphasis"/>
          <w:i w:val="false"/>
          <w:iCs w:val="false"/>
        </w:rPr>
        <w:t>Die Informationspflichten gem. § 32 BSIG (Erstmeldung, Bewertung des Sicherheitsvorfalls, Zwischenmeldungen auf Anfrage des BSI, ggf. Fortschrittsmeldungen und Abschlussmeldung) werden über das entsprechende Meldeverfahren des BSI erfüllt</w:t>
      </w:r>
      <w:ins w:id="40" w:author="Mark Semmler" w:date="2025-01-29T17:34:15Z">
        <w:r>
          <w:rPr>
            <w:rStyle w:val="Emphasis"/>
            <w:i w:val="false"/>
            <w:iCs w:val="false"/>
          </w:rPr>
          <w:t xml:space="preserve">; </w:t>
        </w:r>
      </w:ins>
      <w:ins w:id="41" w:author="Mark Semmler" w:date="2025-01-29T17:34:15Z">
        <w:r>
          <w:rPr>
            <w:rStyle w:val="Emphasis"/>
            <w:i w:val="false"/>
            <w:iCs w:val="false"/>
          </w:rPr>
          <w:t>die dabei verbindlichen Meldefristen werden eingehalten.</w:t>
        </w:r>
      </w:ins>
      <w:del w:id="42" w:author="Mark Semmler" w:date="2025-01-29T17:34:14Z">
        <w:r>
          <w:rPr>
            <w:rStyle w:val="Emphasis"/>
            <w:i w:val="false"/>
            <w:iCs w:val="false"/>
          </w:rPr>
          <w:delText>.</w:delText>
        </w:r>
      </w:del>
    </w:p>
    <w:p>
      <w:pPr>
        <w:pStyle w:val="Normal"/>
        <w:numPr>
          <w:ilvl w:val="0"/>
          <w:numId w:val="463"/>
        </w:numPr>
        <w:rPr/>
      </w:pPr>
      <w:r>
        <w:rPr>
          <w:rStyle w:val="Emphasis"/>
          <w:i w:val="false"/>
          <w:iCs w:val="fals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4"/>
        </w:numPr>
        <w:rPr/>
      </w:pPr>
      <w:r>
        <w:rPr>
          <w:rStyle w:val="Emphasis"/>
          <w:i w:val="false"/>
          <w:iCs w:val="false"/>
        </w:rPr>
        <w:t>Fällt die Organisation unter § 35 Abs. 2,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pPr>
      <w:bookmarkStart w:id="1021" w:name="__RefHeading___Toc32126_2021121348"/>
      <w:bookmarkStart w:id="1022" w:name="rl%25252525252525252525253Akap_17%252522"/>
      <w:bookmarkStart w:id="1023" w:name="zusaetzliche_massnahmen_fuer_kritische_i"/>
      <w:bookmarkStart w:id="1024" w:name="_Toc178761419"/>
      <w:bookmarkStart w:id="1025" w:name="_Toc178588119"/>
      <w:bookmarkStart w:id="1026" w:name="_Toc187327158"/>
      <w:bookmarkStart w:id="1027" w:name="_Toc531165120"/>
      <w:bookmarkStart w:id="1028" w:name="_Toc530662985"/>
      <w:bookmarkEnd w:id="1021"/>
      <w:bookmarkEnd w:id="1022"/>
      <w:r>
        <w:rPr/>
        <w:t>Zusätzliche Maßnahmen für wichtige IT-Systeme</w:t>
      </w:r>
      <w:bookmarkEnd w:id="1023"/>
      <w:bookmarkEnd w:id="1024"/>
      <w:bookmarkEnd w:id="1025"/>
      <w:bookmarkEnd w:id="1026"/>
      <w:bookmarkEnd w:id="1027"/>
      <w:bookmarkEnd w:id="1028"/>
    </w:p>
    <w:p>
      <w:pPr>
        <w:pStyle w:val="Heading3"/>
        <w:ind w:hanging="0" w:left="0"/>
        <w:rPr/>
      </w:pPr>
      <w:bookmarkStart w:id="1029" w:name="__RefHeading___Toc32128_2021121348"/>
      <w:bookmarkStart w:id="1030" w:name="_Toc187327159"/>
      <w:bookmarkEnd w:id="1029"/>
      <w:r>
        <w:rPr/>
        <w:t>Anforderungen</w:t>
      </w:r>
      <w:bookmarkEnd w:id="1030"/>
    </w:p>
    <w:p>
      <w:pPr>
        <w:pStyle w:val="10000-DefaultParagraph"/>
        <w:rPr/>
      </w:pPr>
      <w:r>
        <w:rPr/>
        <w:t xml:space="preserve">Die folgenden Maßnahmen MÜSSEN zusätzlich zu allen zuvor in diesem Kapitel genannten Punkten für alle </w:t>
      </w:r>
      <w:r>
        <w:rPr>
          <w:shd w:fill="auto" w:val="clear"/>
        </w:rPr>
        <w:t xml:space="preserve">wichtigen </w:t>
      </w:r>
      <w:r>
        <w:rPr/>
        <w:t>IT-Systeme umgesetzt werden.</w:t>
      </w:r>
    </w:p>
    <w:p>
      <w:pPr>
        <w:pStyle w:val="Heading3"/>
        <w:ind w:hanging="0" w:left="0"/>
        <w:rPr/>
      </w:pPr>
      <w:bookmarkStart w:id="1031" w:name="__RefHeading___wiederanlaufplaene_123"/>
      <w:bookmarkStart w:id="1032" w:name="_Toc178761420"/>
      <w:bookmarkStart w:id="1033" w:name="rl%25252525252525252525253Akap_17%252523"/>
      <w:bookmarkStart w:id="1034" w:name="_Toc531165121"/>
      <w:bookmarkStart w:id="1035" w:name="_Toc187327160"/>
      <w:bookmarkStart w:id="1036" w:name="_Toc530662986"/>
      <w:bookmarkStart w:id="1037" w:name="wiederanlaufplaene"/>
      <w:bookmarkEnd w:id="1031"/>
      <w:bookmarkEnd w:id="1033"/>
      <w:r>
        <w:rPr/>
        <w:t>Wiederanlaufpläne</w:t>
      </w:r>
      <w:bookmarkEnd w:id="1032"/>
      <w:bookmarkEnd w:id="1034"/>
      <w:bookmarkEnd w:id="1035"/>
      <w:bookmarkEnd w:id="1036"/>
      <w:bookmarkEnd w:id="1037"/>
    </w:p>
    <w:p>
      <w:pPr>
        <w:pStyle w:val="10000-DefaultParagraph"/>
        <w:rPr/>
      </w:pPr>
      <w:r>
        <w:rPr/>
        <w:t xml:space="preserve">Für jedes </w:t>
      </w:r>
      <w:r>
        <w:rPr>
          <w:shd w:fill="auto" w:val="clear"/>
        </w:rPr>
        <w:t xml:space="preserve">wichtige </w:t>
      </w:r>
      <w:r>
        <w:rPr/>
        <w:t>IT-System MUSS ein Verfahren (siehe</w:t>
      </w:r>
      <w:r>
        <w:rPr>
          <w:spacing w:val="-2"/>
        </w:rPr>
        <w:t xml:space="preserve"> Anhang</w:t>
      </w:r>
      <w:r>
        <w:rPr/>
        <w:t xml:space="preserve"> </w:t>
      </w:r>
      <w:r>
        <w:rPr/>
        <w:fldChar w:fldCharType="begin"/>
      </w:r>
      <w:r>
        <w:rPr/>
        <w:instrText xml:space="preserve"> REF _Ref179189122 \n \n \h </w:instrText>
      </w:r>
      <w:r>
        <w:rPr/>
        <w:fldChar w:fldCharType="separate"/>
      </w:r>
      <w:r>
        <w:rPr/>
        <w:t>A.1</w:t>
      </w:r>
      <w:r>
        <w:rPr/>
        <w:fldChar w:fldCharType="end"/>
      </w:r>
      <w:r>
        <w:rPr/>
        <w:t>) für den Wiederanlauf implementiert werden (Wiederanlaufplan), das folgende Anforderungen erfüllt:</w:t>
      </w:r>
    </w:p>
    <w:p>
      <w:pPr>
        <w:pStyle w:val="10000-DefaultParagraph"/>
        <w:numPr>
          <w:ilvl w:val="0"/>
          <w:numId w:val="465"/>
        </w:numPr>
        <w:rPr/>
      </w:pPr>
      <w:r>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fldChar w:fldCharType="begin"/>
      </w:r>
      <w:r>
        <w:rPr/>
        <w:instrText xml:space="preserve"> REF _Ref179189166 \n \n \h </w:instrText>
      </w:r>
      <w:r>
        <w:rPr/>
        <w:fldChar w:fldCharType="separate"/>
      </w:r>
      <w:r>
        <w:rPr/>
        <w:t>10.7.2</w:t>
      </w:r>
      <w:r>
        <w:rPr/>
        <w:fldChar w:fldCharType="end"/>
      </w:r>
      <w:r>
        <w:rPr/>
        <w:t>) erreicht ist.</w:t>
      </w:r>
    </w:p>
    <w:p>
      <w:pPr>
        <w:pStyle w:val="10000-DefaultParagraph"/>
        <w:numPr>
          <w:ilvl w:val="0"/>
          <w:numId w:val="466"/>
        </w:numPr>
        <w:rPr/>
      </w:pPr>
      <w:r>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fldChar w:fldCharType="begin"/>
      </w:r>
      <w:r>
        <w:rPr/>
        <w:instrText xml:space="preserve"> REF _Ref179189188 \n \n \h </w:instrText>
      </w:r>
      <w:r>
        <w:rPr/>
        <w:fldChar w:fldCharType="separate"/>
      </w:r>
      <w:r>
        <w:rPr/>
        <w:t>10.7.7</w:t>
      </w:r>
      <w:r>
        <w:rPr/>
        <w:fldChar w:fldCharType="end"/>
      </w:r>
      <w:r>
        <w:rPr/>
        <w:t>) so weit in Betrieb zu nehmen, dass die vom IT-System abhängigen zentralen Prozesse und Prozesse mit hohem Schadenspotential betrieben werden können.</w:t>
      </w:r>
    </w:p>
    <w:p>
      <w:pPr>
        <w:pStyle w:val="10000-DefaultParagraph"/>
        <w:numPr>
          <w:ilvl w:val="0"/>
          <w:numId w:val="467"/>
        </w:numPr>
        <w:rPr/>
      </w:pPr>
      <w:r>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8"/>
        </w:numPr>
        <w:rPr/>
      </w:pPr>
      <w:r>
        <w:rPr/>
        <w:t>Es ist verständlich und übersichtlich strukturiert.</w:t>
      </w:r>
    </w:p>
    <w:p>
      <w:pPr>
        <w:pStyle w:val="10000-DefaultParagraph"/>
        <w:numPr>
          <w:ilvl w:val="0"/>
          <w:numId w:val="469"/>
        </w:numPr>
        <w:rPr/>
      </w:pPr>
      <w:r>
        <w:rPr/>
        <w:t>Es kann im Bedarfsfall schnell aktiviert werden.</w:t>
      </w:r>
    </w:p>
    <w:p>
      <w:pPr>
        <w:pStyle w:val="10000-DefaultParagraph"/>
        <w:numPr>
          <w:ilvl w:val="0"/>
          <w:numId w:val="470"/>
        </w:numPr>
        <w:rPr/>
      </w:pPr>
      <w:r>
        <w:rPr/>
        <w:t>Es wird in einem anderen Brandabschnitt als das betreffende IT-System aufbewahrt.</w:t>
      </w:r>
    </w:p>
    <w:p>
      <w:pPr>
        <w:pStyle w:val="Heading3"/>
        <w:ind w:hanging="0" w:left="0"/>
        <w:rPr/>
      </w:pPr>
      <w:bookmarkStart w:id="1038" w:name="__RefHeading___abhaengigkeiten_124"/>
      <w:bookmarkStart w:id="1039" w:name="abhaengigkeiten"/>
      <w:bookmarkStart w:id="1040" w:name="_Toc531165122"/>
      <w:bookmarkStart w:id="1041" w:name="_Toc530662987"/>
      <w:bookmarkStart w:id="1042" w:name="_Toc178761421"/>
      <w:bookmarkStart w:id="1043" w:name="_Toc187327161"/>
      <w:bookmarkStart w:id="1044" w:name="rl%25252525252525252525253Akap_17%252524"/>
      <w:bookmarkEnd w:id="1038"/>
      <w:bookmarkEnd w:id="1044"/>
      <w:r>
        <w:rPr/>
        <w:t>Abhängigkeiten</w:t>
      </w:r>
      <w:bookmarkEnd w:id="1039"/>
      <w:bookmarkEnd w:id="1040"/>
      <w:bookmarkEnd w:id="1041"/>
      <w:bookmarkEnd w:id="1042"/>
      <w:bookmarkEnd w:id="1043"/>
    </w:p>
    <w:p>
      <w:pPr>
        <w:pStyle w:val="10000-DefaultParagraph"/>
        <w:rPr/>
      </w:pPr>
      <w:r>
        <w:rPr/>
        <w:t>Es MÜSSEN die Abhängigkeiten der kritischen IT-Systeme untereinander dokumentiert werden.</w:t>
      </w:r>
    </w:p>
    <w:p>
      <w:pPr>
        <w:pStyle w:val="10000-Empfehlung"/>
        <w:rPr>
          <w:i/>
          <w:i/>
        </w:rPr>
      </w:pPr>
      <w:r>
        <w:rPr/>
        <w:t>Darüber hinaus SOLLTEN die Abhängigkeiten der kritischen IT-Systeme von sämtlichen kritischen IT-Ressourcen dokumentiert und dabei die Notwendigkeit weiterer Wiederanlaufpläne geprüft werden.</w:t>
      </w:r>
    </w:p>
    <w:p>
      <w:pPr>
        <w:pStyle w:val="10000-DefaultParagraph"/>
        <w:rPr/>
      </w:pPr>
      <w:r>
        <w:rPr/>
        <w:t>Die Dokumentation MUSS folgende Anforderungen erfüllen:</w:t>
      </w:r>
    </w:p>
    <w:p>
      <w:pPr>
        <w:pStyle w:val="10000-DefaultParagraph"/>
        <w:numPr>
          <w:ilvl w:val="0"/>
          <w:numId w:val="471"/>
        </w:numPr>
        <w:rPr/>
      </w:pPr>
      <w:r>
        <w:rPr/>
        <w:t>Aus ihr geht eindeutig hervor, in welcher Reihenfolge die kritischen IT-Systeme wiederhergestellt werden müssen.</w:t>
      </w:r>
    </w:p>
    <w:p>
      <w:pPr>
        <w:pStyle w:val="10000-DefaultParagraph"/>
        <w:numPr>
          <w:ilvl w:val="0"/>
          <w:numId w:val="472"/>
        </w:numPr>
        <w:rPr/>
      </w:pPr>
      <w:r>
        <w:rPr/>
        <w:t>Sie ist verständlich und übersichtlich strukturiert.</w:t>
      </w:r>
    </w:p>
    <w:p>
      <w:pPr>
        <w:pStyle w:val="10000-DefaultParagraph"/>
        <w:numPr>
          <w:ilvl w:val="0"/>
          <w:numId w:val="473"/>
        </w:numPr>
        <w:rPr/>
      </w:pPr>
      <w:r>
        <w:rPr/>
        <w:t>Sie ist im Bedarfsfall schnell verfügbar.</w:t>
      </w:r>
    </w:p>
    <w:p>
      <w:pPr>
        <w:pStyle w:val="10000-DefaultParagraph"/>
        <w:numPr>
          <w:ilvl w:val="0"/>
          <w:numId w:val="474"/>
        </w:numPr>
        <w:rPr/>
      </w:pPr>
      <w:r>
        <w:rPr/>
        <w:t>Sie wird in einem anderen Brandabschnitt als das betreffende IT-System aufbewahrt.</w:t>
      </w:r>
    </w:p>
    <w:p>
      <w:pPr>
        <w:pStyle w:val="Heading2"/>
        <w:ind w:hanging="0" w:left="0"/>
        <w:rPr/>
      </w:pPr>
      <w:bookmarkStart w:id="1045" w:name="__RefHeading___Toc42893_2021121348"/>
      <w:bookmarkEnd w:id="1045"/>
      <w:r>
        <w:rPr/>
        <w:t>Zentrale Prozesse und Prozesse mit hohem Schadenspotential</w:t>
      </w:r>
      <w:r>
        <w:rPr/>
        <w:commentReference w:id="19"/>
      </w:r>
    </w:p>
    <w:p>
      <w:pPr>
        <w:pStyle w:val="Normal"/>
        <w:rPr/>
      </w:pPr>
      <w:r>
        <w:rPr/>
        <w:t>Die Organisation SOLLTE…</w:t>
      </w:r>
    </w:p>
    <w:p>
      <w:pPr>
        <w:pStyle w:val="Heading1"/>
        <w:ind w:hanging="0" w:left="0"/>
        <w:rPr/>
      </w:pPr>
      <w:bookmarkStart w:id="1046" w:name="__RefHeading___Toc42895_2021121348"/>
      <w:bookmarkEnd w:id="1046"/>
      <w:r>
        <w:rPr/>
        <w:t>Lieferkette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31"/>
        </w:numPr>
        <w:tabs>
          <w:tab w:val="clear" w:pos="720"/>
          <w:tab w:val="left" w:pos="0" w:leader="none"/>
        </w:tabs>
        <w:bidi w:val="0"/>
        <w:ind w:hanging="0" w:left="0"/>
        <w:jc w:val="left"/>
        <w:rPr/>
      </w:pPr>
      <w:r>
        <w:rPr/>
      </w:r>
    </w:p>
    <w:tbl>
      <w:tblPr>
        <w:tblW w:w="5000" w:type="pct"/>
        <w:jc w:val="left"/>
        <w:tblInd w:w="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bidi w:val="0"/>
              <w:spacing w:before="0" w:after="120"/>
              <w:jc w:val="left"/>
              <w:rPr/>
            </w:pPr>
            <w:r>
              <w:rPr/>
            </w:r>
          </w:p>
        </w:tc>
        <w:tc>
          <w:tcPr>
            <w:tcW w:w="5778" w:type="dxa"/>
            <w:tcBorders>
              <w:top w:val="single" w:sz="2" w:space="0" w:color="000000"/>
              <w:left w:val="single" w:sz="2" w:space="0" w:color="000000"/>
              <w:bottom w:val="single" w:sz="2" w:space="0" w:color="000000"/>
              <w:right w:val="single" w:sz="2" w:space="0" w:color="000000"/>
            </w:tcBorders>
          </w:tcPr>
          <w:p>
            <w:pPr>
              <w:pStyle w:val="Tabelleninhalt"/>
              <w:bidi w:val="0"/>
              <w:spacing w:before="0" w:after="120"/>
              <w:jc w:val="left"/>
              <w:rPr/>
            </w:pPr>
            <w:r>
              <w:rPr/>
              <w:t>Wenn Produkte und Dienstleistungen eingekauft werden ist es notwendig, dass die Sicherheitsinteressen der Organisation berücksichtigt werden.</w:t>
            </w:r>
          </w:p>
        </w:tc>
      </w:tr>
    </w:tbl>
    <w:p>
      <w:pPr>
        <w:pStyle w:val="Heading2"/>
        <w:numPr>
          <w:ilvl w:val="1"/>
          <w:numId w:val="31"/>
        </w:numPr>
        <w:tabs>
          <w:tab w:val="clear" w:pos="720"/>
          <w:tab w:val="left" w:pos="0" w:leader="none"/>
        </w:tabs>
        <w:bidi w:val="0"/>
        <w:ind w:hanging="0" w:left="0"/>
        <w:jc w:val="left"/>
        <w:rPr/>
      </w:pPr>
      <w:bookmarkStart w:id="1047" w:name="__RefHeading___a_1_verfahren_132_Copy_1"/>
      <w:bookmarkEnd w:id="1047"/>
      <w:r>
        <w:rPr/>
        <w:t>18.1</w:t>
      </w:r>
      <w:bookmarkStart w:id="1048" w:name="a_1_verfahren_Copy_1"/>
      <w:r>
        <w:rPr/>
        <w:t xml:space="preserve"> Wichtige Lieferanten</w:t>
      </w:r>
      <w:bookmarkEnd w:id="1048"/>
    </w:p>
    <w:tbl>
      <w:tblPr>
        <w:tblW w:w="5000" w:type="pct"/>
        <w:jc w:val="left"/>
        <w:tblInd w:w="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pPr>
            <w:r>
              <w:rPr/>
              <w:t>0.5.6-ToDo: neu Formulierung</w:t>
            </w:r>
          </w:p>
          <w:p>
            <w:pPr>
              <w:pStyle w:val="Normal"/>
              <w:rPr/>
            </w:pPr>
            <w:r>
              <w:rPr/>
            </w:r>
          </w:p>
          <w:p>
            <w:pPr>
              <w:pStyle w:val="Normal"/>
              <w:rPr/>
            </w:pPr>
            <w:r>
              <w:rPr/>
              <w:t>Durch geeignete Maßnahmen nachzuweisen.</w:t>
            </w:r>
          </w:p>
          <w:p>
            <w:pPr>
              <w:pStyle w:val="Normal"/>
              <w:rPr/>
            </w:pPr>
            <w:r>
              <w:rPr/>
              <w:t>Dies KÖNNEN sein…</w:t>
            </w:r>
          </w:p>
          <w:p>
            <w:pPr>
              <w:pStyle w:val="Normal"/>
              <w:rPr/>
            </w:pPr>
            <w:r>
              <w:rPr/>
              <w:t>1. Basisschutzmaßnahmen gem. VdS 10000</w:t>
            </w:r>
          </w:p>
          <w:p>
            <w:pPr>
              <w:pStyle w:val="Normal"/>
              <w:rPr/>
            </w:pPr>
            <w:r>
              <w:rPr/>
              <w:t>2. Zertifizierungen (…)</w:t>
            </w:r>
          </w:p>
          <w:p>
            <w:pPr>
              <w:pStyle w:val="Normal"/>
              <w:rPr/>
            </w:pPr>
            <w:r>
              <w:rPr/>
              <w:t>3. Sicherheitskonzept</w:t>
            </w:r>
          </w:p>
          <w:p>
            <w:pPr>
              <w:pStyle w:val="Normal"/>
              <w:rPr/>
            </w:pPr>
            <w:r>
              <w:rPr/>
              <w:t>4. Prüfung durch Dritte</w:t>
            </w:r>
          </w:p>
          <w:p>
            <w:pPr>
              <w:pStyle w:val="Normal"/>
              <w:spacing w:before="0" w:after="120"/>
              <w:rPr/>
            </w:pPr>
            <w:r>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r>
    </w:tbl>
    <w:p>
      <w:pPr>
        <w:pStyle w:val="Heading2"/>
        <w:numPr>
          <w:ilvl w:val="1"/>
          <w:numId w:val="31"/>
        </w:numPr>
        <w:ind w:hanging="0" w:left="0"/>
        <w:rPr/>
      </w:pPr>
      <w:bookmarkStart w:id="1049" w:name="__RefHeading___Toc14606_2994401678"/>
      <w:bookmarkEnd w:id="1049"/>
      <w:r>
        <w:rPr/>
        <w:t xml:space="preserve">18.2 </w:t>
      </w:r>
      <w:r>
        <w:rPr>
          <w:lang w:val="de-DE" w:eastAsia="en-US" w:bidi="en-US"/>
        </w:rPr>
        <w:t xml:space="preserve">Kritische </w:t>
      </w:r>
      <w:r>
        <w:rPr/>
        <w:t>Lieferanten</w:t>
      </w:r>
    </w:p>
    <w:tbl>
      <w:tblPr>
        <w:tblW w:w="5000" w:type="pct"/>
        <w:jc w:val="left"/>
        <w:tblInd w:w="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31"/>
              </w:numPr>
              <w:bidi w:val="0"/>
              <w:spacing w:before="0" w:after="120"/>
              <w:jc w:val="left"/>
              <w:rPr>
                <w:shd w:fill="auto" w:val="clear"/>
              </w:rPr>
            </w:pPr>
            <w:r>
              <w:rPr>
                <w:shd w:fill="auto" w:val="clear"/>
              </w:rPr>
              <w:t xml:space="preserve">Als </w:t>
            </w:r>
            <w:r>
              <w:rPr>
                <w:rFonts w:eastAsia="Bitstream Vera Sans" w:cs="Bitstream Vera Sans"/>
                <w:color w:val="000000"/>
                <w:kern w:val="0"/>
                <w:sz w:val="20"/>
                <w:szCs w:val="24"/>
                <w:shd w:fill="auto" w:val="clear"/>
                <w:lang w:val="de-DE" w:eastAsia="en-US" w:bidi="en-US"/>
              </w:rPr>
              <w:t>„besonders sensibel“ eingestufte</w:t>
            </w:r>
            <w:r>
              <w:rPr>
                <w:shd w:fill="auto" w:val="clear"/>
              </w:rPr>
              <w:t xml:space="preserve"> Lieferanten MÜSSEN vertraglich verpflichtet werden, ein Informationssicherheitsmanagementsystem (ISMS) vorzuweisen, das folgende Anforderungen erfüllt:</w:t>
            </w:r>
          </w:p>
        </w:tc>
      </w:tr>
    </w:tbl>
    <w:p>
      <w:pPr>
        <w:pStyle w:val="Heading2"/>
        <w:numPr>
          <w:ilvl w:val="0"/>
          <w:numId w:val="1"/>
        </w:numPr>
        <w:ind w:hanging="0" w:left="0"/>
        <w:rPr/>
      </w:pPr>
      <w:ins w:id="43" w:author="Mark Semmler" w:date="2025-01-29T11:24:49Z">
        <w:r>
          <w:rPr/>
          <w:t>Überwachung und Steuerung</w:t>
        </w:r>
      </w:ins>
    </w:p>
    <w:tbl>
      <w:tblPr>
        <w:tblW w:w="4150" w:type="pct"/>
        <w:jc w:val="center"/>
        <w:tblInd w:w="0" w:type="dxa"/>
        <w:tblLayout w:type="fixed"/>
        <w:tblCellMar>
          <w:top w:w="0" w:type="dxa"/>
          <w:left w:w="2" w:type="dxa"/>
          <w:bottom w:w="0" w:type="dxa"/>
          <w:right w:w="0" w:type="dxa"/>
        </w:tblCellMar>
      </w:tblPr>
      <w:tblGrid>
        <w:gridCol w:w="749"/>
        <w:gridCol w:w="6779"/>
      </w:tblGrid>
      <w:tr>
        <w:trPr>
          <w:ins w:id="44" w:author="Mark Semmler" w:date="2025-01-29T11:24:49Z"/>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ins w:id="45" w:author="Mark Semmler" w:date="2025-01-29T11:24:49Z">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ins>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31"/>
              </w:numPr>
              <w:tabs>
                <w:tab w:val="clear" w:pos="720"/>
                <w:tab w:val="left" w:pos="0" w:leader="none"/>
              </w:tabs>
              <w:bidi w:val="0"/>
              <w:spacing w:before="0" w:after="120"/>
              <w:ind w:hanging="0" w:left="0"/>
              <w:jc w:val="left"/>
              <w:rPr/>
            </w:pPr>
            <w:ins w:id="46" w:author="Mark Semmler" w:date="2025-01-29T11:26:48Z">
              <w:r>
                <w:rPr>
                  <w:rFonts w:eastAsia="Bitstream Vera Sans" w:cs="Bitstream Vera Sans"/>
                  <w:color w:val="auto"/>
                  <w:kern w:val="0"/>
                  <w:sz w:val="20"/>
                  <w:szCs w:val="24"/>
                  <w:lang w:val="de-DE" w:eastAsia="en-US" w:bidi="en-US"/>
                </w:rPr>
                <w:t>In diesem Kapitel wird die Organisation verpflichtet, ein Konzept zur Überwachung und Steuerung der ergriffenen Maßnahmen zu entwickeln, auf dessen Grundlage der ISB jährlich dem IST berichtet.</w:t>
              </w:r>
            </w:ins>
          </w:p>
        </w:tc>
      </w:tr>
    </w:tbl>
    <w:p>
      <w:pPr>
        <w:pStyle w:val="BodyText"/>
        <w:numPr>
          <w:ilvl w:val="0"/>
          <w:numId w:val="31"/>
        </w:numPr>
        <w:tabs>
          <w:tab w:val="clear" w:pos="720"/>
          <w:tab w:val="left" w:pos="0" w:leader="none"/>
        </w:tabs>
        <w:bidi w:val="0"/>
        <w:ind w:hanging="0" w:left="0"/>
        <w:jc w:val="left"/>
        <w:rPr/>
      </w:pPr>
      <w:r>
        <w:rPr/>
      </w:r>
    </w:p>
    <w:p>
      <w:pPr>
        <w:pStyle w:val="Heading6"/>
        <w:ind w:hanging="0" w:left="0"/>
        <w:rPr/>
      </w:pPr>
      <w:bookmarkStart w:id="1050" w:name="__RefHeading___Toc33735_4113391834"/>
      <w:bookmarkStart w:id="1051" w:name="_Ref178768361"/>
      <w:bookmarkStart w:id="1052" w:name="_Toc178588120"/>
      <w:bookmarkStart w:id="1053" w:name="_Toc187327162"/>
      <w:bookmarkEnd w:id="1050"/>
      <w:bookmarkEnd w:id="1052"/>
      <w:r>
        <w:rPr/>
        <w:t>Verfahren</w:t>
      </w:r>
      <w:bookmarkEnd w:id="1051"/>
      <w:r>
        <w:rPr/>
        <w:t xml:space="preserve"> und Risikomanagement</w:t>
      </w:r>
      <w:bookmarkEnd w:id="1053"/>
    </w:p>
    <w:p>
      <w:pPr>
        <w:pStyle w:val="Heading7"/>
        <w:ind w:hanging="0" w:left="0"/>
        <w:rPr/>
      </w:pPr>
      <w:bookmarkStart w:id="1054" w:name="__RefHeading___Toc32130_2021121348"/>
      <w:bookmarkStart w:id="1055" w:name="_Ref178762217"/>
      <w:bookmarkStart w:id="1056" w:name="_Ref178762140"/>
      <w:bookmarkStart w:id="1057" w:name="_Ref179186218"/>
      <w:bookmarkStart w:id="1058" w:name="_Ref179186357"/>
      <w:bookmarkStart w:id="1059" w:name="_Ref179189260"/>
      <w:bookmarkStart w:id="1060" w:name="_Toc187327163"/>
      <w:bookmarkStart w:id="1061" w:name="_Toc178588121"/>
      <w:bookmarkStart w:id="1062" w:name="a_1_verfahren"/>
      <w:bookmarkStart w:id="1063" w:name="_Toc530662993"/>
      <w:bookmarkStart w:id="1064" w:name="_Toc531165128"/>
      <w:bookmarkStart w:id="1065" w:name="_Ref179188814"/>
      <w:bookmarkStart w:id="1066" w:name="rl%25252525252525252525253Aanh_01%252525"/>
      <w:bookmarkStart w:id="1067" w:name="_Ref178762155"/>
      <w:bookmarkStart w:id="1068" w:name="_Ref179188712"/>
      <w:bookmarkStart w:id="1069" w:name="_Ref179379202"/>
      <w:bookmarkStart w:id="1070" w:name="_Ref179189208"/>
      <w:bookmarkStart w:id="1071" w:name="_Ref179189094"/>
      <w:bookmarkStart w:id="1072" w:name="_Ref178762087"/>
      <w:bookmarkStart w:id="1073" w:name="_Ref178761570"/>
      <w:bookmarkStart w:id="1074" w:name="_Ref179186850"/>
      <w:bookmarkStart w:id="1075" w:name="_Ref178762043"/>
      <w:bookmarkStart w:id="1076" w:name="_Ref179186091"/>
      <w:bookmarkStart w:id="1077" w:name="_Ref179189122"/>
      <w:bookmarkStart w:id="1078" w:name="_Ref179188840"/>
      <w:bookmarkStart w:id="1079" w:name="_Ref179187958"/>
      <w:bookmarkStart w:id="1080" w:name="_Toc178761422"/>
      <w:bookmarkEnd w:id="1054"/>
      <w:bookmarkEnd w:id="1066"/>
      <w:r>
        <w:rPr/>
        <w:t>Verfahren</w:t>
      </w:r>
      <w:bookmarkEnd w:id="1055"/>
      <w:bookmarkEnd w:id="1056"/>
      <w:bookmarkEnd w:id="1057"/>
      <w:bookmarkEnd w:id="1058"/>
      <w:bookmarkEnd w:id="1059"/>
      <w:bookmarkEnd w:id="1060"/>
      <w:bookmarkEnd w:id="1061"/>
      <w:bookmarkEnd w:id="1062"/>
      <w:bookmarkEnd w:id="1063"/>
      <w:bookmarkEnd w:id="1064"/>
      <w:bookmarkEnd w:id="1065"/>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pPr>
        <w:pStyle w:val="10000-DefaultParagraph"/>
        <w:rPr/>
      </w:pPr>
      <w:r>
        <w:rPr/>
        <w:t>Die Organisation MUSS die in diesen Richtlinien geforderten Verfahren planen, steuern und stetig verbessern.</w:t>
      </w:r>
    </w:p>
    <w:p>
      <w:pPr>
        <w:pStyle w:val="10000-Empfehlung"/>
        <w:rPr>
          <w:i/>
          <w:i/>
        </w:rPr>
      </w:pPr>
      <w:r>
        <w:rPr>
          <w:rStyle w:val="Emphasis"/>
          <w:i/>
        </w:rPr>
        <w:t>Dies SOLLTE im Rahmen eines Qualitätsmanagements auf Basis eines anerkannten Standards wie z. B. DIN EN ISO 9001 geschehen.</w:t>
      </w:r>
    </w:p>
    <w:p>
      <w:pPr>
        <w:pStyle w:val="10000-DefaultParagraph"/>
        <w:rPr/>
      </w:pPr>
      <w:r>
        <w:rPr/>
        <w:t>Wenn eine andere Vorgehensweise gewählt wird, MÜSSEN folgende Anforderungen erfüllt werden:</w:t>
      </w:r>
    </w:p>
    <w:p>
      <w:pPr>
        <w:pStyle w:val="10000-DefaultParagraph"/>
        <w:numPr>
          <w:ilvl w:val="0"/>
          <w:numId w:val="475"/>
        </w:numPr>
        <w:rPr/>
      </w:pPr>
      <w:r>
        <w:rPr/>
        <w:t>Es wird definiert, wer für die Durchführung verantwortlich ist.</w:t>
      </w:r>
    </w:p>
    <w:p>
      <w:pPr>
        <w:pStyle w:val="10000-Empfehlung"/>
        <w:widowControl/>
        <w:suppressAutoHyphens w:val="false"/>
        <w:bidi w:val="0"/>
        <w:spacing w:lineRule="auto" w:line="247" w:before="0" w:after="120"/>
        <w:ind w:hanging="0" w:left="397" w:right="0"/>
        <w:jc w:val="both"/>
        <w:rPr/>
      </w:pPr>
      <w:r>
        <w:rPr/>
        <w:t>Zusätzlich SOLLTE definiert werden, wer für die Etablierung des Verfahrens verantwortlich ist.</w:t>
      </w:r>
    </w:p>
    <w:p>
      <w:pPr>
        <w:pStyle w:val="10000-DefaultParagraph"/>
        <w:numPr>
          <w:ilvl w:val="0"/>
          <w:numId w:val="476"/>
        </w:numPr>
        <w:rPr/>
      </w:pPr>
      <w:r>
        <w:rPr/>
        <w:t>Verfahren werden in einer für die jeweilige Zielgruppe zugänglichen und verständlichen Form dokumentiert und bekannt gegeben.</w:t>
      </w:r>
    </w:p>
    <w:p>
      <w:pPr>
        <w:pStyle w:val="10000-DefaultParagraph"/>
        <w:numPr>
          <w:ilvl w:val="0"/>
          <w:numId w:val="477"/>
        </w:numPr>
        <w:rPr/>
      </w:pPr>
      <w:r>
        <w:rPr/>
        <w:t>Verfahren werden verbessert, wenn Mängel in ihrer Umsetzung, Angemessenheit oder Effektivität erkannt werden.</w:t>
      </w:r>
    </w:p>
    <w:p>
      <w:pPr>
        <w:pStyle w:val="10000-DefaultParagraph"/>
        <w:numPr>
          <w:ilvl w:val="0"/>
          <w:numId w:val="478"/>
        </w:numPr>
        <w:rPr/>
      </w:pPr>
      <w: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10000-Empfehlung"/>
        <w:rPr>
          <w:i/>
          <w:i/>
          <w:iCs/>
        </w:rPr>
      </w:pPr>
      <w:r>
        <w:rPr/>
        <w:t>Es KÖNNEN mehrere Vorgehensweisen in einem Verfahren definiert werden, sofern sie sich ähneln oder logisch zusammengefasst werden können.</w:t>
      </w:r>
    </w:p>
    <w:p>
      <w:pPr>
        <w:pStyle w:val="10000-Empfehlung"/>
        <w:rPr/>
      </w:pPr>
      <w:r>
        <w:rPr/>
        <w:t>Die Prüfung der Umsetzung, Angemessenheit und Effektivität derartiger Verfahren KANN durch eine stichprobenartige Prüfung einzelner Vorgehensweisen erfolgen.</w:t>
      </w:r>
    </w:p>
    <w:p>
      <w:pPr>
        <w:pStyle w:val="Heading7"/>
        <w:ind w:hanging="0" w:left="0"/>
        <w:rPr/>
      </w:pPr>
      <w:bookmarkStart w:id="1081" w:name="__RefHeading___Toc32132_2021121348"/>
      <w:bookmarkStart w:id="1082" w:name="_Toc531165129_Copy_1_Copy_1_Copy_1"/>
      <w:bookmarkStart w:id="1083" w:name="_Toc178588122"/>
      <w:bookmarkStart w:id="1084" w:name="_Ref179187788"/>
      <w:bookmarkStart w:id="1085" w:name="_Toc187327164"/>
      <w:bookmarkStart w:id="1086" w:name="_Ref179187642"/>
      <w:bookmarkStart w:id="1087" w:name="_Ref179187652"/>
      <w:bookmarkStart w:id="1088" w:name="_Ref179187843"/>
      <w:bookmarkStart w:id="1089" w:name="_Ref179186333"/>
      <w:bookmarkStart w:id="1090" w:name="_Ref179188860"/>
      <w:bookmarkStart w:id="1091" w:name="_Ref179186316"/>
      <w:bookmarkStart w:id="1092" w:name="_Ref179186925"/>
      <w:bookmarkStart w:id="1093" w:name="_Ref179186913"/>
      <w:bookmarkStart w:id="1094" w:name="_Toc178761423"/>
      <w:bookmarkStart w:id="1095" w:name="_Ref179188878"/>
      <w:bookmarkStart w:id="1096" w:name="_Ref179187943"/>
      <w:bookmarkStart w:id="1097" w:name="_Toc530662994_Copy_1_Copy_1_Copy_1"/>
      <w:bookmarkStart w:id="1098" w:name="a_2_risikoanalyse_und_-behandlung_Copy_1"/>
      <w:bookmarkStart w:id="1099" w:name="_Ref184205051"/>
      <w:bookmarkStart w:id="1100" w:name="_Ref179187798"/>
      <w:bookmarkEnd w:id="1081"/>
      <w:bookmarkEnd w:id="1082"/>
      <w:bookmarkEnd w:id="1097"/>
      <w:bookmarkEnd w:id="1098"/>
      <w:r>
        <w:rPr/>
        <w:t>Risikomanagement</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9"/>
      <w:bookmarkEnd w:id="1100"/>
    </w:p>
    <w:p>
      <w:pPr>
        <w:pStyle w:val="Heading8"/>
        <w:ind w:hanging="0" w:left="0"/>
        <w:rPr/>
      </w:pPr>
      <w:bookmarkStart w:id="1101" w:name="__RefHeading___Toc32134_2021121348"/>
      <w:bookmarkStart w:id="1102" w:name="_Toc187327165"/>
      <w:bookmarkStart w:id="1103" w:name="_Ref179188660"/>
      <w:bookmarkEnd w:id="1101"/>
      <w:r>
        <w:rPr/>
        <w:t>Definitionen und Analysen</w:t>
      </w:r>
      <w:bookmarkEnd w:id="1102"/>
      <w:bookmarkEnd w:id="1103"/>
    </w:p>
    <w:p>
      <w:pPr>
        <w:pStyle w:val="10000-DefaultParagraph"/>
        <w:rPr/>
      </w:pPr>
      <w:r>
        <w:rPr/>
        <w:t>Die Organisation MUSS die in diesen Richtlinien geforderten Risikoidentifikationen und Risikoanalysen durchführen und erkannte Risiken zeitnah und angemessen behandeln.</w:t>
      </w:r>
    </w:p>
    <w:p>
      <w:pPr>
        <w:pStyle w:val="10000-Empfehlung"/>
        <w:rPr/>
      </w:pPr>
      <w:r>
        <w:rPr>
          <w:rStyle w:val="Emphasis"/>
          <w:i/>
        </w:rPr>
        <w:t>Dies SOLLTE im Rahmen eines Risikomanagements auf Basis eines anerkannten Standards wie BSI-Standard 200-3, ISO/IEC 27005 oder ISO 31000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_Ref179189260 \n \n \h </w:instrText>
      </w:r>
      <w:r>
        <w:rPr/>
        <w:fldChar w:fldCharType="separate"/>
      </w:r>
      <w:r>
        <w:rPr/>
        <w:t>A.1</w:t>
      </w:r>
      <w:r>
        <w:rPr/>
        <w:fldChar w:fldCharType="end"/>
      </w:r>
      <w:r>
        <w:rPr/>
        <w:t>) implementiert werden, das die Anforderungen folgender Abschnitte erfüllt.</w:t>
      </w:r>
    </w:p>
    <w:p>
      <w:pPr>
        <w:pStyle w:val="Heading8"/>
        <w:ind w:hanging="0" w:left="0"/>
        <w:rPr/>
      </w:pPr>
      <w:bookmarkStart w:id="1104" w:name="__RefHeading___Toc32136_2021121348"/>
      <w:bookmarkStart w:id="1105" w:name="_Toc187327166"/>
      <w:bookmarkStart w:id="1106" w:name="_Ref184205067"/>
      <w:bookmarkStart w:id="1107" w:name="_Toc178761424"/>
      <w:bookmarkEnd w:id="1104"/>
      <w:r>
        <w:rPr/>
        <w:t>Methodik</w:t>
      </w:r>
      <w:bookmarkEnd w:id="1105"/>
      <w:bookmarkEnd w:id="1106"/>
      <w:bookmarkEnd w:id="1107"/>
    </w:p>
    <w:p>
      <w:pPr>
        <w:pStyle w:val="10000-DefaultParagraph"/>
        <w:rPr/>
      </w:pPr>
      <w:r>
        <w:rPr/>
        <w:t>Die Vorgehensweisen für die Risikoidentifikation, -analyse und -behandlung MÜSSEN festgelegt sein.</w:t>
      </w:r>
    </w:p>
    <w:p>
      <w:pPr>
        <w:pStyle w:val="10000-DefaultParagraph"/>
        <w:rPr/>
      </w:pPr>
      <w:r>
        <w:rPr/>
        <w:t>Die Vorgehensweisen MÜSSEN so gewählt sein, dass sie zu reproduzierbaren und schlüssigen Ergebnissen führen.</w:t>
      </w:r>
    </w:p>
    <w:p>
      <w:pPr>
        <w:pStyle w:val="10000-Empfehlung"/>
        <w:rPr>
          <w:i/>
          <w:i/>
          <w:iCs/>
        </w:rPr>
      </w:pPr>
      <w:r>
        <w:rPr/>
        <w:t>Die Auswahl der Vorgehensweisen SOLLTE auf Basis eines anerkannten Standards wie z. B. ISO 31010 erfolgen.</w:t>
      </w:r>
    </w:p>
    <w:p>
      <w:pPr>
        <w:pStyle w:val="Heading8"/>
        <w:ind w:hanging="0" w:left="0"/>
        <w:rPr/>
      </w:pPr>
      <w:bookmarkStart w:id="1108" w:name="__RefHeading___Toc32138_2021121348"/>
      <w:bookmarkStart w:id="1109" w:name="_Toc178761425"/>
      <w:bookmarkStart w:id="1110" w:name="_Ref184205084"/>
      <w:bookmarkStart w:id="1111" w:name="_Toc187327167"/>
      <w:bookmarkEnd w:id="1108"/>
      <w:r>
        <w:rPr/>
        <w:t>Risikoidentifikation</w:t>
      </w:r>
      <w:bookmarkEnd w:id="1109"/>
      <w:bookmarkEnd w:id="1110"/>
      <w:bookmarkEnd w:id="1111"/>
    </w:p>
    <w:p>
      <w:pPr>
        <w:pStyle w:val="10000-DefaultParagraph"/>
        <w:rPr/>
      </w:pPr>
      <w:r>
        <w:rPr/>
        <w:t>Jede Risikoidentifikation MUSS folgende Anforderungen erfüllen:</w:t>
      </w:r>
    </w:p>
    <w:p>
      <w:pPr>
        <w:pStyle w:val="10000-DefaultParagraph"/>
        <w:numPr>
          <w:ilvl w:val="0"/>
          <w:numId w:val="479"/>
        </w:numPr>
        <w:rPr/>
      </w:pPr>
      <w:r>
        <w:rPr/>
        <w:t>Ihre Durchführung und ihre Ergebnisse werden dokumentiert.</w:t>
      </w:r>
    </w:p>
    <w:p>
      <w:pPr>
        <w:pStyle w:val="10000-DefaultParagraph"/>
        <w:numPr>
          <w:ilvl w:val="0"/>
          <w:numId w:val="480"/>
        </w:numPr>
        <w:rPr/>
      </w:pPr>
      <w:r>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i/>
          <w:i/>
          <w:iCs/>
        </w:rPr>
      </w:pPr>
      <w:r>
        <w:rPr>
          <w:i/>
          <w:iCs/>
        </w:rPr>
        <w:t xml:space="preserve">Hierzu SOLLTEN entsprechende Kataloge wie z. B. ENISA Thread Taxonomy, der Annex der ISO 27005 oder die Aufstellung </w:t>
      </w:r>
      <w:r>
        <w:rPr/>
        <w:t>Elementare Gefährdungen</w:t>
      </w:r>
      <w:r>
        <w:rPr>
          <w:i/>
          <w:iCs/>
        </w:rPr>
        <w:t xml:space="preserve"> des BSI berücksichtigt werden.</w:t>
      </w:r>
    </w:p>
    <w:p>
      <w:pPr>
        <w:pStyle w:val="Heading8"/>
        <w:ind w:hanging="0" w:left="0"/>
        <w:rPr/>
      </w:pPr>
      <w:bookmarkStart w:id="1112" w:name="__RefHeading___a_2.2_risikobehandlung_13"/>
      <w:bookmarkStart w:id="1113" w:name="_Toc530662996_Copy_1"/>
      <w:bookmarkStart w:id="1114" w:name="_Ref184205096"/>
      <w:bookmarkStart w:id="1115" w:name="_Toc178761426"/>
      <w:bookmarkStart w:id="1116" w:name="_Toc531165131_Copy_1"/>
      <w:bookmarkStart w:id="1117" w:name="a_2.2_risikobehandlung_Copy_1"/>
      <w:bookmarkStart w:id="1118" w:name="_Toc187327168"/>
      <w:bookmarkStart w:id="1119" w:name="rl%25252525252525252525253Aanh_02%252525"/>
      <w:bookmarkEnd w:id="1112"/>
      <w:bookmarkEnd w:id="1119"/>
      <w:r>
        <w:rPr/>
        <w:t>Risiko</w:t>
      </w:r>
      <w:bookmarkEnd w:id="1113"/>
      <w:bookmarkEnd w:id="1116"/>
      <w:bookmarkEnd w:id="1117"/>
      <w:r>
        <w:rPr/>
        <w:t>analyse</w:t>
      </w:r>
      <w:bookmarkEnd w:id="1114"/>
      <w:bookmarkEnd w:id="1115"/>
      <w:bookmarkEnd w:id="1118"/>
    </w:p>
    <w:p>
      <w:pPr>
        <w:pStyle w:val="10000-DefaultParagraph"/>
        <w:rPr>
          <w:i/>
          <w:i/>
          <w:iCs/>
        </w:rPr>
      </w:pPr>
      <w:r>
        <w:rPr/>
        <w:t>Jede Risikoanalyse MUSS folgende Anforderungen erfüllen:</w:t>
      </w:r>
    </w:p>
    <w:p>
      <w:pPr>
        <w:pStyle w:val="10000-DefaultParagraph"/>
        <w:numPr>
          <w:ilvl w:val="0"/>
          <w:numId w:val="25"/>
        </w:numPr>
        <w:rPr>
          <w:spacing w:val="-3"/>
        </w:rPr>
      </w:pPr>
      <w:r>
        <w:rPr/>
        <w:t>Ihre Durchführung und ihre Ergebnisse werden dokumentiert.</w:t>
      </w:r>
    </w:p>
    <w:p>
      <w:pPr>
        <w:pStyle w:val="10000-DefaultParagraph"/>
        <w:numPr>
          <w:ilvl w:val="0"/>
          <w:numId w:val="25"/>
        </w:numPr>
        <w:rPr>
          <w:spacing w:val="-3"/>
        </w:rPr>
      </w:pPr>
      <w:r>
        <w:rPr/>
        <w:t>Die Bewertung der Risiken erfolgt auf Basis der potenziellen Schäden und deren Eintrittswahrscheinlichkeit anhand einheitlicher, zuvor festgelegter Kriterien.</w:t>
      </w:r>
    </w:p>
    <w:p>
      <w:pPr>
        <w:pStyle w:val="10000-DefaultParagraph"/>
        <w:numPr>
          <w:ilvl w:val="0"/>
          <w:numId w:val="25"/>
        </w:numPr>
        <w:rPr>
          <w:spacing w:val="-3"/>
        </w:rPr>
      </w:pPr>
      <w:r>
        <w:rPr/>
        <w:t>Das Ergebnis der Risikoanalyse ermöglicht eine Priorisierung bei der Risikobehandlung.</w:t>
      </w:r>
    </w:p>
    <w:p>
      <w:pPr>
        <w:pStyle w:val="Heading8"/>
        <w:ind w:hanging="0" w:left="0"/>
        <w:rPr/>
      </w:pPr>
      <w:bookmarkStart w:id="1120" w:name="__RefHeading___a_2.2_risikobehandlung_11"/>
      <w:bookmarkStart w:id="1121" w:name="_Toc178761427"/>
      <w:bookmarkStart w:id="1122" w:name="_Ref184205143"/>
      <w:bookmarkStart w:id="1123" w:name="rl%25252525252525252525253Aanh_02%252521"/>
      <w:bookmarkStart w:id="1124" w:name="a_2.2_risikobehandlung"/>
      <w:bookmarkStart w:id="1125" w:name="_Toc530662996"/>
      <w:bookmarkStart w:id="1126" w:name="_Toc187327169"/>
      <w:bookmarkStart w:id="1127" w:name="_Toc531165131"/>
      <w:bookmarkEnd w:id="1120"/>
      <w:bookmarkEnd w:id="1123"/>
      <w:r>
        <w:rPr/>
        <w:t>Risikobehandlung</w:t>
      </w:r>
      <w:bookmarkEnd w:id="1121"/>
      <w:bookmarkEnd w:id="1122"/>
      <w:bookmarkEnd w:id="1124"/>
      <w:bookmarkEnd w:id="1125"/>
      <w:bookmarkEnd w:id="1126"/>
      <w:bookmarkEnd w:id="1127"/>
    </w:p>
    <w:p>
      <w:pPr>
        <w:pStyle w:val="10000-DefaultParagraph"/>
        <w:rPr/>
      </w:pPr>
      <w:r>
        <w:rPr/>
        <w:t>Identifizierte Risiken MÜSSEN zeitnah und priorisiert behandelt werden.</w:t>
      </w:r>
    </w:p>
    <w:p>
      <w:pPr>
        <w:pStyle w:val="10000-DefaultParagraph"/>
        <w:rPr/>
      </w:pPr>
      <w:r>
        <w:rPr/>
        <w:t>Dazu MÜSSEN geeignete Maßnahmen zur Vermeidung, Reduzierung oder Übertragung der Risiken (z. B. durch den Abschluss einer Versicherung) definiert, dokumentiert und umgesetzt werden.</w:t>
      </w:r>
    </w:p>
    <w:p>
      <w:pPr>
        <w:pStyle w:val="10000-DefaultParagraph"/>
        <w:rPr>
          <w:ins w:id="47" w:author="Mark Semmler" w:date="2025-01-29T11:06:04Z"/>
        </w:rPr>
      </w:pPr>
      <w:r>
        <w:rPr/>
        <w:t>Die Umsetzung der entsprechenden Maßnahmen MUSS kontrolliert und auf Wirksamkeit geprüft werden.</w:t>
      </w:r>
    </w:p>
    <w:p>
      <w:pPr>
        <w:pStyle w:val="Normal"/>
        <w:rPr>
          <w:i/>
          <w:i/>
          <w:iCs/>
        </w:rPr>
      </w:pPr>
      <w:ins w:id="48" w:author="Mark Semmler" w:date="2025-01-29T11:06:04Z">
        <w:r>
          <w:rPr>
            <w:i/>
            <w:iCs/>
          </w:rPr>
          <w:t xml:space="preserve">Hierzu </w:t>
        </w:r>
      </w:ins>
      <w:ins w:id="49" w:author="Mark Semmler" w:date="2025-01-29T11:06:04Z">
        <w:r>
          <w:rPr>
            <w:i/>
            <w:iCs/>
          </w:rPr>
          <w:t xml:space="preserve">SOLLTE ein zentraler Risikobehandlungsplan aufgestellt werden, in dem alle Risiken und der Stand </w:t>
        </w:r>
      </w:ins>
      <w:ins w:id="50" w:author="Mark Semmler" w:date="2025-01-29T11:07:18Z">
        <w:r>
          <w:rPr>
            <w:i/>
            <w:iCs/>
          </w:rPr>
          <w:t>ihrer Risikobehandlung fortlaufend erfasst werden.</w:t>
        </w:r>
      </w:ins>
      <w:ins w:id="51" w:author="Mark Semmler" w:date="2025-01-29T11:07:57Z">
        <w:r>
          <w:rPr>
            <w:i/>
            <w:iCs/>
          </w:rPr>
          <w:commentReference w:id="20"/>
        </w:r>
      </w:ins>
    </w:p>
    <w:p>
      <w:pPr>
        <w:pStyle w:val="10000-Empfehlung"/>
        <w:rPr>
          <w:i/>
          <w:i/>
          <w:iCs/>
        </w:rPr>
      </w:pPr>
      <w:r>
        <w:rPr/>
        <w:t>Risiken KÖNNEN generell akzeptiert werden, wenn ihre Schadenhöhen und/oder Eintrittswahrscheinlichkeiten unterhalb einer einheitlichen, zuvor definierten Grenze liegen (Risikoakzeptanzgrenze).</w:t>
      </w:r>
    </w:p>
    <w:p>
      <w:pPr>
        <w:pStyle w:val="10000-DefaultParagraph"/>
        <w:rPr/>
      </w:pPr>
      <w:r>
        <w:rPr/>
        <w:t>Wenn erhebliche Risiken nicht angemessen behandelt werden können, MÜSSEN sie vom Topmanagement akzeptiert werden.</w:t>
      </w:r>
    </w:p>
    <w:p>
      <w:pPr>
        <w:pStyle w:val="10000-DefaultParagraph"/>
        <w:rPr/>
      </w:pPr>
      <w:r>
        <w:rPr/>
        <w:t>Die Akzeptanz von erheblichen Risiken durch das Topmanagement MUSS dokumentiert werden.</w:t>
      </w:r>
    </w:p>
    <w:p>
      <w:pPr>
        <w:pStyle w:val="Heading8"/>
        <w:ind w:hanging="0" w:left="0"/>
        <w:rPr/>
      </w:pPr>
      <w:bookmarkStart w:id="1128" w:name="__RefHeading___Toc32140_2021121348"/>
      <w:bookmarkStart w:id="1129" w:name="_Toc187327170"/>
      <w:bookmarkStart w:id="1130" w:name="_Ref184288318"/>
      <w:bookmarkStart w:id="1131" w:name="a_2.3_wiederholung_und_anpassung"/>
      <w:bookmarkStart w:id="1132" w:name="_Toc530662997"/>
      <w:bookmarkStart w:id="1133" w:name="_Toc531165132"/>
      <w:bookmarkStart w:id="1134" w:name="_Toc178761428"/>
      <w:bookmarkEnd w:id="1128"/>
      <w:r>
        <w:rPr/>
        <w:t>Wiederholung und Anpassung</w:t>
      </w:r>
      <w:bookmarkEnd w:id="1129"/>
      <w:bookmarkEnd w:id="1130"/>
      <w:bookmarkEnd w:id="1131"/>
      <w:bookmarkEnd w:id="1132"/>
      <w:bookmarkEnd w:id="1133"/>
      <w:bookmarkEnd w:id="1134"/>
    </w:p>
    <w:p>
      <w:pPr>
        <w:pStyle w:val="10000-DefaultParagraph"/>
        <w:rPr/>
      </w:pPr>
      <w:r>
        <w:rPr/>
        <w:t>Risikoidentifikationen, -analysen und -behandlungen MÜSSEN jährlich auf ihre Aktualität geprüft und bei Bedarf wiederholt werden.</w:t>
      </w:r>
    </w:p>
    <w:p>
      <w:pPr>
        <w:pStyle w:val="10000-DefaultParagraph"/>
        <w:rPr/>
      </w:pPr>
      <w:r>
        <w:rPr/>
        <w:t>Sie MÜSSEN darüber hinaus zeitnah überarbeitet werden, wenn eine der folgenden Faktoren auftritt:</w:t>
      </w:r>
    </w:p>
    <w:p>
      <w:pPr>
        <w:pStyle w:val="10000-DefaultParagraph"/>
        <w:numPr>
          <w:ilvl w:val="0"/>
          <w:numId w:val="26"/>
        </w:numPr>
        <w:rPr>
          <w:spacing w:val="-3"/>
        </w:rPr>
      </w:pPr>
      <w:r>
        <w:rPr/>
        <w:t>Der untersuchte Gegenstand hat sich wesentlich verändert (z. B. Hardware, Software oder Konfiguration eines IT-Systems).</w:t>
      </w:r>
    </w:p>
    <w:p>
      <w:pPr>
        <w:pStyle w:val="10000-DefaultParagraph"/>
        <w:numPr>
          <w:ilvl w:val="0"/>
          <w:numId w:val="26"/>
        </w:numPr>
        <w:rPr>
          <w:spacing w:val="-3"/>
        </w:rPr>
      </w:pPr>
      <w:r>
        <w:rPr/>
        <w:t>Der Einsatzzweck des untersuchten Gegenstands hat sich wesentlich geändert.</w:t>
      </w:r>
    </w:p>
    <w:p>
      <w:pPr>
        <w:pStyle w:val="10000-DefaultParagraph"/>
        <w:numPr>
          <w:ilvl w:val="0"/>
          <w:numId w:val="26"/>
        </w:numPr>
        <w:spacing w:before="0" w:after="120"/>
        <w:rPr/>
      </w:pPr>
      <w:r>
        <w:rPr/>
        <w:t>Neue Bedrohungen, neue Schwachstellen und/oder neue gesetzliche, betriebliche oder vertragliche Anforderungen wurden bekannt.</w:t>
      </w:r>
    </w:p>
    <w:sectPr>
      <w:headerReference w:type="even" r:id="rId9"/>
      <w:headerReference w:type="default" r:id="rId10"/>
      <w:footerReference w:type="even" r:id="rId11"/>
      <w:footerReference w:type="default" r:id="rId12"/>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1-14T10:19:14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„bei der objektive Nachweise für die Umsetzung der Maßnahmen geprüft werden“ hinzufügen?</w:t>
      </w:r>
    </w:p>
  </w:comment>
  <w:comment w:id="1" w:author="Mark Semmler" w:date="2025-01-14T10:18:15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Prüfen ob die entsprechenden VdS-Richtlinien für die VdS 10100 gültig sind bzw. die gleiche Rolle wie für die VdS 10k besitzen.</w:t>
      </w:r>
    </w:p>
  </w:comment>
  <w:comment w:id="2" w:author="Mark Semmler" w:date="2025-01-21T09:29:00Z" w:initials="MSe">
    <w:p w14:paraId="01000000">
      <w:pPr>
        <w:overflowPunct w:val="true"/>
        <w:spacing w:before="0" w:after="0" w:lineRule="auto" w:line="240"/>
        <w:jc w:val="left"/>
        <w:rPr/>
      </w:pPr>
      <w:r>
        <w:rPr>
          <w:rFonts w:eastAsia="DejaVu Sans" w:cs="Noto Sans Arabic UI" w:ascii="Liberation Serif" w:hAnsi="Liberation Serif"/>
          <w:sz w:val="24"/>
          <w:szCs w:val="24"/>
          <w:lang w:val="en-US" w:eastAsia="en-US" w:bidi="en-US"/>
        </w:rPr>
        <w:t>Nicht wiederholen, sondern prüfen und bei Bedarf wiederholen.</w:t>
      </w:r>
    </w:p>
  </w:comment>
  <w:comment w:id="3" w:author="Mark Semmler" w:date="2025-01-21T10:06:52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OT mit in die Beispiele aufgenommen.</w:t>
      </w:r>
    </w:p>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Rückportieren in die VdS 10000:2025 noch möglich?</w:t>
      </w:r>
    </w:p>
  </w:comment>
  <w:comment w:id="4" w:author="Mark Semmler" w:date="2025-01-29T18:29:04Z" w:initials="MSe">
    <w:p>
      <w:pPr>
        <w:spacing w:before="0" w:after="0" w:lineRule="auto" w:line="240"/>
        <w:jc w:val="left"/>
        <w:rPr/>
      </w:pPr>
      <w:r>
        <w:rPr>
          <w:rFonts w:ascii="Liberation Serif" w:hAnsi="Liberation Serif" w:eastAsia="DejaVu Sans" w:cs="Noto Sans Arabic UI"/>
          <w:sz w:val="24"/>
          <w:szCs w:val="24"/>
          <w:lang w:val="en-US" w:eastAsia="en-US" w:bidi="en-US"/>
        </w:rPr>
        <w:t>Rückportieren in die VdS 10000:2025.</w:t>
      </w:r>
    </w:p>
    <w:p>
      <w:pPr>
        <w:spacing w:before="0" w:after="0" w:lineRule="auto" w:line="240"/>
        <w:jc w:val="left"/>
        <w:rPr/>
      </w:pPr>
      <w:r>
        <w:rPr>
          <w:rFonts w:ascii="Liberation Serif" w:hAnsi="Liberation Serif" w:eastAsia="DejaVu Sans" w:cs="Noto Sans Arabic UI"/>
          <w:sz w:val="24"/>
          <w:szCs w:val="24"/>
          <w:lang w:val="en-US" w:eastAsia="en-US" w:bidi="en-US"/>
        </w:rPr>
        <w:t>Zum jetzigen Zeitpunkt noch möglich?</w:t>
      </w:r>
    </w:p>
  </w:comment>
  <w:comment w:id="5" w:author="Mark Semmler" w:date="2025-01-21T18:25:39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Fassung</w:t>
      </w:r>
    </w:p>
  </w:comment>
  <w:comment w:id="6" w:author="Mark Semmler" w:date="2025-01-22T20:09:44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Zusammenfassen mit 8.3? Der Text unterscheidet sich im wesentlichen nur in einem Absatz (Absatz 2.).</w:t>
      </w:r>
    </w:p>
  </w:comment>
  <w:comment w:id="7" w:author="Mark Semmler" w:date="2025-01-14T11:59:08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Der jährliche Rhythmus wird mittlerweile nicht mehr als ausreichend angesehen. Die Prüfung SOLLTE quartalsweise erfolgen. (Hinweis aufnehmen?!)</w:t>
      </w:r>
    </w:p>
  </w:comment>
  <w:comment w:id="8" w:author="Mark Semmler" w:date="2025-01-22T11:45:18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Redundant; siehe wichtige IT-Ressourcen.</w:t>
      </w:r>
    </w:p>
  </w:comment>
  <w:comment w:id="9" w:author="Mark Semmler" w:date="2025-01-15T11:40:47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10" w:author="Mark Semmler" w:date="2025-01-15T11:40:59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11" w:author="Mark Semmler" w:date="2025-01-15T11:41:06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12" w:author="Mark Semmler" w:date="2025-01-22T12:02:13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Löschen, weil Untermenege der wichtigen Lieferanten?!</w:t>
      </w:r>
    </w:p>
  </w:comment>
  <w:comment w:id="13" w:author="Mark Semmler" w:date="2025-01-22T12:27:48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Verlinkung mit Lieferanten (Kap. 9)?!</w:t>
      </w:r>
    </w:p>
  </w:comment>
  <w:comment w:id="14" w:author="Mark Semmler" w:date="2025-01-23T12:06:36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Konzepte und Verfahren der Kryptografie</w:t>
      </w:r>
    </w:p>
  </w:comment>
  <w:comment w:id="15" w:author="Mark Semmler" w:date="2025-01-29T14:21:11Z" w:initials="MSe">
    <w:p>
      <w:pPr>
        <w:spacing w:before="0" w:after="0" w:lineRule="auto" w:line="240"/>
        <w:jc w:val="left"/>
        <w:rPr/>
      </w:pPr>
      <w:r>
        <w:rPr>
          <w:rFonts w:ascii="Liberation Serif" w:hAnsi="Liberation Serif" w:eastAsia="DejaVu Sans" w:cs="Noto Sans Arabic UI"/>
          <w:sz w:val="24"/>
          <w:szCs w:val="24"/>
          <w:lang w:val="en-US" w:eastAsia="en-US" w:bidi="en-US"/>
        </w:rPr>
        <w:t xml:space="preserve">Eingefügt aufgrund von NIS2DVO (EU) 2024/2690, Beweggrund 23. </w:t>
      </w:r>
    </w:p>
  </w:comment>
  <w:comment w:id="16" w:author="Mark Semmler" w:date="2025-01-29T17:10:57Z" w:initials="MSe">
    <w:p>
      <w:pPr>
        <w:spacing w:before="0" w:after="0" w:lineRule="auto" w:line="240"/>
        <w:jc w:val="left"/>
        <w:rPr/>
      </w:pPr>
      <w:r>
        <w:rPr>
          <w:rFonts w:ascii="Liberation Serif" w:hAnsi="Liberation Serif" w:eastAsia="DejaVu Sans" w:cs="Noto Sans Arabic UI"/>
          <w:sz w:val="24"/>
          <w:szCs w:val="24"/>
          <w:lang w:val="en-US" w:eastAsia="en-US" w:bidi="en-US"/>
        </w:rPr>
        <w:t>Backport in die neue VdS 10000:2025.</w:t>
      </w:r>
      <w:r>
        <w:rPr>
          <w:rFonts w:ascii="Liberation Serif" w:hAnsi="Liberation Serif" w:eastAsia="DejaVu Sans" w:cs="Noto Sans Arabic UI"/>
          <w:sz w:val="24"/>
          <w:szCs w:val="24"/>
          <w:lang w:val="en-US" w:eastAsia="en-US" w:bidi="en-US"/>
        </w:rPr>
        <w:br/>
      </w:r>
      <w:r>
        <w:rPr>
          <w:rFonts w:ascii="Liberation Serif" w:hAnsi="Liberation Serif" w:eastAsia="DejaVu Sans" w:cs="Noto Sans Arabic UI"/>
          <w:sz w:val="24"/>
          <w:szCs w:val="24"/>
          <w:lang w:val="en-US" w:eastAsia="en-US" w:bidi="en-US"/>
        </w:rPr>
        <w:t>Noch möglich?</w:t>
      </w:r>
    </w:p>
  </w:comment>
  <w:comment w:id="17" w:author="Mark Semmler" w:date="2025-01-14T21:11:39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8" w:author="Mark Semmler" w:date="2025-01-14T21:21:54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 xml:space="preserve">0.5.6-ToDo: Krise und Krisenmanagement in dieses Kapitel aufnehmen. </w:t>
      </w:r>
    </w:p>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0.5.6-ToDO: Krise in Kap. 3 aufnehmen.</w:t>
      </w:r>
    </w:p>
  </w:comment>
  <w:comment w:id="19" w:author="Mark Semmler" w:date="2025-01-14T22:30:37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0.5.6-ToDo: Hinweis aufnehmen: Prozesse untersuchen, mögliche Schadensereignisse identifizieren, Reaktion darauf planen - BIA</w:t>
      </w:r>
    </w:p>
  </w:comment>
  <w:comment w:id="20" w:author="Mark Semmler" w:date="2025-01-29T11:07:57Z" w:initials="MSe">
    <w:p>
      <w:pPr>
        <w:spacing w:before="0" w:after="0" w:lineRule="auto" w:line="240"/>
        <w:jc w:val="left"/>
        <w:rPr/>
      </w:pPr>
      <w:r>
        <w:rPr>
          <w:rFonts w:ascii="Liberation Serif" w:hAnsi="Liberation Serif" w:eastAsia="DejaVu Sans" w:cs="Noto Sans Arabic UI"/>
          <w:sz w:val="24"/>
          <w:szCs w:val="24"/>
          <w:lang w:val="en-US" w:eastAsia="en-US" w:bidi="en-US"/>
        </w:rPr>
        <w:t>Eingefügt aufgrund von NIS2DVO (EU) 2024/2690, Beweggrund 11.</w:t>
      </w:r>
    </w:p>
  </w:comment>
</w:comments>
</file>

<file path=word/commentsExtended.xml><?xml version="1.0" encoding="utf-8"?>
<w15:commentsEx xmlns:mc="http://schemas.openxmlformats.org/markup-compatibility/2006" xmlns:w15="http://schemas.microsoft.com/office/word/2012/wordml" mc:Ignorable="w15">
  <w15:commentEx w15:paraId="01000000" w15:done="1"/>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auto"/>
    <w:pitch w:val="variable"/>
  </w:font>
  <w:font w:name="StarSymbol">
    <w:altName w:val="Arial Unicode MS"/>
    <w:charset w:val="01"/>
    <w:family w:val="auto"/>
    <w:pitch w:val="variable"/>
  </w:font>
  <w:font w:name="Bitstream Vera Sans Mono">
    <w:charset w:val="01"/>
    <w:family w:val="auto"/>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t>Dieses Dokument ist ein Entwurf – keine Gewähr für Inhalte und Struktur. You have been warned.</w:t>
      <w:tab/>
    </w:r>
    <w:r>
      <w:rPr/>
      <w:fldChar w:fldCharType="begin"/>
    </w:r>
    <w:r>
      <w:rPr/>
      <w:instrText xml:space="preserve"> PAGE </w:instrText>
    </w:r>
    <w:r>
      <w:rPr/>
      <w:fldChar w:fldCharType="separate"/>
    </w:r>
    <w:r>
      <w:rPr/>
      <w:t>48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fldChar w:fldCharType="begin"/>
    </w:r>
    <w:r>
      <w:rPr/>
      <w:instrText xml:space="preserve"> PAGE </w:instrText>
    </w:r>
    <w:r>
      <w:rPr/>
      <w:fldChar w:fldCharType="separate"/>
    </w:r>
    <w:r>
      <w:rPr/>
      <w:t>47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35" w:name="_Hlk177383158_Copy_11"/>
    <w:bookmarkStart w:id="1136" w:name="_Hlk177383161_Copy_11"/>
    <w:bookmarkStart w:id="1137" w:name="_Hlk177383160_Copy_11"/>
    <w:bookmarkStart w:id="1138" w:name="_Hlk177383159_Copy_11"/>
    <w:r>
      <w:rPr/>
      <w:t xml:space="preserve">VdS 10100, Version 0.6.4 </w:t>
    </w:r>
    <w:r>
      <w:rPr>
        <w:bCs/>
      </w:rPr>
      <w:t>vom 23.01.2025</w:t>
    </w:r>
    <w:bookmarkStart w:id="1139" w:name="_Hlk177383308_Copy_11"/>
    <w:r>
      <w:rPr>
        <w:b/>
      </w:rPr>
      <w:t xml:space="preserve"> </w:t>
    </w:r>
    <w:bookmarkEnd w:id="1139"/>
    <w:r>
      <w:rPr/>
      <w:tab/>
      <w:tab/>
    </w:r>
    <w:bookmarkEnd w:id="1135"/>
    <w:bookmarkEnd w:id="1136"/>
    <w:bookmarkEnd w:id="1137"/>
    <w:bookmarkEnd w:id="1138"/>
    <w:r>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40" w:name="_Hlk177383160"/>
    <w:bookmarkStart w:id="1141" w:name="_Hlk177383159"/>
    <w:bookmarkStart w:id="1142" w:name="_Hlk177383158"/>
    <w:bookmarkStart w:id="1143" w:name="_Hlk177383161"/>
    <w:r>
      <w:rPr/>
      <w:t xml:space="preserve">VdS 10100, Version 0.6.5 </w:t>
    </w:r>
    <w:r>
      <w:rPr>
        <w:bCs/>
      </w:rPr>
      <w:t>vom xx.01.2025</w:t>
    </w:r>
    <w:bookmarkStart w:id="1144" w:name="_Hlk177383308"/>
    <w:r>
      <w:rPr>
        <w:b/>
      </w:rPr>
      <w:t xml:space="preserve"> </w:t>
    </w:r>
    <w:bookmarkEnd w:id="1144"/>
    <w:r>
      <w:rPr/>
      <w:tab/>
      <w:tab/>
    </w:r>
    <w:bookmarkEnd w:id="1140"/>
    <w:bookmarkEnd w:id="1141"/>
    <w:bookmarkEnd w:id="1142"/>
    <w:bookmarkEnd w:id="1143"/>
    <w:r>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2">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34"/>
    <w:lvlOverride w:ilvl="0">
      <w:startOverride w:val="1"/>
    </w:lvlOverride>
  </w:num>
  <w:num w:numId="255">
    <w:abstractNumId w:val="34"/>
  </w:num>
  <w:num w:numId="256">
    <w:abstractNumId w:val="34"/>
  </w:num>
  <w:num w:numId="257">
    <w:abstractNumId w:val="34"/>
    <w:lvlOverride w:ilvl="0">
      <w:startOverride w:val="1"/>
    </w:lvlOverride>
  </w:num>
  <w:num w:numId="258">
    <w:abstractNumId w:val="34"/>
  </w:num>
  <w:num w:numId="259">
    <w:abstractNumId w:val="34"/>
  </w:num>
  <w:num w:numId="260">
    <w:abstractNumId w:val="34"/>
  </w:num>
  <w:num w:numId="261">
    <w:abstractNumId w:val="34"/>
  </w:num>
  <w:num w:numId="262">
    <w:abstractNumId w:val="34"/>
  </w:num>
  <w:num w:numId="263">
    <w:abstractNumId w:val="34"/>
  </w:num>
  <w:num w:numId="264">
    <w:abstractNumId w:val="34"/>
  </w:num>
  <w:num w:numId="265">
    <w:abstractNumId w:val="34"/>
  </w:num>
  <w:num w:numId="266">
    <w:abstractNumId w:val="34"/>
  </w:num>
  <w:num w:numId="267">
    <w:abstractNumId w:val="34"/>
  </w:num>
  <w:num w:numId="268">
    <w:abstractNumId w:val="34"/>
  </w:num>
  <w:num w:numId="269">
    <w:abstractNumId w:val="34"/>
    <w:lvlOverride w:ilvl="0">
      <w:startOverride w:val="1"/>
    </w:lvlOverride>
  </w:num>
  <w:num w:numId="270">
    <w:abstractNumId w:val="34"/>
  </w:num>
  <w:num w:numId="271">
    <w:abstractNumId w:val="34"/>
  </w:num>
  <w:num w:numId="272">
    <w:abstractNumId w:val="34"/>
    <w:lvlOverride w:ilvl="0">
      <w:startOverride w:val="1"/>
    </w:lvlOverride>
  </w:num>
  <w:num w:numId="273">
    <w:abstractNumId w:val="34"/>
  </w:num>
  <w:num w:numId="274">
    <w:abstractNumId w:val="34"/>
  </w:num>
  <w:num w:numId="275">
    <w:abstractNumId w:val="34"/>
  </w:num>
  <w:num w:numId="276">
    <w:abstractNumId w:val="34"/>
  </w:num>
  <w:num w:numId="277">
    <w:abstractNumId w:val="34"/>
    <w:lvlOverride w:ilvl="0">
      <w:startOverride w:val="1"/>
    </w:lvlOverride>
  </w:num>
  <w:num w:numId="278">
    <w:abstractNumId w:val="34"/>
  </w:num>
  <w:num w:numId="279">
    <w:abstractNumId w:val="34"/>
  </w:num>
  <w:num w:numId="280">
    <w:abstractNumId w:val="34"/>
  </w:num>
  <w:num w:numId="281">
    <w:abstractNumId w:val="34"/>
  </w:num>
  <w:num w:numId="282">
    <w:abstractNumId w:val="34"/>
    <w:lvlOverride w:ilvl="0">
      <w:startOverride w:val="1"/>
    </w:lvlOverride>
  </w:num>
  <w:num w:numId="283">
    <w:abstractNumId w:val="34"/>
  </w:num>
  <w:num w:numId="284">
    <w:abstractNumId w:val="34"/>
  </w:num>
  <w:num w:numId="285">
    <w:abstractNumId w:val="34"/>
    <w:lvlOverride w:ilvl="0">
      <w:startOverride w:val="1"/>
    </w:lvlOverride>
  </w:num>
  <w:num w:numId="286">
    <w:abstractNumId w:val="34"/>
  </w:num>
  <w:num w:numId="287">
    <w:abstractNumId w:val="34"/>
    <w:lvlOverride w:ilvl="0">
      <w:startOverride w:val="1"/>
    </w:lvlOverride>
  </w:num>
  <w:num w:numId="288">
    <w:abstractNumId w:val="34"/>
  </w:num>
  <w:num w:numId="289">
    <w:abstractNumId w:val="34"/>
    <w:lvlOverride w:ilvl="0">
      <w:startOverride w:val="1"/>
    </w:lvlOverride>
  </w:num>
  <w:num w:numId="290">
    <w:abstractNumId w:val="34"/>
  </w:num>
  <w:num w:numId="291">
    <w:abstractNumId w:val="34"/>
    <w:lvlOverride w:ilvl="0">
      <w:startOverride w:val="1"/>
    </w:lvlOverride>
  </w:num>
  <w:num w:numId="292">
    <w:abstractNumId w:val="34"/>
  </w:num>
  <w:num w:numId="293">
    <w:abstractNumId w:val="34"/>
  </w:num>
  <w:num w:numId="294">
    <w:abstractNumId w:val="34"/>
  </w:num>
  <w:num w:numId="295">
    <w:abstractNumId w:val="34"/>
    <w:lvlOverride w:ilvl="0">
      <w:startOverride w:val="1"/>
    </w:lvlOverride>
  </w:num>
  <w:num w:numId="296">
    <w:abstractNumId w:val="28"/>
  </w:num>
  <w:num w:numId="297">
    <w:abstractNumId w:val="28"/>
    <w:lvlOverride w:ilvl="0">
      <w:startOverride w:val="1"/>
    </w:lvlOverride>
    <w:lvlOverride w:ilvl="1">
      <w:startOverride w:val="1"/>
    </w:lvlOverride>
  </w:num>
  <w:num w:numId="298">
    <w:abstractNumId w:val="28"/>
  </w:num>
  <w:num w:numId="299">
    <w:abstractNumId w:val="28"/>
  </w:num>
  <w:num w:numId="300">
    <w:abstractNumId w:val="28"/>
    <w:lvlOverride w:ilvl="0">
      <w:startOverride w:val="1"/>
    </w:lvlOverride>
    <w:lvlOverride w:ilvl="1">
      <w:startOverride w:val="1"/>
    </w:lvlOverride>
  </w:num>
  <w:num w:numId="301">
    <w:abstractNumId w:val="34"/>
    <w:lvlOverride w:ilvl="0">
      <w:startOverride w:val="1"/>
    </w:lvlOverride>
  </w:num>
  <w:num w:numId="302">
    <w:abstractNumId w:val="34"/>
  </w:num>
  <w:num w:numId="303">
    <w:abstractNumId w:val="34"/>
  </w:num>
  <w:num w:numId="304">
    <w:abstractNumId w:val="34"/>
  </w:num>
  <w:num w:numId="305">
    <w:abstractNumId w:val="34"/>
  </w:num>
  <w:num w:numId="306">
    <w:abstractNumId w:val="34"/>
    <w:lvlOverride w:ilvl="0">
      <w:startOverride w:val="1"/>
    </w:lvlOverride>
  </w:num>
  <w:num w:numId="307">
    <w:abstractNumId w:val="34"/>
  </w:num>
  <w:num w:numId="308">
    <w:abstractNumId w:val="34"/>
  </w:num>
  <w:num w:numId="309">
    <w:abstractNumId w:val="34"/>
  </w:num>
  <w:num w:numId="310">
    <w:abstractNumId w:val="34"/>
    <w:lvlOverride w:ilvl="0">
      <w:startOverride w:val="1"/>
    </w:lvlOverride>
  </w:num>
  <w:num w:numId="311">
    <w:abstractNumId w:val="34"/>
  </w:num>
  <w:num w:numId="312">
    <w:abstractNumId w:val="34"/>
  </w:num>
  <w:num w:numId="313">
    <w:abstractNumId w:val="34"/>
    <w:lvlOverride w:ilvl="0">
      <w:startOverride w:val="1"/>
    </w:lvlOverride>
  </w:num>
  <w:num w:numId="314">
    <w:abstractNumId w:val="34"/>
  </w:num>
  <w:num w:numId="315">
    <w:abstractNumId w:val="34"/>
  </w:num>
  <w:num w:numId="316">
    <w:abstractNumId w:val="34"/>
  </w:num>
  <w:num w:numId="317">
    <w:abstractNumId w:val="34"/>
  </w:num>
  <w:num w:numId="318">
    <w:abstractNumId w:val="34"/>
    <w:lvlOverride w:ilvl="0">
      <w:startOverride w:val="1"/>
    </w:lvlOverride>
  </w:num>
  <w:num w:numId="319">
    <w:abstractNumId w:val="34"/>
  </w:num>
  <w:num w:numId="320">
    <w:abstractNumId w:val="34"/>
  </w:num>
  <w:num w:numId="321">
    <w:abstractNumId w:val="34"/>
  </w:num>
  <w:num w:numId="322">
    <w:abstractNumId w:val="34"/>
  </w:num>
  <w:num w:numId="323">
    <w:abstractNumId w:val="34"/>
  </w:num>
  <w:num w:numId="324">
    <w:abstractNumId w:val="34"/>
    <w:lvlOverride w:ilvl="0">
      <w:startOverride w:val="1"/>
    </w:lvlOverride>
  </w:num>
  <w:num w:numId="325">
    <w:abstractNumId w:val="34"/>
  </w:num>
  <w:num w:numId="326">
    <w:abstractNumId w:val="34"/>
  </w:num>
  <w:num w:numId="327">
    <w:abstractNumId w:val="34"/>
  </w:num>
  <w:num w:numId="328">
    <w:abstractNumId w:val="34"/>
    <w:lvlOverride w:ilvl="0">
      <w:startOverride w:val="1"/>
    </w:lvlOverride>
  </w:num>
  <w:num w:numId="329">
    <w:abstractNumId w:val="34"/>
  </w:num>
  <w:num w:numId="330">
    <w:abstractNumId w:val="34"/>
  </w:num>
  <w:num w:numId="331">
    <w:abstractNumId w:val="34"/>
  </w:num>
  <w:num w:numId="332">
    <w:abstractNumId w:val="34"/>
    <w:lvlOverride w:ilvl="0">
      <w:startOverride w:val="1"/>
    </w:lvlOverride>
  </w:num>
  <w:num w:numId="333">
    <w:abstractNumId w:val="34"/>
  </w:num>
  <w:num w:numId="334">
    <w:abstractNumId w:val="34"/>
  </w:num>
  <w:num w:numId="335">
    <w:abstractNumId w:val="34"/>
    <w:lvlOverride w:ilvl="0">
      <w:startOverride w:val="1"/>
    </w:lvlOverride>
  </w:num>
  <w:num w:numId="336">
    <w:abstractNumId w:val="34"/>
  </w:num>
  <w:num w:numId="337">
    <w:abstractNumId w:val="34"/>
  </w:num>
  <w:num w:numId="338">
    <w:abstractNumId w:val="34"/>
  </w:num>
  <w:num w:numId="339">
    <w:abstractNumId w:val="34"/>
    <w:lvlOverride w:ilvl="0">
      <w:startOverride w:val="1"/>
    </w:lvlOverride>
  </w:num>
  <w:num w:numId="340">
    <w:abstractNumId w:val="34"/>
  </w:num>
  <w:num w:numId="341">
    <w:abstractNumId w:val="34"/>
  </w:num>
  <w:num w:numId="342">
    <w:abstractNumId w:val="34"/>
    <w:lvlOverride w:ilvl="0">
      <w:startOverride w:val="1"/>
    </w:lvlOverride>
  </w:num>
  <w:num w:numId="343">
    <w:abstractNumId w:val="34"/>
  </w:num>
  <w:num w:numId="344">
    <w:abstractNumId w:val="34"/>
    <w:lvlOverride w:ilvl="0">
      <w:startOverride w:val="1"/>
    </w:lvlOverride>
  </w:num>
  <w:num w:numId="345">
    <w:abstractNumId w:val="34"/>
  </w:num>
  <w:num w:numId="346">
    <w:abstractNumId w:val="34"/>
  </w:num>
  <w:num w:numId="347">
    <w:abstractNumId w:val="34"/>
    <w:lvlOverride w:ilvl="0">
      <w:startOverride w:val="1"/>
    </w:lvlOverride>
  </w:num>
  <w:num w:numId="348">
    <w:abstractNumId w:val="34"/>
  </w:num>
  <w:num w:numId="349">
    <w:abstractNumId w:val="34"/>
  </w:num>
  <w:num w:numId="350">
    <w:abstractNumId w:val="34"/>
    <w:lvlOverride w:ilvl="0">
      <w:startOverride w:val="1"/>
    </w:lvlOverride>
  </w:num>
  <w:num w:numId="351">
    <w:abstractNumId w:val="34"/>
  </w:num>
  <w:num w:numId="352">
    <w:abstractNumId w:val="34"/>
  </w:num>
  <w:num w:numId="353">
    <w:abstractNumId w:val="34"/>
    <w:lvlOverride w:ilvl="0">
      <w:startOverride w:val="1"/>
    </w:lvlOverride>
  </w:num>
  <w:num w:numId="354">
    <w:abstractNumId w:val="34"/>
  </w:num>
  <w:num w:numId="355">
    <w:abstractNumId w:val="34"/>
  </w:num>
  <w:num w:numId="356">
    <w:abstractNumId w:val="34"/>
  </w:num>
  <w:num w:numId="357">
    <w:abstractNumId w:val="34"/>
    <w:lvlOverride w:ilvl="0">
      <w:startOverride w:val="1"/>
    </w:lvlOverride>
  </w:num>
  <w:num w:numId="358">
    <w:abstractNumId w:val="34"/>
  </w:num>
  <w:num w:numId="359">
    <w:abstractNumId w:val="34"/>
  </w:num>
  <w:num w:numId="360">
    <w:abstractNumId w:val="34"/>
  </w:num>
  <w:num w:numId="361">
    <w:abstractNumId w:val="34"/>
    <w:lvlOverride w:ilvl="0">
      <w:startOverride w:val="1"/>
    </w:lvlOverride>
  </w:num>
  <w:num w:numId="362">
    <w:abstractNumId w:val="34"/>
  </w:num>
  <w:num w:numId="363">
    <w:abstractNumId w:val="34"/>
    <w:lvlOverride w:ilvl="0">
      <w:startOverride w:val="1"/>
    </w:lvlOverride>
  </w:num>
  <w:num w:numId="364">
    <w:abstractNumId w:val="34"/>
  </w:num>
  <w:num w:numId="365">
    <w:abstractNumId w:val="34"/>
  </w:num>
  <w:num w:numId="366">
    <w:abstractNumId w:val="34"/>
    <w:lvlOverride w:ilvl="0">
      <w:startOverride w:val="1"/>
    </w:lvlOverride>
  </w:num>
  <w:num w:numId="367">
    <w:abstractNumId w:val="34"/>
  </w:num>
  <w:num w:numId="368">
    <w:abstractNumId w:val="34"/>
  </w:num>
  <w:num w:numId="369">
    <w:abstractNumId w:val="34"/>
    <w:lvlOverride w:ilvl="0">
      <w:startOverride w:val="1"/>
    </w:lvlOverride>
  </w:num>
  <w:num w:numId="370">
    <w:abstractNumId w:val="34"/>
  </w:num>
  <w:num w:numId="371">
    <w:abstractNumId w:val="34"/>
  </w:num>
  <w:num w:numId="372">
    <w:abstractNumId w:val="34"/>
    <w:lvlOverride w:ilvl="0">
      <w:startOverride w:val="1"/>
    </w:lvlOverride>
  </w:num>
  <w:num w:numId="373">
    <w:abstractNumId w:val="34"/>
  </w:num>
  <w:num w:numId="374">
    <w:abstractNumId w:val="34"/>
  </w:num>
  <w:num w:numId="375">
    <w:abstractNumId w:val="34"/>
  </w:num>
  <w:num w:numId="376">
    <w:abstractNumId w:val="34"/>
  </w:num>
  <w:num w:numId="377">
    <w:abstractNumId w:val="34"/>
  </w:num>
  <w:num w:numId="378">
    <w:abstractNumId w:val="34"/>
  </w:num>
  <w:num w:numId="379">
    <w:abstractNumId w:val="34"/>
    <w:lvlOverride w:ilvl="0">
      <w:startOverride w:val="1"/>
    </w:lvlOverride>
  </w:num>
  <w:num w:numId="380">
    <w:abstractNumId w:val="34"/>
  </w:num>
  <w:num w:numId="381">
    <w:abstractNumId w:val="34"/>
  </w:num>
  <w:num w:numId="382">
    <w:abstractNumId w:val="34"/>
  </w:num>
  <w:num w:numId="383">
    <w:abstractNumId w:val="34"/>
  </w:num>
  <w:num w:numId="384">
    <w:abstractNumId w:val="34"/>
  </w:num>
  <w:num w:numId="385">
    <w:abstractNumId w:val="34"/>
  </w:num>
  <w:num w:numId="386">
    <w:abstractNumId w:val="34"/>
    <w:lvlOverride w:ilvl="0">
      <w:startOverride w:val="1"/>
    </w:lvlOverride>
  </w:num>
  <w:num w:numId="387">
    <w:abstractNumId w:val="34"/>
  </w:num>
  <w:num w:numId="388">
    <w:abstractNumId w:val="34"/>
    <w:lvlOverride w:ilvl="0">
      <w:startOverride w:val="1"/>
    </w:lvlOverride>
  </w:num>
  <w:num w:numId="389">
    <w:abstractNumId w:val="34"/>
  </w:num>
  <w:num w:numId="390">
    <w:abstractNumId w:val="34"/>
  </w:num>
  <w:num w:numId="391">
    <w:abstractNumId w:val="34"/>
  </w:num>
  <w:num w:numId="392">
    <w:abstractNumId w:val="34"/>
  </w:num>
  <w:num w:numId="393">
    <w:abstractNumId w:val="34"/>
    <w:lvlOverride w:ilvl="0">
      <w:startOverride w:val="1"/>
    </w:lvlOverride>
  </w:num>
  <w:num w:numId="394">
    <w:abstractNumId w:val="28"/>
    <w:lvlOverride w:ilvl="0">
      <w:startOverride w:val="1"/>
    </w:lvlOverride>
    <w:lvlOverride w:ilvl="1">
      <w:startOverride w:val="1"/>
    </w:lvlOverride>
  </w:num>
  <w:num w:numId="395">
    <w:abstractNumId w:val="28"/>
  </w:num>
  <w:num w:numId="396">
    <w:abstractNumId w:val="28"/>
    <w:lvlOverride w:ilvl="0">
      <w:startOverride w:val="1"/>
    </w:lvlOverride>
    <w:lvlOverride w:ilvl="1">
      <w:startOverride w:val="1"/>
    </w:lvlOverride>
  </w:num>
  <w:num w:numId="397">
    <w:abstractNumId w:val="34"/>
    <w:lvlOverride w:ilvl="0">
      <w:startOverride w:val="1"/>
    </w:lvlOverride>
  </w:num>
  <w:num w:numId="398">
    <w:abstractNumId w:val="34"/>
  </w:num>
  <w:num w:numId="399">
    <w:abstractNumId w:val="34"/>
  </w:num>
  <w:num w:numId="400">
    <w:abstractNumId w:val="34"/>
    <w:lvlOverride w:ilvl="0">
      <w:startOverride w:val="1"/>
    </w:lvlOverride>
  </w:num>
  <w:num w:numId="401">
    <w:abstractNumId w:val="34"/>
    <w:lvlOverride w:ilvl="0">
      <w:startOverride w:val="1"/>
    </w:lvlOverride>
    <w:lvlOverride w:ilvl="1">
      <w:startOverride w:val="1"/>
    </w:lvlOverride>
  </w:num>
  <w:num w:numId="402">
    <w:abstractNumId w:val="34"/>
  </w:num>
  <w:num w:numId="403">
    <w:abstractNumId w:val="34"/>
  </w:num>
  <w:num w:numId="404">
    <w:abstractNumId w:val="34"/>
  </w:num>
  <w:num w:numId="405">
    <w:abstractNumId w:val="34"/>
  </w:num>
  <w:num w:numId="406">
    <w:abstractNumId w:val="34"/>
    <w:lvlOverride w:ilvl="0">
      <w:startOverride w:val="1"/>
    </w:lvlOverride>
  </w:num>
  <w:num w:numId="407">
    <w:abstractNumId w:val="34"/>
  </w:num>
  <w:num w:numId="408">
    <w:abstractNumId w:val="34"/>
  </w:num>
  <w:num w:numId="409">
    <w:abstractNumId w:val="34"/>
    <w:lvlOverride w:ilvl="0">
      <w:startOverride w:val="1"/>
    </w:lvlOverride>
  </w:num>
  <w:num w:numId="410">
    <w:abstractNumId w:val="34"/>
  </w:num>
  <w:num w:numId="411">
    <w:abstractNumId w:val="34"/>
  </w:num>
  <w:num w:numId="412">
    <w:abstractNumId w:val="34"/>
    <w:lvlOverride w:ilvl="0">
      <w:startOverride w:val="1"/>
    </w:lvlOverride>
  </w:num>
  <w:num w:numId="413">
    <w:abstractNumId w:val="34"/>
  </w:num>
  <w:num w:numId="414">
    <w:abstractNumId w:val="34"/>
  </w:num>
  <w:num w:numId="415">
    <w:abstractNumId w:val="34"/>
  </w:num>
  <w:num w:numId="416">
    <w:abstractNumId w:val="34"/>
    <w:lvlOverride w:ilvl="0">
      <w:startOverride w:val="1"/>
    </w:lvlOverride>
  </w:num>
  <w:num w:numId="417">
    <w:abstractNumId w:val="34"/>
  </w:num>
  <w:num w:numId="418">
    <w:abstractNumId w:val="34"/>
  </w:num>
  <w:num w:numId="419">
    <w:abstractNumId w:val="34"/>
  </w:num>
  <w:num w:numId="420">
    <w:abstractNumId w:val="34"/>
  </w:num>
  <w:num w:numId="421">
    <w:abstractNumId w:val="34"/>
  </w:num>
  <w:num w:numId="422">
    <w:abstractNumId w:val="34"/>
  </w:num>
  <w:num w:numId="423">
    <w:abstractNumId w:val="34"/>
    <w:lvlOverride w:ilvl="0">
      <w:startOverride w:val="1"/>
    </w:lvlOverride>
  </w:num>
  <w:num w:numId="424">
    <w:abstractNumId w:val="34"/>
  </w:num>
  <w:num w:numId="425">
    <w:abstractNumId w:val="34"/>
  </w:num>
  <w:num w:numId="426">
    <w:abstractNumId w:val="34"/>
    <w:lvlOverride w:ilvl="0">
      <w:startOverride w:val="1"/>
    </w:lvlOverride>
  </w:num>
  <w:num w:numId="427">
    <w:abstractNumId w:val="34"/>
  </w:num>
  <w:num w:numId="428">
    <w:abstractNumId w:val="34"/>
    <w:lvlOverride w:ilvl="0">
      <w:startOverride w:val="1"/>
    </w:lvlOverride>
  </w:num>
  <w:num w:numId="429">
    <w:abstractNumId w:val="34"/>
  </w:num>
  <w:num w:numId="430">
    <w:abstractNumId w:val="34"/>
    <w:lvlOverride w:ilvl="0">
      <w:startOverride w:val="1"/>
    </w:lvlOverride>
  </w:num>
  <w:num w:numId="431">
    <w:abstractNumId w:val="28"/>
    <w:lvlOverride w:ilvl="0">
      <w:startOverride w:val="1"/>
    </w:lvlOverride>
    <w:lvlOverride w:ilvl="1">
      <w:startOverride w:val="1"/>
    </w:lvlOverride>
  </w:num>
  <w:num w:numId="432">
    <w:abstractNumId w:val="34"/>
  </w:num>
  <w:num w:numId="433">
    <w:abstractNumId w:val="28"/>
    <w:lvlOverride w:ilvl="0">
      <w:startOverride w:val="1"/>
    </w:lvlOverride>
    <w:lvlOverride w:ilvl="1">
      <w:startOverride w:val="1"/>
    </w:lvlOverride>
  </w:num>
  <w:num w:numId="434">
    <w:abstractNumId w:val="28"/>
  </w:num>
  <w:num w:numId="435">
    <w:abstractNumId w:val="28"/>
    <w:lvlOverride w:ilvl="0">
      <w:startOverride w:val="1"/>
    </w:lvlOverride>
    <w:lvlOverride w:ilvl="1">
      <w:startOverride w:val="1"/>
    </w:lvlOverride>
  </w:num>
  <w:num w:numId="436">
    <w:abstractNumId w:val="34"/>
    <w:lvlOverride w:ilvl="0">
      <w:startOverride w:val="1"/>
    </w:lvlOverride>
  </w:num>
  <w:num w:numId="437">
    <w:abstractNumId w:val="34"/>
  </w:num>
  <w:num w:numId="438">
    <w:abstractNumId w:val="34"/>
  </w:num>
  <w:num w:numId="439">
    <w:abstractNumId w:val="34"/>
  </w:num>
  <w:num w:numId="440">
    <w:abstractNumId w:val="34"/>
  </w:num>
  <w:num w:numId="441">
    <w:abstractNumId w:val="34"/>
  </w:num>
  <w:num w:numId="442">
    <w:abstractNumId w:val="34"/>
    <w:lvlOverride w:ilvl="0">
      <w:startOverride w:val="1"/>
    </w:lvlOverride>
  </w:num>
  <w:num w:numId="443">
    <w:abstractNumId w:val="34"/>
  </w:num>
  <w:num w:numId="444">
    <w:abstractNumId w:val="34"/>
  </w:num>
  <w:num w:numId="445">
    <w:abstractNumId w:val="34"/>
    <w:lvlOverride w:ilvl="0">
      <w:startOverride w:val="1"/>
    </w:lvlOverride>
  </w:num>
  <w:num w:numId="446">
    <w:abstractNumId w:val="34"/>
  </w:num>
  <w:num w:numId="447">
    <w:abstractNumId w:val="34"/>
  </w:num>
  <w:num w:numId="448">
    <w:abstractNumId w:val="34"/>
  </w:num>
  <w:num w:numId="449">
    <w:abstractNumId w:val="34"/>
  </w:num>
  <w:num w:numId="450">
    <w:abstractNumId w:val="34"/>
    <w:lvlOverride w:ilvl="0">
      <w:startOverride w:val="1"/>
    </w:lvlOverride>
  </w:num>
  <w:num w:numId="451">
    <w:abstractNumId w:val="34"/>
  </w:num>
  <w:num w:numId="452">
    <w:abstractNumId w:val="34"/>
  </w:num>
  <w:num w:numId="453">
    <w:abstractNumId w:val="34"/>
  </w:num>
  <w:num w:numId="454">
    <w:abstractNumId w:val="34"/>
  </w:num>
  <w:num w:numId="455">
    <w:abstractNumId w:val="34"/>
  </w:num>
  <w:num w:numId="456">
    <w:abstractNumId w:val="34"/>
  </w:num>
  <w:num w:numId="457">
    <w:abstractNumId w:val="34"/>
  </w:num>
  <w:num w:numId="458">
    <w:abstractNumId w:val="34"/>
    <w:lvlOverride w:ilvl="0">
      <w:startOverride w:val="1"/>
    </w:lvlOverride>
  </w:num>
  <w:num w:numId="459">
    <w:abstractNumId w:val="34"/>
  </w:num>
  <w:num w:numId="460">
    <w:abstractNumId w:val="34"/>
  </w:num>
  <w:num w:numId="461">
    <w:abstractNumId w:val="34"/>
  </w:num>
  <w:num w:numId="462">
    <w:abstractNumId w:val="34"/>
  </w:num>
  <w:num w:numId="463">
    <w:abstractNumId w:val="34"/>
  </w:num>
  <w:num w:numId="464">
    <w:abstractNumId w:val="34"/>
  </w:num>
  <w:num w:numId="465">
    <w:abstractNumId w:val="34"/>
    <w:lvlOverride w:ilvl="0">
      <w:startOverride w:val="1"/>
    </w:lvlOverride>
  </w:num>
  <w:num w:numId="466">
    <w:abstractNumId w:val="34"/>
  </w:num>
  <w:num w:numId="467">
    <w:abstractNumId w:val="34"/>
  </w:num>
  <w:num w:numId="468">
    <w:abstractNumId w:val="34"/>
  </w:num>
  <w:num w:numId="469">
    <w:abstractNumId w:val="34"/>
  </w:num>
  <w:num w:numId="470">
    <w:abstractNumId w:val="34"/>
  </w:num>
  <w:num w:numId="471">
    <w:abstractNumId w:val="34"/>
    <w:lvlOverride w:ilvl="0">
      <w:startOverride w:val="1"/>
    </w:lvlOverride>
  </w:num>
  <w:num w:numId="472">
    <w:abstractNumId w:val="34"/>
  </w:num>
  <w:num w:numId="473">
    <w:abstractNumId w:val="34"/>
  </w:num>
  <w:num w:numId="474">
    <w:abstractNumId w:val="34"/>
  </w:num>
  <w:num w:numId="475">
    <w:abstractNumId w:val="34"/>
    <w:lvlOverride w:ilvl="0">
      <w:startOverride w:val="1"/>
    </w:lvlOverride>
  </w:num>
  <w:num w:numId="476">
    <w:abstractNumId w:val="34"/>
  </w:num>
  <w:num w:numId="477">
    <w:abstractNumId w:val="34"/>
  </w:num>
  <w:num w:numId="478">
    <w:abstractNumId w:val="34"/>
  </w:num>
  <w:num w:numId="479">
    <w:abstractNumId w:val="34"/>
    <w:lvlOverride w:ilvl="0">
      <w:startOverride w:val="1"/>
    </w:lvlOverride>
  </w:num>
  <w:num w:numId="480">
    <w:abstractNumId w:val="34"/>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4"/>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8"/>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3"/>
      </w:numPr>
      <w:spacing w:lineRule="atLeast" w:line="216" w:before="60" w:after="120"/>
    </w:pPr>
    <w:rPr>
      <w:rFonts w:eastAsia="MS Mincho" w:cs="Times New Roman"/>
      <w:spacing w:val="-2"/>
      <w:szCs w:val="20"/>
      <w:lang w:eastAsia="de-DE"/>
    </w:rPr>
  </w:style>
  <w:style w:type="paragraph" w:styleId="Comment">
    <w:name w:val="Comment"/>
    <w:basedOn w:val="Normal"/>
    <w:qForma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comments" Target="comments.xml"/><Relationship Id="rId14" Type="http://schemas.microsoft.com/office/2011/relationships/commentsExtended" Target="commentsExtended.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5541</TotalTime>
  <Application>LibreOffice/24.8.4.2$Linux_X86_64 LibreOffice_project/480$Build-2</Application>
  <AppVersion>15.0000</AppVersion>
  <Pages>46</Pages>
  <Words>13743</Words>
  <Characters>99359</Characters>
  <CharactersWithSpaces>111535</CharactersWithSpaces>
  <Paragraphs>1153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2025-01-23T20:51:30Z</cp:lastPrinted>
  <dcterms:modified xsi:type="dcterms:W3CDTF">2025-01-29T18:33:06Z</dcterms:modified>
  <cp:revision>425</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