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3567_4007284621"/>
      <w:bookmarkEnd w:id="2"/>
      <w:r>
        <w:rPr/>
        <w:t>IT-Ressourcen</w:t>
      </w:r>
    </w:p>
    <w:p>
      <w:pPr>
        <w:pStyle w:val="Heading3"/>
        <w:numPr>
          <w:ilvl w:val="2"/>
          <w:numId w:val="2"/>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 xml:space="preserve">IT-Ressource, bei der </w:t>
            </w:r>
            <w:r>
              <w:rPr/>
              <w:t>ein Sicherheitsvorfall</w:t>
            </w:r>
            <w:r>
              <w:rPr/>
              <w:t xml:space="preserve">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2"/>
        </w:numPr>
        <w:rPr/>
      </w:pPr>
      <w:bookmarkStart w:id="4" w:name="__RefHeading___Toc15925_1742933099"/>
      <w:bookmarkEnd w:id="4"/>
      <w:r>
        <w:rPr/>
        <w:t xml:space="preserve">Maßnahmen </w:t>
      </w:r>
      <w:r>
        <w:rPr/>
        <w:t>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2"/>
        </w:numPr>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2"/>
        <w:numPr>
          <w:ilvl w:val="1"/>
          <w:numId w:val="2"/>
        </w:numPr>
        <w:spacing w:before="0" w:after="120"/>
        <w:ind w:hanging="0" w:start="0"/>
        <w:rPr/>
      </w:pPr>
      <w:bookmarkStart w:id="7" w:name="__RefHeading___Toc13569_4007284621"/>
      <w:bookmarkEnd w:id="7"/>
      <w:r>
        <w:rPr/>
        <w:t>Lieferanten</w:t>
      </w:r>
    </w:p>
    <w:p>
      <w:pPr>
        <w:pStyle w:val="Heading3"/>
        <w:numPr>
          <w:ilvl w:val="2"/>
          <w:numId w:val="2"/>
        </w:numPr>
        <w:rPr/>
      </w:pPr>
      <w:bookmarkStart w:id="8" w:name="__RefHeading___Toc12974_1742933099_Copy_"/>
      <w:bookmarkEnd w:id="8"/>
      <w:r>
        <w:rPr/>
        <w:t xml:space="preserve">Unterteilung der </w:t>
      </w:r>
      <w:r>
        <w:rPr/>
        <w:t>Lieferanten</w:t>
      </w:r>
    </w:p>
    <w:p>
      <w:pPr>
        <w:pStyle w:val="BodyText"/>
        <w:rPr/>
      </w:pPr>
      <w:r>
        <w:rPr/>
        <w:t xml:space="preserve">Die VdS 10100 unterteilt aktuell die </w:t>
      </w:r>
      <w:r>
        <w:rPr/>
        <w:t>Lieferanten</w:t>
      </w:r>
      <w:r>
        <w:rPr/>
        <w:t xml:space="preserve"> in vier </w:t>
      </w:r>
      <w:r>
        <w:rPr/>
        <w:t>Schutzk</w:t>
      </w:r>
      <w:r>
        <w:rPr/>
        <w:t>ategorien:</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50"/>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50" w:type="dxa"/>
            <w:vMerge w:val="restart"/>
            <w:tcBorders/>
            <w:vAlign w:val="center"/>
          </w:tcPr>
          <w:p>
            <w:pPr>
              <w:pStyle w:val="TableContents"/>
              <w:jc w:val="center"/>
              <w:rPr/>
            </w:pPr>
            <w:r>
              <w:rPr/>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r>
          </w:p>
        </w:tc>
        <w:tc>
          <w:tcPr>
            <w:tcW w:w="1424" w:type="dxa"/>
            <w:tcBorders>
              <w:start w:val="single" w:sz="4" w:space="0" w:color="000000"/>
              <w:bottom w:val="single" w:sz="4" w:space="0" w:color="000000"/>
            </w:tcBorders>
            <w:shd w:fill="DDDDDD" w:val="clear"/>
          </w:tcPr>
          <w:p>
            <w:pPr>
              <w:pStyle w:val="TableContents"/>
              <w:jc w:val="center"/>
              <w:rPr>
                <w:b/>
                <w:bCs/>
              </w:rPr>
            </w:pPr>
            <w:r>
              <w:rPr/>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Lieferanten</w:t>
            </w:r>
            <w:r>
              <w:rPr/>
              <w:t>, bei de</w:t>
            </w:r>
            <w:r>
              <w:rPr/>
              <w:t>nen</w:t>
            </w:r>
            <w:r>
              <w:rPr/>
              <w:t xml:space="preserve"> </w:t>
            </w:r>
            <w:r>
              <w:rPr/>
              <w:t>ein Sicherheitsvorfall</w:t>
            </w:r>
            <w:r>
              <w:rPr/>
              <w:t xml:space="preserve"> nur zu einem vernachlässigbaren Schaden führen kann (Risikoakzeptanzgrenze, siehe Anhang A 2) und die </w:t>
            </w:r>
            <w:r>
              <w:rPr/>
              <w:t xml:space="preserve">keinen Zugriff auf die </w:t>
            </w:r>
            <w:r>
              <w:rPr/>
              <w:t xml:space="preserve">IT-Infrastruktur </w:t>
            </w:r>
            <w:r>
              <w:rPr/>
              <w:t>der Organisation besitzen.</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Alle</w:t>
            </w:r>
            <w:r>
              <w:rPr/>
              <w:t xml:space="preserve"> Lieferanten</w:t>
            </w:r>
            <w:r>
              <w:rPr/>
              <w:t xml:space="preserve"> mit Ausnahme von (1).</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(4) „besonders </w:t>
            </w:r>
            <w:r>
              <w:rPr/>
              <w:t>sensibel</w:t>
            </w:r>
            <w:r>
              <w:rPr/>
              <w:t>“</w:t>
            </w:r>
          </w:p>
        </w:tc>
        <w:tc>
          <w:tcPr>
            <w:tcW w:w="3061"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0.4.</w:t>
      </w:r>
      <w:r>
        <w:rPr/>
        <w:t>9</w:t>
      </w:r>
      <w:r>
        <w:rPr/>
        <w:t xml:space="preserve"> vom 0</w:t>
      </w:r>
      <w:r>
        <w:rPr/>
        <w:t>6</w:t>
      </w:r>
      <w:r>
        <w:rPr/>
        <w:t>.09.2024</w:t>
      </w:r>
    </w:p>
    <w:p>
      <w:pPr>
        <w:pStyle w:val="Heading1"/>
        <w:numPr>
          <w:ilvl w:val="0"/>
          <w:numId w:val="2"/>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2"/>
            <w:rPr/>
          </w:pPr>
          <w:hyperlink w:anchor="__RefHeading___Toc13569_4007284621">
            <w:r>
              <w:rPr>
                <w:rStyle w:val="IndexLink"/>
              </w:rPr>
              <w:t>Lieferanten</w:t>
              <w:tab/>
              <w:t>7</w:t>
            </w:r>
          </w:hyperlink>
        </w:p>
        <w:p>
          <w:pPr>
            <w:pStyle w:val="TOC3"/>
            <w:rPr/>
          </w:pPr>
          <w:hyperlink w:anchor="__RefHeading___Toc12974_1742933099_Copy_">
            <w:r>
              <w:rPr>
                <w:rStyle w:val="IndexLink"/>
              </w:rPr>
              <w:t>Unterteilung der Lieferanten</w:t>
              <w:tab/>
              <w:t>7</w:t>
            </w:r>
          </w:hyperlink>
        </w:p>
        <w:p>
          <w:pPr>
            <w:pStyle w:val="TOC1"/>
            <w:rPr/>
          </w:pPr>
          <w:hyperlink w:anchor="__RefHeading___vorlage_fuer_assessment_d">
            <w:r>
              <w:rPr>
                <w:rStyle w:val="IndexLink"/>
              </w:rPr>
              <w:t>VdS 10100, Version 0.4.9 vom 06.09.2024</w:t>
              <w:tab/>
              <w:t>8</w:t>
            </w:r>
          </w:hyperlink>
        </w:p>
        <w:p>
          <w:pPr>
            <w:pStyle w:val="TOC1"/>
            <w:rPr/>
          </w:pPr>
          <w:hyperlink w:anchor="__RefHeading___vds-richtlinien_fuer_die_">
            <w:r>
              <w:rPr>
                <w:rStyle w:val="IndexLink"/>
              </w:rPr>
              <w:t>0 VdS-Richtlinien für die Informationsverarbeitung</w:t>
              <w:tab/>
              <w:t>8</w:t>
            </w:r>
          </w:hyperlink>
        </w:p>
        <w:p>
          <w:pPr>
            <w:pStyle w:val="TOC1"/>
            <w:rPr/>
          </w:pPr>
          <w:hyperlink w:anchor="__RefHeading___informationssicherheitsma">
            <w:r>
              <w:rPr>
                <w:rStyle w:val="IndexLink"/>
              </w:rPr>
              <w:t>Strukturierte Informationssicherheit gemäß NIS-2</w:t>
              <w:tab/>
              <w:t>8</w:t>
            </w:r>
          </w:hyperlink>
        </w:p>
        <w:p>
          <w:pPr>
            <w:pStyle w:val="TOC1"/>
            <w:rPr/>
          </w:pPr>
          <w:hyperlink w:anchor="__RefHeading___allgemeines_5">
            <w:r>
              <w:rPr>
                <w:rStyle w:val="IndexLink"/>
              </w:rPr>
              <w:t>1 Allgemeines</w:t>
              <w:tab/>
              <w:t>13</w:t>
            </w:r>
          </w:hyperlink>
        </w:p>
        <w:p>
          <w:pPr>
            <w:pStyle w:val="TOC2"/>
            <w:rPr/>
          </w:pPr>
          <w:hyperlink w:anchor="__RefHeading___anwendungshinweise_6">
            <w:r>
              <w:rPr>
                <w:rStyle w:val="IndexLink"/>
              </w:rPr>
              <w:t>1.1 Anwendungshinweise</w:t>
              <w:tab/>
              <w:t>13</w:t>
            </w:r>
          </w:hyperlink>
        </w:p>
        <w:p>
          <w:pPr>
            <w:pStyle w:val="TOC2"/>
            <w:rPr/>
          </w:pPr>
          <w:hyperlink w:anchor="__RefHeading___anwendungs-_und_geltungsb">
            <w:r>
              <w:rPr>
                <w:rStyle w:val="IndexLink"/>
              </w:rPr>
              <w:t>1.2 Anwendungs- und Geltungsbereich</w:t>
              <w:tab/>
              <w:t>15</w:t>
            </w:r>
          </w:hyperlink>
        </w:p>
        <w:p>
          <w:pPr>
            <w:pStyle w:val="TOC3"/>
            <w:rPr/>
          </w:pPr>
          <w:hyperlink w:anchor="__RefHeading___Toc49840_1658012805">
            <w:r>
              <w:rPr>
                <w:rStyle w:val="IndexLink"/>
              </w:rPr>
              <w:t>1.2.1 Analyse und Registrierung</w:t>
              <w:tab/>
              <w:t>15</w:t>
            </w:r>
          </w:hyperlink>
        </w:p>
        <w:p>
          <w:pPr>
            <w:pStyle w:val="TOC2"/>
            <w:rPr/>
          </w:pPr>
          <w:hyperlink w:anchor="__RefHeading___gueltigkeit_8">
            <w:r>
              <w:rPr>
                <w:rStyle w:val="IndexLink"/>
              </w:rPr>
              <w:t>1.3 Gültigkeit</w:t>
              <w:tab/>
              <w:t>16</w:t>
            </w:r>
          </w:hyperlink>
        </w:p>
        <w:p>
          <w:pPr>
            <w:pStyle w:val="TOC1"/>
            <w:rPr/>
          </w:pPr>
          <w:hyperlink w:anchor="__RefHeading___normative_verweise_9">
            <w:r>
              <w:rPr>
                <w:rStyle w:val="IndexLink"/>
              </w:rPr>
              <w:t>2 Normative Verweise</w:t>
              <w:tab/>
              <w:t>17</w:t>
            </w:r>
          </w:hyperlink>
        </w:p>
        <w:p>
          <w:pPr>
            <w:pStyle w:val="TOC1"/>
            <w:rPr/>
          </w:pPr>
          <w:hyperlink w:anchor="__RefHeading___begriffe_10">
            <w:r>
              <w:rPr>
                <w:rStyle w:val="IndexLink"/>
              </w:rPr>
              <w:t>3 Begriffe</w:t>
              <w:tab/>
              <w:t>18</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28</w:t>
            </w:r>
          </w:hyperlink>
        </w:p>
        <w:p>
          <w:pPr>
            <w:pStyle w:val="TOC3"/>
            <w:rPr/>
          </w:pPr>
          <w:hyperlink w:anchor="__RefHeading___zuweisung_und_dokumentati">
            <w:r>
              <w:rPr>
                <w:rStyle w:val="IndexLink"/>
              </w:rPr>
              <w:t>4.1.1 Zuweisung und Dokumentation</w:t>
              <w:tab/>
              <w:t>28</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29</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30</w:t>
            </w:r>
          </w:hyperlink>
        </w:p>
        <w:p>
          <w:pPr>
            <w:pStyle w:val="TOC2"/>
            <w:rPr/>
          </w:pPr>
          <w:hyperlink w:anchor="__RefHeading___informationssicherheitsbe">
            <w:r>
              <w:rPr>
                <w:rStyle w:val="IndexLink"/>
              </w:rPr>
              <w:t>4.3 Informationssicherheitsbeauftragter (ISB)</w:t>
              <w:tab/>
              <w:t>30</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32</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33</w:t>
            </w:r>
          </w:hyperlink>
        </w:p>
        <w:p>
          <w:pPr>
            <w:pStyle w:val="TOC2"/>
            <w:rPr/>
          </w:pPr>
          <w:hyperlink w:anchor="__RefHeading___mitarbeiter_23">
            <w:r>
              <w:rPr>
                <w:rStyle w:val="IndexLink"/>
              </w:rPr>
              <w:t>4.8 Mitarbeiter</w:t>
              <w:tab/>
              <w:t>33</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33</w:t>
            </w:r>
          </w:hyperlink>
        </w:p>
        <w:p>
          <w:pPr>
            <w:pStyle w:val="TOC1"/>
            <w:rPr/>
          </w:pPr>
          <w:hyperlink w:anchor="__RefHeading___leitlinie_zur_information">
            <w:r>
              <w:rPr>
                <w:rStyle w:val="IndexLink"/>
              </w:rPr>
              <w:t>5 Leitlinie zur Informationssicherheit (IS-Leitlinie)</w:t>
              <w:tab/>
              <w:t>34</w:t>
            </w:r>
          </w:hyperlink>
        </w:p>
        <w:p>
          <w:pPr>
            <w:pStyle w:val="TOC2"/>
            <w:rPr/>
          </w:pPr>
          <w:hyperlink w:anchor="__RefHeading___allgemeine_anforderungen_">
            <w:r>
              <w:rPr>
                <w:rStyle w:val="IndexLink"/>
              </w:rPr>
              <w:t>5.1 Allgemeine Anforderungen</w:t>
              <w:tab/>
              <w:t>34</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35</w:t>
            </w:r>
          </w:hyperlink>
        </w:p>
        <w:p>
          <w:pPr>
            <w:pStyle w:val="TOC2"/>
            <w:rPr/>
          </w:pPr>
          <w:hyperlink w:anchor="__RefHeading___allgemeine_anforderungen1">
            <w:r>
              <w:rPr>
                <w:rStyle w:val="IndexLink"/>
              </w:rPr>
              <w:t>6.1 Allgemeine Anforderungen</w:t>
              <w:tab/>
              <w:t>35</w:t>
            </w:r>
          </w:hyperlink>
        </w:p>
        <w:p>
          <w:pPr>
            <w:pStyle w:val="TOC2"/>
            <w:rPr/>
          </w:pPr>
          <w:hyperlink w:anchor="__RefHeading___inhalte_31">
            <w:r>
              <w:rPr>
                <w:rStyle w:val="IndexLink"/>
              </w:rPr>
              <w:t>6.2 Inhalte</w:t>
              <w:tab/>
              <w:t>36</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38</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39</w:t>
            </w:r>
          </w:hyperlink>
        </w:p>
        <w:p>
          <w:pPr>
            <w:pStyle w:val="TOC2"/>
            <w:rPr/>
          </w:pPr>
          <w:hyperlink w:anchor="__RefHeading___aufnahme_der_taetigkeit_4">
            <w:r>
              <w:rPr>
                <w:rStyle w:val="IndexLink"/>
              </w:rPr>
              <w:t>7.2 Aufnahme der Tätigkeit</w:t>
              <w:tab/>
              <w:t>39</w:t>
            </w:r>
          </w:hyperlink>
        </w:p>
        <w:p>
          <w:pPr>
            <w:pStyle w:val="TOC2"/>
            <w:rPr/>
          </w:pPr>
          <w:hyperlink w:anchor="__RefHeading___beendigung_oder_wechsel_d">
            <w:r>
              <w:rPr>
                <w:rStyle w:val="IndexLink"/>
              </w:rPr>
              <w:t>7.3 Beendigung oder Wechsel der Tätigkeit</w:t>
              <w:tab/>
              <w:t>40</w:t>
            </w:r>
          </w:hyperlink>
        </w:p>
        <w:p>
          <w:pPr>
            <w:pStyle w:val="TOC1"/>
            <w:rPr/>
          </w:pPr>
          <w:hyperlink w:anchor="__RefHeading___wissen_43">
            <w:r>
              <w:rPr>
                <w:rStyle w:val="IndexLink"/>
              </w:rPr>
              <w:t>8 Wissen</w:t>
              <w:tab/>
              <w:t>40</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43</w:t>
            </w:r>
          </w:hyperlink>
        </w:p>
        <w:p>
          <w:pPr>
            <w:pStyle w:val="TOC2"/>
            <w:rPr/>
          </w:pPr>
          <w:hyperlink w:anchor="__RefHeading___prozesse_47">
            <w:r>
              <w:rPr>
                <w:rStyle w:val="IndexLink"/>
              </w:rPr>
              <w:t>9.1 Prozesse</w:t>
              <w:tab/>
              <w:t>44</w:t>
            </w:r>
          </w:hyperlink>
        </w:p>
        <w:p>
          <w:pPr>
            <w:pStyle w:val="TOC2"/>
            <w:rPr/>
          </w:pPr>
          <w:hyperlink w:anchor="__RefHeading___Toc13589_4007284621">
            <w:r>
              <w:rPr>
                <w:rStyle w:val="IndexLink"/>
              </w:rPr>
              <w:t>9.2 IT-Ressourcen</w:t>
              <w:tab/>
              <w:t>44</w:t>
            </w:r>
          </w:hyperlink>
        </w:p>
        <w:p>
          <w:pPr>
            <w:pStyle w:val="TOC3"/>
            <w:rPr/>
          </w:pPr>
          <w:hyperlink w:anchor="__RefHeading___prozesse_47_Copy_1">
            <w:r>
              <w:rPr>
                <w:rStyle w:val="IndexLink"/>
              </w:rPr>
              <w:t>9.2.1 Wichtige IT-Ressourcen</w:t>
              <w:tab/>
              <w:t>45</w:t>
            </w:r>
          </w:hyperlink>
        </w:p>
        <w:p>
          <w:pPr>
            <w:pStyle w:val="TOC3"/>
            <w:rPr/>
          </w:pPr>
          <w:hyperlink w:anchor="__RefHeading___informationen_48">
            <w:r>
              <w:rPr>
                <w:rStyle w:val="IndexLink"/>
              </w:rPr>
              <w:t>9.2.2 Besonders schützenswerte Informationen</w:t>
              <w:tab/>
              <w:t>46</w:t>
            </w:r>
          </w:hyperlink>
        </w:p>
        <w:p>
          <w:pPr>
            <w:pStyle w:val="TOC3"/>
            <w:rPr/>
          </w:pPr>
          <w:hyperlink w:anchor="__RefHeading___it-ressourcen_49">
            <w:r>
              <w:rPr>
                <w:rStyle w:val="IndexLink"/>
              </w:rPr>
              <w:t>9.2.3 Besonders schützenswerte IT-Ressourcen</w:t>
              <w:tab/>
              <w:t>47</w:t>
            </w:r>
          </w:hyperlink>
        </w:p>
        <w:p>
          <w:pPr>
            <w:pStyle w:val="TOC3"/>
            <w:rPr/>
          </w:pPr>
          <w:hyperlink w:anchor="__RefHeading___prozesse_47_Copy_1_Copy_1">
            <w:r>
              <w:rPr>
                <w:rStyle w:val="IndexLink"/>
              </w:rPr>
              <w:t>9.2.4 Weitere Kategorien von IT-Ressourcen</w:t>
              <w:tab/>
              <w:t>49</w:t>
            </w:r>
          </w:hyperlink>
        </w:p>
        <w:p>
          <w:pPr>
            <w:pStyle w:val="TOC2"/>
            <w:rPr/>
          </w:pPr>
          <w:hyperlink w:anchor="__RefHeading___Toc13591_4007284621">
            <w:r>
              <w:rPr>
                <w:rStyle w:val="IndexLink"/>
              </w:rPr>
              <w:t>9.3 Lieferanten</w:t>
              <w:tab/>
              <w:t>49</w:t>
            </w:r>
          </w:hyperlink>
        </w:p>
        <w:p>
          <w:pPr>
            <w:pStyle w:val="TOC3"/>
            <w:rPr/>
          </w:pPr>
          <w:hyperlink w:anchor="__RefHeading___Toc13593_4007284621">
            <w:r>
              <w:rPr>
                <w:rStyle w:val="IndexLink"/>
              </w:rPr>
              <w:t>9.3.1 Wichtige Lieferanten</w:t>
              <w:tab/>
              <w:t>50</w:t>
            </w:r>
          </w:hyperlink>
        </w:p>
        <w:p>
          <w:pPr>
            <w:pStyle w:val="TOC3"/>
            <w:rPr/>
          </w:pPr>
          <w:hyperlink w:anchor="__RefHeading___Toc13595_4007284621">
            <w:r>
              <w:rPr>
                <w:rStyle w:val="IndexLink"/>
              </w:rPr>
              <w:t>9.3.2 Besonders sensible Lieferanten</w:t>
              <w:tab/>
              <w:t>50</w:t>
            </w:r>
          </w:hyperlink>
        </w:p>
        <w:p>
          <w:pPr>
            <w:pStyle w:val="TOC3"/>
            <w:rPr/>
          </w:pPr>
          <w:hyperlink w:anchor="__RefHeading___Toc13597_4007284621">
            <w:r>
              <w:rPr>
                <w:rStyle w:val="IndexLink"/>
              </w:rPr>
              <w:t>9.3.4 Weitere Kategorien von Lieferanten</w:t>
              <w:tab/>
              <w:t>51</w:t>
            </w:r>
          </w:hyperlink>
        </w:p>
        <w:p>
          <w:pPr>
            <w:pStyle w:val="TOC1"/>
            <w:rPr/>
          </w:pPr>
          <w:hyperlink w:anchor="__RefHeading___it-systeme_50">
            <w:r>
              <w:rPr>
                <w:rStyle w:val="IndexLink"/>
              </w:rPr>
              <w:t>10 IT-Systeme</w:t>
              <w:tab/>
              <w:t>52</w:t>
            </w:r>
          </w:hyperlink>
        </w:p>
        <w:p>
          <w:pPr>
            <w:pStyle w:val="TOC2"/>
            <w:rPr/>
          </w:pPr>
          <w:hyperlink w:anchor="__RefHeading___inventarisierung_51">
            <w:r>
              <w:rPr>
                <w:rStyle w:val="IndexLink"/>
              </w:rPr>
              <w:t>10.1 Inventarisierung</w:t>
              <w:tab/>
              <w:t>52</w:t>
            </w:r>
          </w:hyperlink>
        </w:p>
        <w:p>
          <w:pPr>
            <w:pStyle w:val="TOC2"/>
            <w:rPr/>
          </w:pPr>
          <w:hyperlink w:anchor="__RefHeading___lebenszyklus_52">
            <w:r>
              <w:rPr>
                <w:rStyle w:val="IndexLink"/>
              </w:rPr>
              <w:t>10.2 Lebenszyklus</w:t>
              <w:tab/>
              <w:t>53</w:t>
            </w:r>
          </w:hyperlink>
        </w:p>
        <w:p>
          <w:pPr>
            <w:pStyle w:val="TOC3"/>
            <w:rPr/>
          </w:pPr>
          <w:hyperlink w:anchor="__RefHeading___inbetriebnahme_und_aender">
            <w:r>
              <w:rPr>
                <w:rStyle w:val="IndexLink"/>
              </w:rPr>
              <w:t>10.2.n1 Beschaffung</w:t>
              <w:tab/>
              <w:t>53</w:t>
            </w:r>
          </w:hyperlink>
        </w:p>
        <w:p>
          <w:pPr>
            <w:pStyle w:val="TOC3"/>
            <w:rPr/>
          </w:pPr>
          <w:hyperlink w:anchor="__RefHeading___inbetriebnahme_und_aende1">
            <w:r>
              <w:rPr>
                <w:rStyle w:val="IndexLink"/>
              </w:rPr>
              <w:t>10.2.1 Inbetriebnahme und Änderung</w:t>
              <w:tab/>
              <w:t>53</w:t>
            </w:r>
          </w:hyperlink>
        </w:p>
        <w:p>
          <w:pPr>
            <w:pStyle w:val="TOC3"/>
            <w:rPr/>
          </w:pPr>
          <w:hyperlink w:anchor="__RefHeading___ausmusterung_und_wiederve">
            <w:r>
              <w:rPr>
                <w:rStyle w:val="IndexLink"/>
              </w:rPr>
              <w:t>10.2.2 Ausmusterung und Wiederverwendung</w:t>
              <w:tab/>
              <w:t>54</w:t>
            </w:r>
          </w:hyperlink>
        </w:p>
        <w:p>
          <w:pPr>
            <w:pStyle w:val="TOC2"/>
            <w:rPr/>
          </w:pPr>
          <w:hyperlink w:anchor="__RefHeading___basisschutz_55">
            <w:r>
              <w:rPr>
                <w:rStyle w:val="IndexLink"/>
              </w:rPr>
              <w:t>10.3 Basisschutz</w:t>
              <w:tab/>
              <w:t>54</w:t>
            </w:r>
          </w:hyperlink>
        </w:p>
        <w:p>
          <w:pPr>
            <w:pStyle w:val="TOC3"/>
            <w:rPr/>
          </w:pPr>
          <w:hyperlink w:anchor="__RefHeading___software_56">
            <w:r>
              <w:rPr>
                <w:rStyle w:val="IndexLink"/>
              </w:rPr>
              <w:t>10.3.1 Software</w:t>
              <w:tab/>
              <w:t>55</w:t>
            </w:r>
          </w:hyperlink>
        </w:p>
        <w:p>
          <w:pPr>
            <w:pStyle w:val="TOC3"/>
            <w:rPr/>
          </w:pPr>
          <w:hyperlink w:anchor="__RefHeading___beschraenkung_des_netzwer">
            <w:r>
              <w:rPr>
                <w:rStyle w:val="IndexLink"/>
              </w:rPr>
              <w:t>10.3.2 Beschränkung des Netzwerkverkehrs</w:t>
              <w:tab/>
              <w:t>56</w:t>
            </w:r>
          </w:hyperlink>
        </w:p>
        <w:p>
          <w:pPr>
            <w:pStyle w:val="TOC3"/>
            <w:rPr/>
          </w:pPr>
          <w:hyperlink w:anchor="__RefHeading___protokollierung_58">
            <w:r>
              <w:rPr>
                <w:rStyle w:val="IndexLink"/>
              </w:rPr>
              <w:t>10.3.3 Protokollierung</w:t>
              <w:tab/>
              <w:t>57</w:t>
            </w:r>
          </w:hyperlink>
        </w:p>
        <w:p>
          <w:pPr>
            <w:pStyle w:val="TOC3"/>
            <w:rPr/>
          </w:pPr>
          <w:hyperlink w:anchor="__RefHeading___externe_schnittstellen_un">
            <w:r>
              <w:rPr>
                <w:rStyle w:val="IndexLink"/>
              </w:rPr>
              <w:t>10.3.4 Externe Schnittstellen und Laufwerke</w:t>
              <w:tab/>
              <w:t>57</w:t>
            </w:r>
          </w:hyperlink>
        </w:p>
        <w:p>
          <w:pPr>
            <w:pStyle w:val="TOC3"/>
            <w:rPr/>
          </w:pPr>
          <w:hyperlink w:anchor="__RefHeading___schadsoftware_60">
            <w:r>
              <w:rPr>
                <w:rStyle w:val="IndexLink"/>
              </w:rPr>
              <w:t>10.3.5 Schadsoftware</w:t>
              <w:tab/>
              <w:t>57</w:t>
            </w:r>
          </w:hyperlink>
        </w:p>
        <w:p>
          <w:pPr>
            <w:pStyle w:val="TOC3"/>
            <w:rPr/>
          </w:pPr>
          <w:hyperlink w:anchor="__RefHeading___starten_von_fremden_medie">
            <w:r>
              <w:rPr>
                <w:rStyle w:val="IndexLink"/>
              </w:rPr>
              <w:t>10.3.6 Starten von fremden Medien</w:t>
              <w:tab/>
              <w:t>58</w:t>
            </w:r>
          </w:hyperlink>
        </w:p>
        <w:p>
          <w:pPr>
            <w:pStyle w:val="TOC3"/>
            <w:rPr/>
          </w:pPr>
          <w:hyperlink w:anchor="__RefHeading___authentifizierung_62">
            <w:r>
              <w:rPr>
                <w:rStyle w:val="IndexLink"/>
              </w:rPr>
              <w:t>10.3.7 Authentifizierung</w:t>
              <w:tab/>
              <w:t>58</w:t>
            </w:r>
          </w:hyperlink>
        </w:p>
        <w:p>
          <w:pPr>
            <w:pStyle w:val="TOC3"/>
            <w:rPr/>
          </w:pPr>
          <w:hyperlink w:anchor="__RefHeading___zugaenge_und_zugriffe_63">
            <w:r>
              <w:rPr>
                <w:rStyle w:val="IndexLink"/>
              </w:rPr>
              <w:t>10.3.8 Zugänge und Zugriffe</w:t>
              <w:tab/>
              <w:t>59</w:t>
            </w:r>
          </w:hyperlink>
        </w:p>
        <w:p>
          <w:pPr>
            <w:pStyle w:val="TOC2"/>
            <w:rPr/>
          </w:pPr>
          <w:hyperlink w:anchor="__RefHeading___zusaetzliche_massnahmen_f">
            <w:r>
              <w:rPr>
                <w:rStyle w:val="IndexLink"/>
              </w:rPr>
              <w:t>10.4 Zusätzliche Maßnahmen für mobile IT-Systeme</w:t>
              <w:tab/>
              <w:t>60</w:t>
            </w:r>
          </w:hyperlink>
        </w:p>
        <w:p>
          <w:pPr>
            <w:pStyle w:val="TOC3"/>
            <w:rPr/>
          </w:pPr>
          <w:hyperlink w:anchor="__RefHeading___is-richtlinie_65">
            <w:r>
              <w:rPr>
                <w:rStyle w:val="IndexLink"/>
              </w:rPr>
              <w:t>10.4.1 IS-Richtlinie</w:t>
              <w:tab/>
              <w:t>60</w:t>
            </w:r>
          </w:hyperlink>
        </w:p>
        <w:p>
          <w:pPr>
            <w:pStyle w:val="TOC3"/>
            <w:rPr/>
          </w:pPr>
          <w:hyperlink w:anchor="__RefHeading___schutz_der_informationen_">
            <w:r>
              <w:rPr>
                <w:rStyle w:val="IndexLink"/>
              </w:rPr>
              <w:t>10.4.2 Schutz der Informationen</w:t>
              <w:tab/>
              <w:t>61</w:t>
            </w:r>
          </w:hyperlink>
        </w:p>
        <w:p>
          <w:pPr>
            <w:pStyle w:val="TOC3"/>
            <w:rPr/>
          </w:pPr>
          <w:hyperlink w:anchor="__RefHeading___verlust_67">
            <w:r>
              <w:rPr>
                <w:rStyle w:val="IndexLink"/>
              </w:rPr>
              <w:t>10.4.3 Verlust</w:t>
              <w:tab/>
              <w:t>61</w:t>
            </w:r>
          </w:hyperlink>
        </w:p>
        <w:p>
          <w:pPr>
            <w:pStyle w:val="TOC2"/>
            <w:rPr/>
          </w:pPr>
          <w:hyperlink w:anchor="__RefHeading___zusaetzliche_massnahmen_1">
            <w:r>
              <w:rPr>
                <w:rStyle w:val="IndexLink"/>
              </w:rPr>
              <w:t>10.n1 Zusätzliche Maßnahmen für wichtige IT-Systeme</w:t>
              <w:tab/>
              <w:t>62</w:t>
            </w:r>
          </w:hyperlink>
        </w:p>
        <w:p>
          <w:pPr>
            <w:pStyle w:val="TOC3"/>
            <w:rPr/>
          </w:pPr>
          <w:hyperlink w:anchor="__RefHeading___Toc15227_186073790">
            <w:r>
              <w:rPr>
                <w:rStyle w:val="IndexLink"/>
              </w:rPr>
              <w:t>10.n1.1 Auswahl von wichtigen IT-Systemen und Software</w:t>
              <w:tab/>
              <w:t>62</w:t>
            </w:r>
          </w:hyperlink>
        </w:p>
        <w:p>
          <w:pPr>
            <w:pStyle w:val="TOC3"/>
            <w:rPr/>
          </w:pPr>
          <w:hyperlink w:anchor="__RefHeading___dokumentation_74_Copy_1">
            <w:r>
              <w:rPr>
                <w:rStyle w:val="IndexLink"/>
              </w:rPr>
              <w:t>10.n1.1 Dokumentation</w:t>
              <w:tab/>
              <w:t>63</w:t>
            </w:r>
          </w:hyperlink>
        </w:p>
        <w:p>
          <w:pPr>
            <w:pStyle w:val="TOC3"/>
            <w:rPr/>
          </w:pPr>
          <w:hyperlink w:anchor="__RefHeading___datensicherung_75_Copy_1">
            <w:r>
              <w:rPr>
                <w:rStyle w:val="IndexLink"/>
              </w:rPr>
              <w:t>10.n1.2 Datensicherung</w:t>
              <w:tab/>
              <w:t>63</w:t>
            </w:r>
          </w:hyperlink>
        </w:p>
        <w:p>
          <w:pPr>
            <w:pStyle w:val="TOC3"/>
            <w:rPr/>
          </w:pPr>
          <w:hyperlink w:anchor="__RefHeading___ueberwachung_76_Copy_1">
            <w:r>
              <w:rPr>
                <w:rStyle w:val="IndexLink"/>
              </w:rPr>
              <w:t>10.n1.3 Überwachung</w:t>
              <w:tab/>
              <w:t>64</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64</w:t>
            </w:r>
          </w:hyperlink>
        </w:p>
        <w:p>
          <w:pPr>
            <w:pStyle w:val="TOC3"/>
            <w:rPr/>
          </w:pPr>
          <w:hyperlink w:anchor="__RefHeading___notbetriebsniveau_70">
            <w:r>
              <w:rPr>
                <w:rStyle w:val="IndexLink"/>
              </w:rPr>
              <w:t>10.5.1 Notbetriebsniveau</w:t>
              <w:tab/>
              <w:t>64</w:t>
            </w:r>
          </w:hyperlink>
        </w:p>
        <w:p>
          <w:pPr>
            <w:pStyle w:val="TOC3"/>
            <w:rPr/>
          </w:pPr>
          <w:hyperlink w:anchor="__RefHeading___robustheit_71">
            <w:r>
              <w:rPr>
                <w:rStyle w:val="IndexLink"/>
              </w:rPr>
              <w:t>10.5.2 Robustheit</w:t>
              <w:tab/>
              <w:t>64</w:t>
            </w:r>
          </w:hyperlink>
        </w:p>
        <w:p>
          <w:pPr>
            <w:pStyle w:val="TOC3"/>
            <w:rPr/>
          </w:pPr>
          <w:hyperlink w:anchor="__RefHeading___robustheit_71_Copy_1">
            <w:r>
              <w:rPr>
                <w:rStyle w:val="IndexLink"/>
              </w:rPr>
              <w:t>10.5.n1 Kryptografie</w:t>
              <w:tab/>
              <w:t>65</w:t>
            </w:r>
          </w:hyperlink>
        </w:p>
        <w:p>
          <w:pPr>
            <w:pStyle w:val="TOC3"/>
            <w:rPr/>
          </w:pPr>
          <w:hyperlink w:anchor="__RefHeading___externe_schnittstellen_u1">
            <w:r>
              <w:rPr>
                <w:rStyle w:val="IndexLink"/>
              </w:rPr>
              <w:t>10.5.3 Externe Schnittstellen und Laufwerke</w:t>
              <w:tab/>
              <w:t>65</w:t>
            </w:r>
          </w:hyperlink>
        </w:p>
        <w:p>
          <w:pPr>
            <w:pStyle w:val="TOC3"/>
            <w:rPr/>
          </w:pPr>
          <w:hyperlink w:anchor="__RefHeading___aenderungsmanagement_73">
            <w:r>
              <w:rPr>
                <w:rStyle w:val="IndexLink"/>
              </w:rPr>
              <w:t>10.5.4 Änderungsmanagement</w:t>
              <w:tab/>
              <w:t>65</w:t>
            </w:r>
          </w:hyperlink>
        </w:p>
        <w:p>
          <w:pPr>
            <w:pStyle w:val="TOC3"/>
            <w:rPr/>
          </w:pPr>
          <w:hyperlink w:anchor="__RefHeading___ersatzsysteme_und_-verfah">
            <w:r>
              <w:rPr>
                <w:rStyle w:val="IndexLink"/>
              </w:rPr>
              <w:t>10.5.5 Ersatzsysteme und -verfahren</w:t>
              <w:tab/>
              <w:t>66</w:t>
            </w:r>
          </w:hyperlink>
        </w:p>
        <w:p>
          <w:pPr>
            <w:pStyle w:val="TOC3"/>
            <w:rPr/>
          </w:pPr>
          <w:hyperlink w:anchor="__RefHeading___kritische_individualsoftw">
            <w:r>
              <w:rPr>
                <w:rStyle w:val="IndexLink"/>
              </w:rPr>
              <w:t>10.5.6 Besonders schützenswerte Individualsoftware</w:t>
              <w:tab/>
              <w:t>66</w:t>
            </w:r>
          </w:hyperlink>
        </w:p>
        <w:p>
          <w:pPr>
            <w:pStyle w:val="TOC1"/>
            <w:rPr/>
          </w:pPr>
          <w:hyperlink w:anchor="__RefHeading___netzwerke_und_verbindung1">
            <w:r>
              <w:rPr>
                <w:rStyle w:val="IndexLink"/>
              </w:rPr>
              <w:t>11 Netzwerke und Verbindungen</w:t>
              <w:tab/>
              <w:t>66</w:t>
            </w:r>
          </w:hyperlink>
        </w:p>
        <w:p>
          <w:pPr>
            <w:pStyle w:val="TOC2"/>
            <w:rPr/>
          </w:pPr>
          <w:hyperlink w:anchor="__RefHeading___netzwerkplan_80">
            <w:r>
              <w:rPr>
                <w:rStyle w:val="IndexLink"/>
              </w:rPr>
              <w:t>11.1 Netzwerkplan</w:t>
              <w:tab/>
              <w:t>67</w:t>
            </w:r>
          </w:hyperlink>
        </w:p>
        <w:p>
          <w:pPr>
            <w:pStyle w:val="TOC2"/>
            <w:rPr/>
          </w:pPr>
          <w:hyperlink w:anchor="__RefHeading___aktive_netzwerkkomponente">
            <w:r>
              <w:rPr>
                <w:rStyle w:val="IndexLink"/>
              </w:rPr>
              <w:t>11.2 Aktive Netzwerkkomponenten</w:t>
              <w:tab/>
              <w:t>67</w:t>
            </w:r>
          </w:hyperlink>
        </w:p>
        <w:p>
          <w:pPr>
            <w:pStyle w:val="TOC2"/>
            <w:rPr/>
          </w:pPr>
          <w:hyperlink w:anchor="__RefHeading___netzuebergaenge_82">
            <w:r>
              <w:rPr>
                <w:rStyle w:val="IndexLink"/>
              </w:rPr>
              <w:t>11.3 Netzübergänge</w:t>
              <w:tab/>
              <w:t>67</w:t>
            </w:r>
          </w:hyperlink>
        </w:p>
        <w:p>
          <w:pPr>
            <w:pStyle w:val="TOC2"/>
            <w:rPr/>
          </w:pPr>
          <w:hyperlink w:anchor="__RefHeading___basisschutz_83">
            <w:r>
              <w:rPr>
                <w:rStyle w:val="IndexLink"/>
              </w:rPr>
              <w:t>11.4 Basisschutz</w:t>
              <w:tab/>
              <w:t>68</w:t>
            </w:r>
          </w:hyperlink>
        </w:p>
        <w:p>
          <w:pPr>
            <w:pStyle w:val="TOC3"/>
            <w:rPr/>
          </w:pPr>
          <w:hyperlink w:anchor="__RefHeading___netzwerkanschluesse_84">
            <w:r>
              <w:rPr>
                <w:rStyle w:val="IndexLink"/>
              </w:rPr>
              <w:t>11.4.1 Netzwerkanschlüsse</w:t>
              <w:tab/>
              <w:t>69</w:t>
            </w:r>
          </w:hyperlink>
        </w:p>
        <w:p>
          <w:pPr>
            <w:pStyle w:val="TOC3"/>
            <w:rPr/>
          </w:pPr>
          <w:hyperlink w:anchor="__RefHeading___segmentierung_85">
            <w:r>
              <w:rPr>
                <w:rStyle w:val="IndexLink"/>
              </w:rPr>
              <w:t>11.4.2 Segmentierung</w:t>
              <w:tab/>
              <w:t>69</w:t>
            </w:r>
          </w:hyperlink>
        </w:p>
        <w:p>
          <w:pPr>
            <w:pStyle w:val="TOC3"/>
            <w:rPr/>
          </w:pPr>
          <w:hyperlink w:anchor="__RefHeading___fernzugang_86">
            <w:r>
              <w:rPr>
                <w:rStyle w:val="IndexLink"/>
              </w:rPr>
              <w:t>11.4.3 Fernzugang</w:t>
              <w:tab/>
              <w:t>70</w:t>
            </w:r>
          </w:hyperlink>
        </w:p>
        <w:p>
          <w:pPr>
            <w:pStyle w:val="TOC3"/>
            <w:rPr/>
          </w:pPr>
          <w:hyperlink w:anchor="__RefHeading___netzwerkkopplung_87">
            <w:r>
              <w:rPr>
                <w:rStyle w:val="IndexLink"/>
              </w:rPr>
              <w:t>11.4.4 Netzwerkkopplung</w:t>
              <w:tab/>
              <w:t>71</w:t>
            </w:r>
          </w:hyperlink>
        </w:p>
        <w:p>
          <w:pPr>
            <w:pStyle w:val="TOC2"/>
            <w:rPr/>
          </w:pPr>
          <w:hyperlink w:anchor="__RefHeading___zusaetzliche_massnahmen_9">
            <w:r>
              <w:rPr>
                <w:rStyle w:val="IndexLink"/>
              </w:rPr>
              <w:t>11.5 Zusätzliche Maßnahmen für wichtige Verbindungen</w:t>
              <w:tab/>
              <w:t>71</w:t>
            </w:r>
          </w:hyperlink>
        </w:p>
        <w:p>
          <w:pPr>
            <w:pStyle w:val="TOC1"/>
            <w:rPr/>
          </w:pPr>
          <w:hyperlink w:anchor="__RefHeading___mobile_datentraeger_89">
            <w:r>
              <w:rPr>
                <w:rStyle w:val="IndexLink"/>
              </w:rPr>
              <w:t>12 Mobile Datenträger</w:t>
              <w:tab/>
              <w:t>72</w:t>
            </w:r>
          </w:hyperlink>
        </w:p>
        <w:p>
          <w:pPr>
            <w:pStyle w:val="TOC2"/>
            <w:rPr/>
          </w:pPr>
          <w:hyperlink w:anchor="__RefHeading___is-richtlinie_90">
            <w:r>
              <w:rPr>
                <w:rStyle w:val="IndexLink"/>
              </w:rPr>
              <w:t>12.1 IS-Richtlinie</w:t>
              <w:tab/>
              <w:t>72</w:t>
            </w:r>
          </w:hyperlink>
        </w:p>
        <w:p>
          <w:pPr>
            <w:pStyle w:val="TOC2"/>
            <w:rPr/>
          </w:pPr>
          <w:hyperlink w:anchor="__RefHeading___schutz_der_informationen1">
            <w:r>
              <w:rPr>
                <w:rStyle w:val="IndexLink"/>
              </w:rPr>
              <w:t>12.2 Schutz der Informationen</w:t>
              <w:tab/>
              <w:t>72</w:t>
            </w:r>
          </w:hyperlink>
        </w:p>
        <w:p>
          <w:pPr>
            <w:pStyle w:val="TOC2"/>
            <w:rPr/>
          </w:pPr>
          <w:hyperlink w:anchor="__RefHeading___zusaetzliche_massnahmen_3">
            <w:r>
              <w:rPr>
                <w:rStyle w:val="IndexLink"/>
              </w:rPr>
              <w:t>12.3 Zusätzliche Maßnahmen für wichtige mobile Datenträger</w:t>
              <w:tab/>
              <w:t>73</w:t>
            </w:r>
          </w:hyperlink>
        </w:p>
        <w:p>
          <w:pPr>
            <w:pStyle w:val="TOC1"/>
            <w:rPr/>
          </w:pPr>
          <w:hyperlink w:anchor="__RefHeading___umgebung_93">
            <w:r>
              <w:rPr>
                <w:rStyle w:val="IndexLink"/>
              </w:rPr>
              <w:t>13 Umgebung</w:t>
              <w:tab/>
              <w:t>73</w:t>
            </w:r>
          </w:hyperlink>
        </w:p>
        <w:p>
          <w:pPr>
            <w:pStyle w:val="TOC2"/>
            <w:rPr/>
          </w:pPr>
          <w:hyperlink w:anchor="__RefHeading___server_aktive_netzwerkkom">
            <w:r>
              <w:rPr>
                <w:rStyle w:val="IndexLink"/>
              </w:rPr>
              <w:t>13.1 Server, aktive Netzwerkkomponenten und Netzwerkverteilstellen</w:t>
              <w:tab/>
              <w:t>74</w:t>
            </w:r>
          </w:hyperlink>
        </w:p>
        <w:p>
          <w:pPr>
            <w:pStyle w:val="TOC2"/>
            <w:rPr/>
          </w:pPr>
          <w:hyperlink w:anchor="__RefHeading___datenleitungen_95">
            <w:r>
              <w:rPr>
                <w:rStyle w:val="IndexLink"/>
              </w:rPr>
              <w:t>13.2 Datenleitungen</w:t>
              <w:tab/>
              <w:t>74</w:t>
            </w:r>
          </w:hyperlink>
        </w:p>
        <w:p>
          <w:pPr>
            <w:pStyle w:val="TOC2"/>
            <w:rPr/>
          </w:pPr>
          <w:hyperlink w:anchor="__RefHeading___zusaetzliche_massnahmen_4">
            <w:r>
              <w:rPr>
                <w:rStyle w:val="IndexLink"/>
              </w:rPr>
              <w:t>13.3 Zusätzliche Maßnahmen für wichtigen IT-Systeme</w:t>
              <w:tab/>
              <w:t>75</w:t>
            </w:r>
          </w:hyperlink>
        </w:p>
        <w:p>
          <w:pPr>
            <w:pStyle w:val="TOC1"/>
            <w:rPr/>
          </w:pPr>
          <w:hyperlink w:anchor="__RefHeading___it-outsourcing_und_cloud_">
            <w:r>
              <w:rPr>
                <w:rStyle w:val="IndexLink"/>
              </w:rPr>
              <w:t>14 IT-Outsourcing und Cloud Computing (Sicherheit in der Lieferkette)</w:t>
              <w:tab/>
              <w:t>75</w:t>
            </w:r>
          </w:hyperlink>
        </w:p>
        <w:p>
          <w:pPr>
            <w:pStyle w:val="TOC2"/>
            <w:rPr/>
          </w:pPr>
          <w:hyperlink w:anchor="__RefHeading___is-richtlinie_98">
            <w:r>
              <w:rPr>
                <w:rStyle w:val="IndexLink"/>
              </w:rPr>
              <w:t>14.1 IS-Richtlinie</w:t>
              <w:tab/>
              <w:t>76</w:t>
            </w:r>
          </w:hyperlink>
        </w:p>
        <w:p>
          <w:pPr>
            <w:pStyle w:val="TOC2"/>
            <w:rPr/>
          </w:pPr>
          <w:hyperlink w:anchor="__RefHeading___vorbereitung_99">
            <w:r>
              <w:rPr>
                <w:rStyle w:val="IndexLink"/>
              </w:rPr>
              <w:t>14.2 Vorbereitung</w:t>
              <w:tab/>
              <w:t>76</w:t>
            </w:r>
          </w:hyperlink>
        </w:p>
        <w:p>
          <w:pPr>
            <w:pStyle w:val="TOC2"/>
            <w:rPr/>
          </w:pPr>
          <w:hyperlink w:anchor="__RefHeading___vertragsgestaltung_100">
            <w:r>
              <w:rPr>
                <w:rStyle w:val="IndexLink"/>
              </w:rPr>
              <w:t>14.3 Vertragsgestaltung</w:t>
              <w:tab/>
              <w:t>77</w:t>
            </w:r>
          </w:hyperlink>
        </w:p>
        <w:p>
          <w:pPr>
            <w:pStyle w:val="TOC2"/>
            <w:rPr/>
          </w:pPr>
          <w:hyperlink w:anchor="__RefHeading___zusaetzliche_massnahmen_5">
            <w:r>
              <w:rPr>
                <w:rStyle w:val="IndexLink"/>
              </w:rPr>
              <w:t>14.4 Zusätzliche Maßnahmen für wichtige IT-Ressourcen</w:t>
              <w:tab/>
              <w:t>77</w:t>
            </w:r>
          </w:hyperlink>
        </w:p>
        <w:p>
          <w:pPr>
            <w:pStyle w:val="TOC1"/>
            <w:rPr/>
          </w:pPr>
          <w:hyperlink w:anchor="__RefHeading___zugaenge_und_zugriffsrech">
            <w:r>
              <w:rPr>
                <w:rStyle w:val="IndexLink"/>
              </w:rPr>
              <w:t>15 Zugänge und Zugriffsrechte</w:t>
              <w:tab/>
              <w:t>78</w:t>
            </w:r>
          </w:hyperlink>
        </w:p>
        <w:p>
          <w:pPr>
            <w:pStyle w:val="TOC2"/>
            <w:rPr/>
          </w:pPr>
          <w:hyperlink w:anchor="__RefHeading___verwaltung_103">
            <w:r>
              <w:rPr>
                <w:rStyle w:val="IndexLink"/>
              </w:rPr>
              <w:t>15.1 Verwaltung</w:t>
              <w:tab/>
              <w:t>79</w:t>
            </w:r>
          </w:hyperlink>
        </w:p>
        <w:p>
          <w:pPr>
            <w:pStyle w:val="TOC2"/>
            <w:rPr/>
          </w:pPr>
          <w:hyperlink w:anchor="__RefHeading___zusaetzliche_massnahmen_6">
            <w:r>
              <w:rPr>
                <w:rStyle w:val="IndexLink"/>
              </w:rPr>
              <w:t>15.2 Zusätzliche Maßnahmen für besonders schützenswerte IT-Systeme und Informationen</w:t>
              <w:tab/>
              <w:t>79</w:t>
            </w:r>
          </w:hyperlink>
        </w:p>
        <w:p>
          <w:pPr>
            <w:pStyle w:val="TOC1"/>
            <w:rPr/>
          </w:pPr>
          <w:hyperlink w:anchor="__RefHeading___datensicherung_und_archiv">
            <w:r>
              <w:rPr>
                <w:rStyle w:val="IndexLink"/>
              </w:rPr>
              <w:t>16 Datensicherung und Archivierung</w:t>
              <w:tab/>
              <w:t>80</w:t>
            </w:r>
          </w:hyperlink>
        </w:p>
        <w:p>
          <w:pPr>
            <w:pStyle w:val="TOC2"/>
            <w:rPr/>
          </w:pPr>
          <w:hyperlink w:anchor="__RefHeading___is-richtlinie_106">
            <w:r>
              <w:rPr>
                <w:rStyle w:val="IndexLink"/>
              </w:rPr>
              <w:t>16.1 IS-Richtlinie</w:t>
              <w:tab/>
              <w:t>80</w:t>
            </w:r>
          </w:hyperlink>
        </w:p>
        <w:p>
          <w:pPr>
            <w:pStyle w:val="TOC2"/>
            <w:rPr/>
          </w:pPr>
          <w:hyperlink w:anchor="__RefHeading___archivierung_107">
            <w:r>
              <w:rPr>
                <w:rStyle w:val="IndexLink"/>
              </w:rPr>
              <w:t>16.2 Archivierung</w:t>
              <w:tab/>
              <w:t>81</w:t>
            </w:r>
          </w:hyperlink>
        </w:p>
        <w:p>
          <w:pPr>
            <w:pStyle w:val="TOC2"/>
            <w:rPr/>
          </w:pPr>
          <w:hyperlink w:anchor="__RefHeading___verfahren_108">
            <w:r>
              <w:rPr>
                <w:rStyle w:val="IndexLink"/>
              </w:rPr>
              <w:t>16.3 Verfahren</w:t>
              <w:tab/>
              <w:t>81</w:t>
            </w:r>
          </w:hyperlink>
        </w:p>
        <w:p>
          <w:pPr>
            <w:pStyle w:val="TOC2"/>
            <w:rPr/>
          </w:pPr>
          <w:hyperlink w:anchor="__RefHeading___weiterentwicklung_112">
            <w:r>
              <w:rPr>
                <w:rStyle w:val="IndexLink"/>
              </w:rPr>
              <w:t>16.4 Weiterentwicklung</w:t>
              <w:tab/>
              <w:t>83</w:t>
            </w:r>
          </w:hyperlink>
        </w:p>
        <w:p>
          <w:pPr>
            <w:pStyle w:val="TOC2"/>
            <w:rPr/>
          </w:pPr>
          <w:hyperlink w:anchor="__RefHeading___basisschutz_113">
            <w:r>
              <w:rPr>
                <w:rStyle w:val="IndexLink"/>
              </w:rPr>
              <w:t>16.5 Basisschutz</w:t>
              <w:tab/>
              <w:t>84</w:t>
            </w:r>
          </w:hyperlink>
        </w:p>
        <w:p>
          <w:pPr>
            <w:pStyle w:val="TOC3"/>
            <w:rPr/>
          </w:pPr>
          <w:hyperlink w:anchor="__RefHeading___is-richtlinie_106_Copy_1_">
            <w:r>
              <w:rPr>
                <w:rStyle w:val="IndexLink"/>
              </w:rPr>
              <w:t>16.5.n1 IT-Systeme für die Datensicherung und -wiederherstellung</w:t>
              <w:tab/>
              <w:t>84</w:t>
            </w:r>
          </w:hyperlink>
        </w:p>
        <w:p>
          <w:pPr>
            <w:pStyle w:val="TOC3"/>
            <w:rPr/>
          </w:pPr>
          <w:hyperlink w:anchor="__RefHeading___speicherorte_114">
            <w:r>
              <w:rPr>
                <w:rStyle w:val="IndexLink"/>
              </w:rPr>
              <w:t>16.5.1 Speicherorte</w:t>
              <w:tab/>
              <w:t>85</w:t>
            </w:r>
          </w:hyperlink>
        </w:p>
        <w:p>
          <w:pPr>
            <w:pStyle w:val="TOC3"/>
            <w:rPr/>
          </w:pPr>
          <w:hyperlink w:anchor="__RefHeading___server_115">
            <w:r>
              <w:rPr>
                <w:rStyle w:val="IndexLink"/>
              </w:rPr>
              <w:t>16.5.2 Server</w:t>
              <w:tab/>
              <w:t>85</w:t>
            </w:r>
          </w:hyperlink>
        </w:p>
        <w:p>
          <w:pPr>
            <w:pStyle w:val="TOC3"/>
            <w:rPr/>
          </w:pPr>
          <w:hyperlink w:anchor="__RefHeading___aktive_netzwerkkomponent1">
            <w:r>
              <w:rPr>
                <w:rStyle w:val="IndexLink"/>
              </w:rPr>
              <w:t>16.5.3 Aktive Netzwerkkomponenten</w:t>
              <w:tab/>
              <w:t>85</w:t>
            </w:r>
          </w:hyperlink>
        </w:p>
        <w:p>
          <w:pPr>
            <w:pStyle w:val="TOC3"/>
            <w:rPr/>
          </w:pPr>
          <w:hyperlink w:anchor="__RefHeading___mobile_it-systeme_117">
            <w:r>
              <w:rPr>
                <w:rStyle w:val="IndexLink"/>
              </w:rPr>
              <w:t>16.5.4 Mobile IT-Systeme</w:t>
              <w:tab/>
              <w:t>85</w:t>
            </w:r>
          </w:hyperlink>
        </w:p>
        <w:p>
          <w:pPr>
            <w:pStyle w:val="TOC2"/>
            <w:rPr/>
          </w:pPr>
          <w:hyperlink w:anchor="__RefHeading___zusaetzliche_massnahmen_7">
            <w:r>
              <w:rPr>
                <w:rStyle w:val="IndexLink"/>
              </w:rPr>
              <w:t>16.6 Zusätzliche Maßnahmen für wichtige IT-Systeme</w:t>
              <w:tab/>
              <w:t>86</w:t>
            </w:r>
          </w:hyperlink>
        </w:p>
        <w:p>
          <w:pPr>
            <w:pStyle w:val="TOC3"/>
            <w:rPr/>
          </w:pPr>
          <w:hyperlink w:anchor="__RefHeading___risikoanalyse_119">
            <w:r>
              <w:rPr>
                <w:rStyle w:val="IndexLink"/>
              </w:rPr>
              <w:t>16.6.1 Risikoanalyse</w:t>
              <w:tab/>
              <w:t>86</w:t>
            </w:r>
          </w:hyperlink>
        </w:p>
        <w:p>
          <w:pPr>
            <w:pStyle w:val="TOC3"/>
            <w:rPr/>
          </w:pPr>
          <w:hyperlink w:anchor="__RefHeading___verfahren_120">
            <w:r>
              <w:rPr>
                <w:rStyle w:val="IndexLink"/>
              </w:rPr>
              <w:t>16.6.2 Verfahren</w:t>
              <w:tab/>
              <w:t>86</w:t>
            </w:r>
          </w:hyperlink>
        </w:p>
        <w:p>
          <w:pPr>
            <w:pStyle w:val="TOC1"/>
            <w:rPr/>
          </w:pPr>
          <w:hyperlink w:anchor="__RefHeading___stoerungen_und_ausfaelle_">
            <w:r>
              <w:rPr>
                <w:rStyle w:val="IndexLink"/>
              </w:rPr>
              <w:t>17 Sicherheitsvorfälle</w:t>
              <w:tab/>
              <w:t>87</w:t>
            </w:r>
          </w:hyperlink>
        </w:p>
        <w:p>
          <w:pPr>
            <w:pStyle w:val="TOC2"/>
            <w:rPr/>
          </w:pPr>
          <w:hyperlink w:anchor="__RefHeading___is-richtlinie_122">
            <w:r>
              <w:rPr>
                <w:rStyle w:val="IndexLink"/>
              </w:rPr>
              <w:t>17.1 IS-Richtlinie</w:t>
              <w:tab/>
              <w:t>87</w:t>
            </w:r>
          </w:hyperlink>
        </w:p>
        <w:p>
          <w:pPr>
            <w:pStyle w:val="TOC2"/>
            <w:rPr/>
          </w:pPr>
          <w:hyperlink w:anchor="__RefHeading___erkennen_129_Copy_1">
            <w:r>
              <w:rPr>
                <w:rStyle w:val="IndexLink"/>
              </w:rPr>
              <w:t>17.2 Erkennen</w:t>
              <w:tab/>
              <w:t>88</w:t>
            </w:r>
          </w:hyperlink>
        </w:p>
        <w:p>
          <w:pPr>
            <w:pStyle w:val="TOC2"/>
            <w:rPr/>
          </w:pPr>
          <w:hyperlink w:anchor="__RefHeading___reaktion_123">
            <w:r>
              <w:rPr>
                <w:rStyle w:val="IndexLink"/>
              </w:rPr>
              <w:t>17.3 Reaktion</w:t>
              <w:tab/>
              <w:t>89</w:t>
            </w:r>
          </w:hyperlink>
        </w:p>
        <w:p>
          <w:pPr>
            <w:pStyle w:val="TOC2"/>
            <w:rPr/>
          </w:pPr>
          <w:hyperlink w:anchor="__RefHeading___zusaetzliche_massnahmen_a">
            <w:r>
              <w:rPr>
                <w:rStyle w:val="IndexLink"/>
              </w:rPr>
              <w:t>17.4 Zusätzliche Maßnahmen für wichtige IT-Systeme</w:t>
              <w:tab/>
              <w:t>91</w:t>
            </w:r>
          </w:hyperlink>
        </w:p>
        <w:p>
          <w:pPr>
            <w:pStyle w:val="TOC3"/>
            <w:rPr/>
          </w:pPr>
          <w:hyperlink w:anchor="__RefHeading___wiederanlaufplaene_125">
            <w:r>
              <w:rPr>
                <w:rStyle w:val="IndexLink"/>
              </w:rPr>
              <w:t>17.4.1 Wiederanlaufpläne</w:t>
              <w:tab/>
              <w:t>91</w:t>
            </w:r>
          </w:hyperlink>
        </w:p>
        <w:p>
          <w:pPr>
            <w:pStyle w:val="TOC3"/>
            <w:rPr/>
          </w:pPr>
          <w:hyperlink w:anchor="__RefHeading___abhaengigkeiten_126">
            <w:r>
              <w:rPr>
                <w:rStyle w:val="IndexLink"/>
              </w:rPr>
              <w:t>17.4.2 Abhängigkeiten</w:t>
              <w:tab/>
              <w:t>92</w:t>
            </w:r>
          </w:hyperlink>
        </w:p>
        <w:p>
          <w:pPr>
            <w:pStyle w:val="TOC1"/>
            <w:rPr/>
          </w:pPr>
          <w:hyperlink w:anchor="__RefHeading___anhang_a_131">
            <w:r>
              <w:rPr>
                <w:rStyle w:val="IndexLink"/>
              </w:rPr>
              <w:t>18. Lieferanten</w:t>
              <w:tab/>
              <w:t>92</w:t>
            </w:r>
          </w:hyperlink>
        </w:p>
        <w:p>
          <w:pPr>
            <w:pStyle w:val="TOC2"/>
            <w:rPr/>
          </w:pPr>
          <w:hyperlink w:anchor="__RefHeading___a_1_verfahren_132_Copy_1">
            <w:r>
              <w:rPr>
                <w:rStyle w:val="IndexLink"/>
              </w:rPr>
              <w:t>18.1 Wichtige Lieferanten</w:t>
              <w:tab/>
              <w:t>93</w:t>
            </w:r>
          </w:hyperlink>
        </w:p>
        <w:p>
          <w:pPr>
            <w:pStyle w:val="TOC3"/>
            <w:rPr/>
          </w:pPr>
          <w:hyperlink w:anchor="__RefHeading___a_1_verfahren_132_Copy_1_">
            <w:r>
              <w:rPr>
                <w:rStyle w:val="IndexLink"/>
              </w:rPr>
              <w:tab/>
              <w:t>94</w:t>
            </w:r>
          </w:hyperlink>
        </w:p>
        <w:p>
          <w:pPr>
            <w:pStyle w:val="TOC2"/>
            <w:rPr/>
          </w:pPr>
          <w:hyperlink w:anchor="__RefHeading___Toc14606_2994401678">
            <w:r>
              <w:rPr>
                <w:rStyle w:val="IndexLink"/>
              </w:rPr>
              <w:t>18.2 Besonders sensible Lieferanten</w:t>
              <w:tab/>
              <w:t>94</w:t>
            </w:r>
          </w:hyperlink>
        </w:p>
        <w:p>
          <w:pPr>
            <w:pStyle w:val="TOC1"/>
            <w:rPr/>
          </w:pPr>
          <w:hyperlink w:anchor="__RefHeading___Toc14608_2994401678">
            <w:r>
              <w:rPr>
                <w:rStyle w:val="IndexLink"/>
              </w:rPr>
              <w:t>Anhang A</w:t>
              <w:tab/>
              <w:t>95</w:t>
            </w:r>
          </w:hyperlink>
        </w:p>
        <w:p>
          <w:pPr>
            <w:pStyle w:val="TOC2"/>
            <w:rPr/>
          </w:pPr>
          <w:hyperlink w:anchor="__RefHeading___a_1_verfahren_132">
            <w:r>
              <w:rPr>
                <w:rStyle w:val="IndexLink"/>
              </w:rPr>
              <w:t>A 1 Verfahren</w:t>
              <w:tab/>
              <w:t>95</w:t>
            </w:r>
          </w:hyperlink>
        </w:p>
        <w:p>
          <w:pPr>
            <w:pStyle w:val="TOC2"/>
            <w:rPr/>
          </w:pPr>
          <w:hyperlink w:anchor="__RefHeading___a_2_risikoanalyse_und_-be">
            <w:r>
              <w:rPr>
                <w:rStyle w:val="IndexLink"/>
              </w:rPr>
              <w:t>A 2 Risikomanagement</w:t>
              <w:tab/>
              <w:t>96</w:t>
            </w:r>
          </w:hyperlink>
        </w:p>
        <w:p>
          <w:pPr>
            <w:pStyle w:val="TOC3"/>
            <w:rPr/>
          </w:pPr>
          <w:hyperlink w:anchor="__RefHeading___a_2.1_risikoanalyse_134_C">
            <w:r>
              <w:rPr>
                <w:rStyle w:val="IndexLink"/>
              </w:rPr>
              <w:t>A 2.1 Methodik</w:t>
              <w:tab/>
              <w:t>96</w:t>
            </w:r>
          </w:hyperlink>
        </w:p>
        <w:p>
          <w:pPr>
            <w:pStyle w:val="TOC3"/>
            <w:rPr/>
          </w:pPr>
          <w:hyperlink w:anchor="__RefHeading___a_2.1_risikoanalyse_134">
            <w:r>
              <w:rPr>
                <w:rStyle w:val="IndexLink"/>
              </w:rPr>
              <w:t>A 2.2 Risikoanalyse</w:t>
              <w:tab/>
              <w:t>97</w:t>
            </w:r>
          </w:hyperlink>
        </w:p>
        <w:p>
          <w:pPr>
            <w:pStyle w:val="TOC3"/>
            <w:rPr/>
          </w:pPr>
          <w:hyperlink w:anchor="__RefHeading___a_2.2_risikobehandlung_13">
            <w:r>
              <w:rPr>
                <w:rStyle w:val="IndexLink"/>
              </w:rPr>
              <w:t>A 2.3 Risikobehandlung</w:t>
              <w:tab/>
              <w:t>98</w:t>
            </w:r>
          </w:hyperlink>
        </w:p>
        <w:p>
          <w:pPr>
            <w:pStyle w:val="TOC3"/>
            <w:rPr/>
          </w:pPr>
          <w:hyperlink w:anchor="__RefHeading___a_2.3_wiederholung_und_an">
            <w:r>
              <w:rPr>
                <w:rStyle w:val="IndexLink"/>
              </w:rPr>
              <w:t>A 2.4 Wiederholung und Anpassung</w:t>
              <w:tab/>
              <w:t>99</w:t>
            </w:r>
          </w:hyperlink>
        </w:p>
        <w:p>
          <w:pPr>
            <w:pStyle w:val="TOC3"/>
            <w:rPr/>
          </w:pPr>
          <w:hyperlink w:anchor="__RefHeading___a_2.3_wiederholung_und_a1">
            <w:r>
              <w:rPr>
                <w:rStyle w:val="IndexLink"/>
              </w:rPr>
              <w:t>A 2.5 Überwachung</w:t>
              <w:tab/>
              <w:t>99</w:t>
            </w:r>
          </w:hyperlink>
          <w:r>
            <w:rPr>
              <w:rStyle w:val="IndexLink"/>
            </w:rPr>
            <w:fldChar w:fldCharType="end"/>
          </w:r>
        </w:p>
      </w:sdtContent>
    </w:sdt>
    <w:p>
      <w:pPr>
        <w:pStyle w:val="BodyText"/>
        <w:bidi w:val="0"/>
        <w:rPr/>
      </w:pPr>
      <w:r>
        <w:rPr/>
      </w:r>
      <w:r>
        <w:br w:type="page"/>
      </w:r>
    </w:p>
    <w:p>
      <w:pPr>
        <w:pStyle w:val="Heading"/>
        <w:rPr/>
      </w:pPr>
      <w:bookmarkStart w:id="15" w:name="__RefHeading___anforderungen_4"/>
      <w:bookmarkStart w:id="16" w:name="anforderungen"/>
      <w:bookmarkEnd w:id="15"/>
      <w:r>
        <w:rPr/>
        <w:t>Anforderungen</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normative Verweise prüfen. </w:t>
            </w:r>
            <w:r>
              <w:rPr/>
              <w:t>Low Prio.</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Begriffe aus NIS-2 im Laufe der Entwicklung in dieses Kapitel aufnehmen und jene Begriffe entfernen, die in der VdS 10100 nicht neu definiert werden müssen. </w:t>
            </w:r>
            <w:r>
              <w:rPr/>
              <w:t>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7"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 xml:space="preserve">n1. kontinuierliches Verbessern der Informationssicherheit, insbesondere des </w:t>
            </w:r>
            <w:r>
              <w:rPr/>
              <w:t xml:space="preserve">entsprechenden </w:t>
            </w:r>
            <w:r>
              <w:rPr/>
              <w:t>Risikomanagements</w:t>
            </w:r>
          </w:p>
          <w:p>
            <w:pPr>
              <w:pStyle w:val="TableContents"/>
              <w:bidi w:val="0"/>
              <w:jc w:val="start"/>
              <w:rPr/>
            </w:pPr>
            <w:r>
              <w:rPr/>
              <w:t xml:space="preserve">n2. Anpassen der Informationssicherheit an neue Bedrohungen, </w:t>
            </w:r>
            <w:r>
              <w:rPr/>
              <w:t>neue</w:t>
            </w:r>
            <w:r>
              <w:rPr/>
              <w:t xml:space="preserve"> Schwachstellen </w:t>
            </w:r>
            <w:r>
              <w:rPr/>
              <w:t>und</w:t>
            </w:r>
            <w:r>
              <w:rPr/>
              <w:t xml:space="preserve">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jährliches Berichten an das Informationssicherheitsteam (IST) über den aktuellen Stand der Informationssicherheit, insbesondere über Mängel, Risiken und Sicherheitsvorfälle sowie über den Stand des </w:t>
            </w:r>
            <w:r>
              <w:rPr/>
              <w:t xml:space="preserve">entsprechenden </w:t>
            </w:r>
            <w:r>
              <w:rPr/>
              <w:t>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w:t>
            </w:r>
            <w:r>
              <w:rPr>
                <w:rFonts w:eastAsia="Bitstream Vera Sans" w:cs="Bitstream Vera Sans"/>
                <w:b w:val="false"/>
                <w:bCs w:val="false"/>
                <w:color w:val="auto"/>
                <w:kern w:val="0"/>
                <w:sz w:val="20"/>
                <w:szCs w:val="24"/>
                <w:lang w:val="de-DE" w:eastAsia="en-US" w:bidi="en-US"/>
              </w:rPr>
              <w:t>sie</w:t>
            </w:r>
            <w:r>
              <w:rPr>
                <w:rFonts w:eastAsia="Bitstream Vera Sans" w:cs="Bitstream Vera Sans"/>
                <w:b w:val="false"/>
                <w:bCs w:val="false"/>
                <w:color w:val="auto"/>
                <w:kern w:val="0"/>
                <w:sz w:val="20"/>
                <w:szCs w:val="24"/>
                <w:lang w:val="de-DE" w:eastAsia="en-US" w:bidi="en-US"/>
              </w:rPr>
              <w:t xml:space="preserve"> im Bereich der Informationsverarbeitung </w:t>
            </w:r>
            <w:r>
              <w:rPr>
                <w:rFonts w:eastAsia="Bitstream Vera Sans" w:cs="Bitstream Vera Sans"/>
                <w:b w:val="false"/>
                <w:bCs w:val="false"/>
                <w:color w:val="auto"/>
                <w:kern w:val="0"/>
                <w:sz w:val="20"/>
                <w:szCs w:val="24"/>
                <w:lang w:val="de-DE" w:eastAsia="en-US" w:bidi="en-US"/>
              </w:rPr>
              <w:t xml:space="preserve">für die Organisation </w:t>
            </w:r>
            <w:r>
              <w:rPr>
                <w:rFonts w:eastAsia="Bitstream Vera Sans" w:cs="Bitstream Vera Sans"/>
                <w:b w:val="false"/>
                <w:bCs w:val="false"/>
                <w:color w:val="auto"/>
                <w:kern w:val="0"/>
                <w:sz w:val="20"/>
                <w:szCs w:val="24"/>
                <w:lang w:val="de-DE" w:eastAsia="en-US" w:bidi="en-US"/>
              </w:rPr>
              <w:t xml:space="preserve">tätig sind oder ob nicht. </w:t>
              <w:br/>
              <w:br/>
              <w:t xml:space="preserve">Wir müssen Kapitel 9 </w:t>
            </w:r>
            <w:r>
              <w:rPr>
                <w:rFonts w:eastAsia="Bitstream Vera Sans" w:cs="Bitstream Vera Sans"/>
                <w:b w:val="false"/>
                <w:bCs w:val="false"/>
                <w:color w:val="auto"/>
                <w:kern w:val="0"/>
                <w:sz w:val="20"/>
                <w:szCs w:val="24"/>
                <w:lang w:val="de-DE" w:eastAsia="en-US" w:bidi="en-US"/>
              </w:rPr>
              <w:t>grundlegend</w:t>
            </w:r>
            <w:r>
              <w:rPr>
                <w:rFonts w:eastAsia="Bitstream Vera Sans" w:cs="Bitstream Vera Sans"/>
                <w:b w:val="false"/>
                <w:bCs w:val="false"/>
                <w:color w:val="auto"/>
                <w:kern w:val="0"/>
                <w:sz w:val="20"/>
                <w:szCs w:val="24"/>
                <w:lang w:val="de-DE" w:eastAsia="en-US" w:bidi="en-US"/>
              </w:rPr>
              <w:t xml:space="preserve"> überarbeiten. Die betroffenen Organisation muss nicht nur "wichtige" und "besonders schützenswerte" IT-Ressourcen identifizieren. Sie muss darüber hinaus analysieren, welche Zulieferer für den Betrieb der Kernprozesse unerlässlich sind („wichtige“ Zulieferer). </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w:t>
            </w:r>
            <w:r>
              <w:rPr/>
              <w:t xml:space="preserve">der Organisation </w:t>
            </w:r>
            <w:r>
              <w:rPr/>
              <w:t>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rPr/>
      </w:pPr>
      <w:bookmarkStart w:id="97" w:name="__RefHeading___Toc13589_4007284621"/>
      <w:bookmarkEnd w:id="97"/>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0.4.6-ToDo: Einführungstext schreiben.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w:t>
            </w:r>
            <w:r>
              <w:rPr/>
              <w:t xml:space="preserve">der Organisation </w:t>
            </w:r>
            <w:r>
              <w:rPr/>
              <w:t>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 xml:space="preserve">Um wichtige </w:t>
            </w:r>
            <w:r>
              <w:rPr>
                <w:rStyle w:val="Emphasis"/>
              </w:rPr>
              <w:t xml:space="preserve">oder besonders schützenswerte </w:t>
            </w:r>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rPr/>
      </w:pPr>
      <w:bookmarkStart w:id="98" w:name="__RefHeading___prozesse_47_Copy_1"/>
      <w:bookmarkStart w:id="99" w:name="prozesse_Copy_1"/>
      <w:bookmarkEnd w:id="98"/>
      <w:r>
        <w:rPr/>
        <w:t>9.2.</w:t>
      </w:r>
      <w:r>
        <w:rPr/>
        <w:t>1</w:t>
      </w:r>
      <w:r>
        <w:rPr/>
        <w:t xml:space="preserve"> </w:t>
      </w:r>
      <w:bookmarkEnd w:id="9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eines zentralen Prozesses oder eines Prozesses mit hohem Schadenspotential (siehe Abschnitt 9.1) zwingend benötigt werden.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2"/>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2"/>
        </w:numPr>
        <w:rPr/>
      </w:pPr>
      <w:bookmarkStart w:id="102" w:name="__RefHeading___it-ressourcen_49"/>
      <w:bookmarkStart w:id="103" w:name="it-ressourcen"/>
      <w:bookmarkEnd w:id="102"/>
      <w:r>
        <w:rPr/>
        <w:t>9.</w:t>
      </w:r>
      <w:r>
        <w:rPr/>
        <w:t>2.3</w:t>
      </w:r>
      <w:r>
        <w:rPr/>
        <w:t xml:space="preserve"> Besonders schützenswerte IT-Ressourcen</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2"/>
        </w:numPr>
        <w:rPr/>
      </w:pPr>
      <w:bookmarkStart w:id="104" w:name="__RefHeading___prozesse_47_Copy_1_Copy_1"/>
      <w:bookmarkStart w:id="105" w:name="prozesse_Copy_1_Copy_1"/>
      <w:bookmarkEnd w:id="104"/>
      <w:r>
        <w:rPr/>
        <w:t>9.</w:t>
      </w:r>
      <w:r>
        <w:rPr/>
        <w:t>2.4</w:t>
      </w:r>
      <w:r>
        <w:rPr/>
        <w:t xml:space="preserve"> </w:t>
      </w:r>
      <w:bookmarkEnd w:id="105"/>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6" w:name="__RefHeading___Toc13591_4007284621"/>
      <w:bookmarkEnd w:id="106"/>
      <w:r>
        <w:rPr/>
        <w:t>9.3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kern w:val="0"/>
                <w:sz w:val="20"/>
                <w:szCs w:val="24"/>
                <w:lang w:val="de-DE" w:eastAsia="en-US" w:bidi="en-US"/>
              </w:rPr>
              <w:t>0.4.8-</w:t>
            </w:r>
            <w:r>
              <w:rPr>
                <w:rFonts w:eastAsia="Bitstream Vera Sans" w:cs="Bitstream Vera Sans"/>
                <w:color w:val="auto"/>
                <w:kern w:val="0"/>
                <w:sz w:val="20"/>
                <w:szCs w:val="24"/>
                <w:lang w:val="de-DE" w:eastAsia="en-US" w:bidi="en-US"/>
              </w:rPr>
              <w:t>T</w:t>
            </w:r>
            <w:r>
              <w:rPr>
                <w:rFonts w:eastAsia="Bitstream Vera Sans" w:cs="Bitstream Vera Sans"/>
                <w:color w:val="auto"/>
                <w:kern w:val="0"/>
                <w:sz w:val="20"/>
                <w:szCs w:val="24"/>
                <w:lang w:val="de-DE" w:eastAsia="en-US" w:bidi="en-US"/>
              </w:rPr>
              <w:t>oDo: Definition von „Lieferanten“ in Kapitel 3 aufnehmen. Hierbei muss definiert sein, dass wir unter diesem Begriff  Zulieferer und Dienstleister verstehen.</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w:t>
            </w:r>
            <w:r>
              <w:rPr/>
              <w:t>die</w:t>
            </w:r>
            <w:r>
              <w:rPr/>
              <w:t xml:space="preserve"> wichtigen und die besonders s</w:t>
            </w:r>
            <w:r>
              <w:rPr/>
              <w:t>ensiblen</w:t>
            </w:r>
            <w:r>
              <w:rPr/>
              <w:t xml:space="preserve"> </w:t>
            </w:r>
            <w:r>
              <w:rPr/>
              <w:t>Lieferanten</w:t>
            </w:r>
            <w:r>
              <w:rPr/>
              <w:t xml:space="preserve"> </w:t>
            </w:r>
            <w:r>
              <w:rPr/>
              <w:t xml:space="preserve">der Organisation </w:t>
            </w:r>
            <w:r>
              <w:rPr/>
              <w:t xml:space="preserve">ermitteln, jährlich prüfen, ob die </w:t>
            </w:r>
            <w:r>
              <w:rPr/>
              <w:t xml:space="preserve">entsprechende </w:t>
            </w:r>
            <w:r>
              <w:rPr/>
              <w:t>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besonders </w:t>
            </w:r>
            <w:r>
              <w:rPr/>
              <w:t>sensiblen Lieferanten</w:t>
            </w:r>
            <w:r>
              <w:rPr/>
              <w:t xml:space="preserve">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 xml:space="preserve">Um wichtige </w:t>
            </w:r>
            <w:r>
              <w:rPr>
                <w:rStyle w:val="Emphasis"/>
              </w:rPr>
              <w:t xml:space="preserve">oder besonders </w:t>
            </w:r>
            <w:r>
              <w:rPr>
                <w:rStyle w:val="Emphasis"/>
              </w:rPr>
              <w:t>sensible</w:t>
            </w:r>
            <w:r>
              <w:rPr>
                <w:rStyle w:val="Emphasis"/>
              </w:rPr>
              <w:t xml:space="preserve"> </w:t>
            </w:r>
            <w:r>
              <w:rPr>
                <w:rStyle w:val="Emphasis"/>
              </w:rPr>
              <w:t>Lieferanten</w:t>
            </w:r>
            <w:r>
              <w:rPr>
                <w:rStyle w:val="Emphasis"/>
              </w:rPr>
              <w:t xml:space="preserve">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ind w:hanging="0" w:start="0"/>
        <w:rPr/>
      </w:pPr>
      <w:bookmarkStart w:id="107" w:name="__RefHeading___Toc13593_4007284621"/>
      <w:bookmarkEnd w:id="107"/>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Fonts w:eastAsia="Bitstream Vera Sans" w:cs="Bitstream Vera Sans"/>
                <w:color w:val="auto"/>
                <w:kern w:val="0"/>
                <w:sz w:val="20"/>
                <w:szCs w:val="24"/>
                <w:lang w:val="de-DE" w:eastAsia="en-US" w:bidi="en-US"/>
              </w:rPr>
              <w:t xml:space="preserve">0.4.7: </w:t>
            </w:r>
            <w:r>
              <w:rPr>
                <w:rFonts w:eastAsia="Bitstream Vera Sans" w:cs="Bitstream Vera Sans"/>
                <w:color w:val="auto"/>
                <w:kern w:val="0"/>
                <w:sz w:val="20"/>
                <w:szCs w:val="24"/>
                <w:lang w:val="de-DE" w:eastAsia="en-US" w:bidi="en-US"/>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Wichtige </w:t>
            </w:r>
            <w:r>
              <w:rPr/>
              <w:t>Lieferanten</w:t>
            </w:r>
            <w:r>
              <w:rPr/>
              <w:t xml:space="preserve"> sind </w:t>
            </w:r>
            <w:r>
              <w:rPr/>
              <w:t>Lieferanten</w:t>
            </w:r>
            <w:r>
              <w:rPr/>
              <w:t>,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1. Sie enthält eine kurze Beschreibung </w:t>
            </w:r>
            <w:r>
              <w:rPr/>
              <w:t xml:space="preserve">des Lieferanten </w:t>
            </w:r>
            <w:r>
              <w:rPr/>
              <w:t>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2. Sie begründet, warum </w:t>
            </w:r>
            <w:r>
              <w:rPr/>
              <w:t>er</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3. Sie enthält ihre maximal tolerierbare Ausfallzeit (MTA) </w:t>
            </w:r>
            <w:r>
              <w:rPr/>
              <w:t>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MTA MUSS ebenso kurz oder kürzer sein, als die kürzeste MTA aller zentralen Prozesse und Prozesse mit hohem Schadenspotential (siehe Abschnitt 9.1), die von </w:t>
            </w:r>
            <w:r>
              <w:rPr/>
              <w:t>den gelieferten Waren oder Dienstleistungen</w:t>
            </w:r>
            <w:r>
              <w:rPr/>
              <w:t xml:space="preserv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Bei der Bestimmung der MTA SOLLTEN Abhängigkeiten zwischen wichtigen </w:t>
            </w:r>
            <w:r>
              <w:rPr>
                <w:rStyle w:val="Emphasis"/>
              </w:rPr>
              <w:t>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wichtigen </w:t>
            </w:r>
            <w:r>
              <w:rPr/>
              <w:t>Lieferanten</w:t>
            </w:r>
            <w:r>
              <w:rPr/>
              <w:t xml:space="preserve"> und deren Dokumentation MUSS vo</w:t>
            </w:r>
            <w:r>
              <w:rPr/>
              <w:t>n den jeweiligen Prozessverantwortlichen</w:t>
            </w:r>
            <w:r>
              <w:rPr/>
              <w:t xml:space="preserve"> freigegeben werden.</w:t>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 xml:space="preserve">sensiblen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sensible Lieferanten</w:t>
            </w:r>
            <w:r>
              <w:rPr/>
              <w:t xml:space="preserve"> sind </w:t>
            </w:r>
            <w:r>
              <w:rPr/>
              <w:t>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w:t>
            </w:r>
            <w:r>
              <w:rPr/>
              <w:t>2</w:t>
            </w:r>
            <w:r>
              <w:rPr/>
              <w:t xml:space="preserve">) </w:t>
            </w:r>
            <w:r>
              <w:rPr/>
              <w:t xml:space="preserve">und die besonders schützenswerten IT-Ressourcen (siehe Abschnitt 9.2.3) </w:t>
            </w:r>
            <w:r>
              <w:rPr/>
              <w:t>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1. Sie enthält eine kurze Beschreibung </w:t>
            </w:r>
            <w:r>
              <w:rPr/>
              <w:t xml:space="preserve">des Lieferanten </w:t>
            </w:r>
            <w:r>
              <w:rPr/>
              <w:t>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2. Sie begründet, warum </w:t>
            </w:r>
            <w:r>
              <w:rPr/>
              <w:t>er</w:t>
            </w:r>
            <w:r>
              <w:rPr/>
              <w:t xml:space="preserve"> </w:t>
            </w:r>
            <w:r>
              <w:rPr/>
              <w:t>besonders sensibel</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3. Sie enthält ihre maximal tolerierbare Ausfallzeit (MTA) </w:t>
            </w:r>
            <w:r>
              <w:rPr/>
              <w:t>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MTA MUSS ebenso kurz oder kürzer sein, als die kürzeste MTA aller zentralen Prozesse und Prozesse mit hohem Schadenspotential (siehe Abschnitt 9.1), die von </w:t>
            </w:r>
            <w:r>
              <w:rPr/>
              <w:t>den gelieferten Waren oder Dienstleistungen</w:t>
            </w:r>
            <w:r>
              <w:rPr/>
              <w:t xml:space="preserv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 xml:space="preserve">besonders </w:t>
            </w:r>
            <w:r>
              <w:rPr>
                <w:rStyle w:val="Emphasis"/>
                <w:rFonts w:eastAsia="Bitstream Vera Sans" w:cs="Bitstream Vera Sans"/>
                <w:i/>
                <w:iCs/>
                <w:color w:val="auto"/>
                <w:kern w:val="0"/>
                <w:sz w:val="20"/>
                <w:szCs w:val="24"/>
                <w:lang w:val="de-DE" w:eastAsia="en-US" w:bidi="en-US"/>
              </w:rPr>
              <w:t>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sensiblen Lieferanten</w:t>
            </w:r>
            <w:r>
              <w:rPr/>
              <w:t xml:space="preserve"> und deren Dokumentation MUSS vom IT-Verantwortlichen freigegeben werden.</w:t>
            </w:r>
          </w:p>
        </w:tc>
      </w:tr>
    </w:tbl>
    <w:p>
      <w:pPr>
        <w:pStyle w:val="Heading3"/>
        <w:numPr>
          <w:ilvl w:val="0"/>
          <w:numId w:val="0"/>
        </w:numPr>
        <w:ind w:hanging="0" w:start="0"/>
        <w:rPr/>
      </w:pPr>
      <w:bookmarkStart w:id="109" w:name="__RefHeading___Toc13597_4007284621"/>
      <w:bookmarkEnd w:id="109"/>
      <w:r>
        <w:rPr/>
        <w:t>9.</w:t>
      </w:r>
      <w:r>
        <w:rPr/>
        <w:t>3</w:t>
      </w:r>
      <w:r>
        <w:rPr/>
        <w:t>.4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0.4.6: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Die Organisation SOLLTE prüfen, ob es notwendig oder sinnvoll ist, im Zuge des Risikomanagements weitere Kategorien von </w:t>
            </w:r>
            <w:r>
              <w:rPr/>
              <w:t>Lieferanten</w:t>
            </w:r>
            <w:r>
              <w:rPr/>
              <w:t xml:space="preserve"> zu definieren, diese zyklisch oder fortlaufend zu erfassen und </w:t>
            </w:r>
            <w:r>
              <w:rPr/>
              <w:t>mit ihnen individuell</w:t>
            </w:r>
            <w:r>
              <w:rPr/>
              <w:t xml:space="preserve"> zusammengestellte technische und organisatorische Maßnahmen </w:t>
            </w:r>
            <w:r>
              <w:rPr/>
              <w:t>für die Absicherung ihrer Informationsverarbeitung zu vereinbaren</w:t>
            </w:r>
            <w:r>
              <w:rPr/>
              <w:t>.</w:t>
            </w:r>
          </w:p>
        </w:tc>
      </w:tr>
    </w:tbl>
    <w:p>
      <w:pPr>
        <w:pStyle w:val="Heading1"/>
        <w:numPr>
          <w:ilvl w:val="0"/>
          <w:numId w:val="2"/>
        </w:numPr>
        <w:rPr/>
      </w:pPr>
      <w:bookmarkStart w:id="110" w:name="__RefHeading___it-systeme_50"/>
      <w:bookmarkStart w:id="111" w:name="it-systeme"/>
      <w:bookmarkEnd w:id="110"/>
      <w:r>
        <w:rPr/>
        <w:t>10 IT-Systeme</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14" w:name="__RefHeading___lebenszyklus_52"/>
      <w:bookmarkStart w:id="115" w:name="lebenszyklus"/>
      <w:bookmarkEnd w:id="114"/>
      <w:r>
        <w:rPr/>
        <w:t>10.2 Lebenszyklus</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IT-Systeme bilden eine abgeschlossene Funktionseinheit aus Hard- und Software (siehe Abschnitt 10.3). Sie unterliegen einem Lebenszyklus, der sich üblicherweise von der </w:t>
            </w:r>
            <w:r>
              <w:rPr/>
              <w:t>Beschaffung</w:t>
            </w:r>
            <w:r>
              <w:rPr/>
              <w:t xml:space="preserve"> bis zur Ausmusterung erstreckt.</w:t>
            </w:r>
          </w:p>
        </w:tc>
      </w:tr>
    </w:tbl>
    <w:p>
      <w:pPr>
        <w:pStyle w:val="Heading3"/>
        <w:numPr>
          <w:ilvl w:val="2"/>
          <w:numId w:val="2"/>
        </w:numPr>
        <w:tabs>
          <w:tab w:val="clear" w:pos="709"/>
          <w:tab w:val="left" w:pos="0" w:leader="none"/>
        </w:tabs>
        <w:bidi w:val="0"/>
        <w:ind w:hanging="0" w:start="0"/>
        <w:jc w:val="start"/>
        <w:rPr/>
      </w:pPr>
      <w:bookmarkStart w:id="116" w:name="__RefHeading___inbetriebnahme_und_aender"/>
      <w:bookmarkStart w:id="117" w:name="inbetriebnahme_und_aenderung_Copy_1"/>
      <w:bookmarkEnd w:id="116"/>
      <w:r>
        <w:rPr/>
        <w:t xml:space="preserve">10.2.n1 </w:t>
      </w:r>
      <w:bookmarkEnd w:id="117"/>
      <w:r>
        <w:rPr/>
        <w:t>Be</w:t>
      </w:r>
      <w:r>
        <w:rPr/>
        <w:t>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w:t>
            </w:r>
            <w:r>
              <w:rPr>
                <w:rFonts w:eastAsia="Bitstream Vera Sans" w:cs="Bitstream Vera Sans"/>
                <w:color w:val="auto"/>
                <w:kern w:val="0"/>
                <w:sz w:val="20"/>
                <w:szCs w:val="24"/>
                <w:lang w:val="de-DE" w:eastAsia="en-US" w:bidi="en-US"/>
              </w:rPr>
              <w:t>0.4.4 – DISKUSSION:</w:t>
              <w:br/>
              <w:t xml:space="preserve">Wir brauchen hier eine IS-Richtlinie für die Beschaffung von IT-Systemen. </w:t>
            </w:r>
            <w:r>
              <w:rPr>
                <w:rFonts w:eastAsia="Bitstream Vera Sans" w:cs="Bitstream Vera Sans"/>
                <w:color w:val="auto"/>
                <w:kern w:val="0"/>
                <w:sz w:val="20"/>
                <w:szCs w:val="24"/>
                <w:lang w:val="de-DE" w:eastAsia="en-US" w:bidi="en-US"/>
              </w:rPr>
              <w:t xml:space="preserve">Welche Anforderungen stellt NIS-2?! </w:t>
            </w:r>
            <w:r>
              <w:rPr>
                <w:rFonts w:eastAsia="Bitstream Vera Sans" w:cs="Bitstream Vera Sans"/>
                <w:color w:val="auto"/>
                <w:kern w:val="0"/>
                <w:sz w:val="20"/>
                <w:szCs w:val="24"/>
                <w:lang w:val="de-DE" w:eastAsia="en-US" w:bidi="en-US"/>
              </w:rPr>
              <w:t xml:space="preserve">Wir sollten hier ggf. keine konkreten Maßnahmen vorschreiben, </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tru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In Ergänzung zu Abschnitt 6.3 MÜSSEN in einer IS-Richtlinie Regelungen für </w:t>
            </w:r>
            <w:r>
              <w:rPr/>
              <w:t>die Beschaffung von IT-Systemen</w:t>
            </w:r>
            <w:r>
              <w:rPr/>
              <w:t xml:space="preserve">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0.4.4-</w:t>
            </w:r>
            <w:r>
              <w:rPr/>
              <w:t>ToDo/</w:t>
            </w:r>
            <w:r>
              <w:rPr/>
              <w:t>Diskussion:</w:t>
            </w:r>
          </w:p>
          <w:p>
            <w:pPr>
              <w:pStyle w:val="TableContents"/>
              <w:numPr>
                <w:ilvl w:val="0"/>
                <w:numId w:val="2"/>
              </w:numPr>
              <w:bidi w:val="0"/>
              <w:ind w:hanging="0" w:start="0"/>
              <w:jc w:val="start"/>
              <w:rPr/>
            </w:pPr>
            <w:r>
              <w:rPr/>
              <w:t>Anforderungen gem. NIS-2 aufnehmen:</w:t>
            </w:r>
          </w:p>
          <w:p>
            <w:pPr>
              <w:pStyle w:val="TableContents"/>
              <w:bidi w:val="0"/>
              <w:ind w:hanging="0" w:start="0"/>
              <w:jc w:val="start"/>
              <w:rPr/>
            </w:pPr>
            <w:r>
              <w:rPr/>
            </w:r>
          </w:p>
          <w:p>
            <w:pPr>
              <w:pStyle w:val="TableContents"/>
              <w:bidi w:val="0"/>
              <w:ind w:hanging="0" w:start="0"/>
              <w:jc w:val="start"/>
              <w:rPr/>
            </w:pPr>
            <w:r>
              <w:rPr/>
              <w:t xml:space="preserve">§30 </w:t>
            </w:r>
            <w:r>
              <w:rPr/>
              <w:t xml:space="preserve">(2) </w:t>
            </w:r>
            <w:r>
              <w:rPr/>
              <w:t>(</w:t>
            </w:r>
            <w:r>
              <w:rPr>
                <w:rFonts w:eastAsia="Bitstream Vera Sans" w:cs="Bitstream Vera Sans"/>
                <w:color w:val="auto"/>
                <w:kern w:val="0"/>
                <w:sz w:val="20"/>
                <w:szCs w:val="24"/>
                <w:lang w:val="de-DE" w:eastAsia="en-US" w:bidi="en-US"/>
              </w:rPr>
              <w:t>…</w:t>
            </w:r>
            <w:r>
              <w:rPr/>
              <w:t xml:space="preserve">) </w:t>
            </w:r>
            <w:r>
              <w:rPr/>
              <w:t>Die Maßnahmen müssen zumindest Folgendes</w:t>
            </w:r>
          </w:p>
          <w:p>
            <w:pPr>
              <w:pStyle w:val="TableContents"/>
              <w:bidi w:val="0"/>
              <w:ind w:hanging="0" w:start="0"/>
              <w:jc w:val="start"/>
              <w:rPr/>
            </w:pPr>
            <w:r>
              <w:rPr/>
              <w:t xml:space="preserve">umfassen: </w:t>
            </w:r>
            <w:r>
              <w:rPr/>
              <w:t>(...)</w:t>
            </w:r>
          </w:p>
          <w:p>
            <w:pPr>
              <w:pStyle w:val="TableContents"/>
              <w:bidi w:val="0"/>
              <w:ind w:hanging="0" w:start="0"/>
              <w:jc w:val="start"/>
              <w:rPr/>
            </w:pPr>
            <w:r>
              <w:rPr/>
              <w:t xml:space="preserve">5. Sicherheitsmaßnahmen bei Erwerb </w:t>
            </w:r>
            <w:r>
              <w:rPr/>
              <w:t>(...)</w:t>
            </w:r>
            <w:r>
              <w:rPr/>
              <w:t xml:space="preserve"> von informationstechnischen Systemen </w:t>
            </w:r>
            <w:r>
              <w:rPr/>
              <w:t>(...)</w:t>
            </w:r>
            <w:r>
              <w:rPr/>
              <w:t>, einschließlich Management und Offenlegung von Schwachstellen,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1. Die notwendigen Sicherheitseigenschaften der IT-Systeme </w:t>
            </w:r>
            <w:r>
              <w:rPr/>
              <w:t>werden definiert</w:t>
            </w:r>
            <w:r>
              <w:rPr/>
              <w:t>.</w:t>
            </w:r>
          </w:p>
          <w:p>
            <w:pPr>
              <w:pStyle w:val="TableContents"/>
              <w:numPr>
                <w:ilvl w:val="0"/>
                <w:numId w:val="2"/>
              </w:numPr>
              <w:bidi w:val="0"/>
              <w:ind w:hanging="0" w:start="0"/>
              <w:jc w:val="start"/>
              <w:rPr/>
            </w:pPr>
            <w:r>
              <w:rPr/>
              <w:t xml:space="preserve">2. </w:t>
            </w:r>
            <w:r>
              <w:rPr/>
              <w:t xml:space="preserve">Die Anforderungen an das Management von Schwachstellen durch den Anbieter werden definiert, </w:t>
            </w:r>
            <w:r>
              <w:rPr/>
              <w:t>insbesondere wie die Organisation über bestehende Schwachstellen und notwendige Gegenmaßnahmen informiert wird und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10.2.1 Inbetriebnahme und Änderung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10.2.2 Ausmusterung und Wiederverwendung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 30  (2) </w:t>
            </w:r>
            <w:r>
              <w:rPr/>
              <w:t>(...)</w:t>
            </w:r>
            <w:r>
              <w:rPr/>
              <w:t xml:space="preserve">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10.n1 Zusätzliche Maßnahmen für wichtige IT-Systeme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0" w:name="__RefHeading___Toc15227_186073790"/>
      <w:bookmarkEnd w:id="150"/>
      <w:r>
        <w:rPr/>
        <w:t>10.n1.1 Auswahl von wichtigen IT-Systemen und Software</w:t>
      </w:r>
    </w:p>
    <w:p>
      <w:pPr>
        <w:pStyle w:val="Normal"/>
        <w:numPr>
          <w:ilvl w:val="1"/>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BodyText"/>
              <w:numPr>
                <w:ilvl w:val="0"/>
                <w:numId w:val="2"/>
              </w:numPr>
              <w:tabs>
                <w:tab w:val="clear" w:pos="709"/>
                <w:tab w:val="left" w:pos="0" w:leader="none"/>
              </w:tabs>
              <w:bidi w:val="0"/>
              <w:spacing w:before="0" w:after="120"/>
              <w:ind w:hanging="0" w:start="0"/>
              <w:jc w:val="start"/>
              <w:rPr/>
            </w:pPr>
            <w:r>
              <w:rPr>
                <w:rFonts w:eastAsia="Bitstream Vera Sans" w:cs="Bitstream Vera Sans"/>
                <w:color w:val="auto"/>
                <w:kern w:val="0"/>
                <w:sz w:val="20"/>
                <w:szCs w:val="24"/>
                <w:lang w:val="de-DE" w:eastAsia="en-US" w:bidi="en-US"/>
              </w:rPr>
              <w:t>Wenn wichtige IT-Systeme angeschafft oder entwickelt werden, MÜSSEN die notwendigen Sicherheits</w:t>
            </w:r>
            <w:r>
              <w:rPr>
                <w:rFonts w:eastAsia="Bitstream Vera Sans" w:cs="Bitstream Vera Sans"/>
                <w:color w:val="auto"/>
                <w:kern w:val="0"/>
                <w:sz w:val="20"/>
                <w:szCs w:val="24"/>
                <w:lang w:val="de-DE" w:eastAsia="en-US" w:bidi="en-US"/>
              </w:rPr>
              <w:t>eigenschaften</w:t>
            </w:r>
            <w:r>
              <w:rPr>
                <w:rFonts w:eastAsia="Bitstream Vera Sans" w:cs="Bitstream Vera Sans"/>
                <w:color w:val="auto"/>
                <w:kern w:val="0"/>
                <w:sz w:val="20"/>
                <w:szCs w:val="24"/>
                <w:lang w:val="de-DE" w:eastAsia="en-US" w:bidi="en-US"/>
              </w:rPr>
              <w:t xml:space="preserve"> im Rahmen einer Risikoanalyse und -behandlung ermittelt und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p>
      <w:pPr>
        <w:pStyle w:val="Heading3"/>
        <w:numPr>
          <w:ilvl w:val="2"/>
          <w:numId w:val="2"/>
        </w:numPr>
        <w:tabs>
          <w:tab w:val="clear" w:pos="709"/>
          <w:tab w:val="left" w:pos="0" w:leader="none"/>
        </w:tabs>
        <w:bidi w:val="0"/>
        <w:ind w:hanging="0" w:start="0"/>
        <w:jc w:val="start"/>
        <w:rPr/>
      </w:pPr>
      <w:bookmarkStart w:id="151" w:name="__RefHeading___dokumentation_74_Copy_1"/>
      <w:bookmarkStart w:id="152" w:name="dokumentation_Copy_1"/>
      <w:bookmarkEnd w:id="151"/>
      <w:r>
        <w:rPr/>
        <w:t>10.n1.1 Dokumentation</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53" w:name="__RefHeading___datensicherung_75_Copy_1"/>
      <w:bookmarkStart w:id="154" w:name="datensicherung_Copy_1"/>
      <w:bookmarkEnd w:id="153"/>
      <w:r>
        <w:rPr/>
        <w:t>10.n1.2 Datensicherung</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Alle 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5" w:name="__RefHeading___ueberwachung_76_Copy_1"/>
      <w:bookmarkStart w:id="156" w:name="ueberwachung_Copy_1"/>
      <w:bookmarkEnd w:id="155"/>
      <w:r>
        <w:rPr/>
        <w:t>10.n1.3 Überwachung</w:t>
      </w:r>
      <w:bookmarkEnd w:id="1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2"/>
        </w:numPr>
        <w:tabs>
          <w:tab w:val="clear" w:pos="709"/>
          <w:tab w:val="left" w:pos="0" w:leader="none"/>
        </w:tabs>
        <w:bidi w:val="0"/>
        <w:ind w:hanging="0" w:start="0"/>
        <w:jc w:val="start"/>
        <w:rPr/>
      </w:pPr>
      <w:bookmarkStart w:id="157" w:name="__RefHeading___zusaetzliche_massnahmen_2"/>
      <w:bookmarkStart w:id="158" w:name="zusaetzliche_massnahmen_fuer_kritische_1"/>
      <w:bookmarkEnd w:id="157"/>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9" w:name="__RefHeading___notbetriebsniveau_70"/>
      <w:bookmarkStart w:id="160" w:name="notbetriebsniveau"/>
      <w:bookmarkEnd w:id="159"/>
      <w:r>
        <w:rPr/>
        <w:t>10.5.1 Notbetriebsniveau</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61" w:name="__RefHeading___robustheit_71"/>
      <w:bookmarkStart w:id="162" w:name="robustheit"/>
      <w:bookmarkEnd w:id="161"/>
      <w:r>
        <w:rPr/>
        <w:t>10.5.2 Robustheit</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3" w:name="__RefHeading___robustheit_71_Copy_1"/>
      <w:bookmarkStart w:id="164" w:name="robustheit_Copy_1"/>
      <w:bookmarkEnd w:id="163"/>
      <w:r>
        <w:rPr/>
        <w:t xml:space="preserve">10.5.n1 </w:t>
      </w:r>
      <w:bookmarkEnd w:id="164"/>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dabei eingesetzten kryptografischen Maßnahmen MÜSSEN auf anerkannt sicheren technischen Verfahren basieren, </w:t>
            </w:r>
            <w:r>
              <w:rPr/>
              <w:t>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5" w:name="__RefHeading___externe_schnittstellen_u1"/>
      <w:bookmarkStart w:id="166" w:name="externe_schnittstellen_und_laufwerke1"/>
      <w:bookmarkEnd w:id="165"/>
      <w:r>
        <w:rPr/>
        <w:t>10.5.3 Externe Schnittstellen und Laufwerke</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7" w:name="__RefHeading___aenderungsmanagement_73"/>
      <w:bookmarkStart w:id="168" w:name="aenderungsmanagement"/>
      <w:bookmarkEnd w:id="167"/>
      <w:r>
        <w:rPr/>
        <w:t>10.5.4 Änderungsmanagement</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69" w:name="__RefHeading___ersatzsysteme_und_-verfah"/>
      <w:bookmarkStart w:id="170" w:name="ersatzsysteme_und_-verfahren"/>
      <w:bookmarkEnd w:id="169"/>
      <w:r>
        <w:rPr/>
        <w:t>10.5.5 Ersatzsysteme und -verfahren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2"/>
        </w:numPr>
        <w:tabs>
          <w:tab w:val="clear" w:pos="709"/>
          <w:tab w:val="left" w:pos="0" w:leader="none"/>
        </w:tabs>
        <w:bidi w:val="0"/>
        <w:ind w:hanging="0" w:start="0"/>
        <w:jc w:val="start"/>
        <w:rPr/>
      </w:pPr>
      <w:bookmarkStart w:id="171" w:name="__RefHeading___kritische_individualsoftw"/>
      <w:bookmarkStart w:id="172" w:name="kritische_individualsoftware"/>
      <w:bookmarkEnd w:id="171"/>
      <w:r>
        <w:rPr/>
        <w:t>10.5.6 Besonders schützenswerte Individualsoftware</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2"/>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r>
          </w:p>
          <w:p>
            <w:pPr>
              <w:pStyle w:val="TableContents"/>
              <w:bidi w:val="0"/>
              <w:jc w:val="start"/>
              <w:rPr/>
            </w:pPr>
            <w:r>
              <w:rPr/>
              <w:t>0.</w:t>
            </w:r>
            <w:r>
              <w:rPr/>
              <w:t>4.4</w:t>
            </w:r>
            <w:r>
              <w:rPr/>
              <w:t xml:space="preserve">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4">
              <w:r>
                <w:rPr>
                  <w:rStyle w:val="Hyperlink"/>
                </w:rPr>
                <w:t>https://www.bsi.bund.de/SharedDocs/Downloads/DE/BSI/Publikationen/TechnischeRichtlinien/TR02102/BSI-TR-02102.pdf</w:t>
              </w:r>
            </w:hyperlink>
            <w:r>
              <w:rPr/>
              <w:t>) aufnehmen.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Dies KANN durch den Einsatz von anerkannt sicheren kryptografischen Maßnahmen sichergestellt werden, </w:t>
            </w:r>
            <w:r>
              <w:rPr>
                <w:i/>
                <w:iCs/>
              </w:rPr>
              <w:t>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Diese Anforderung </w:t>
            </w:r>
            <w:r>
              <w:rPr/>
              <w:t xml:space="preserve">wurde verschärft, </w:t>
            </w:r>
            <w:r>
              <w:rPr/>
              <w:t xml:space="preserve">weil Remote-Zugriffe sich in den letzten Jahren immer wieder als ein großes Einfallstor erwiesen haben. E1 </w:t>
            </w:r>
            <w:r>
              <w:rPr/>
              <w:t xml:space="preserve">wurde </w:t>
            </w:r>
            <w:r>
              <w:rPr/>
              <w:t>in ein MUSS um</w:t>
            </w:r>
            <w:r>
              <w:rPr/>
              <w:t>ge</w:t>
            </w:r>
            <w:r>
              <w:rPr/>
              <w:t>wandel</w:t>
            </w:r>
            <w:r>
              <w:rPr/>
              <w:t>t</w:t>
            </w:r>
            <w:r>
              <w:rPr/>
              <w:t xml:space="preserve">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1"/>
        <w:numPr>
          <w:ilvl w:val="0"/>
          <w:numId w:val="2"/>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2"/>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23" w:name="__RefHeading___zusaetzliche_massnahmen_6"/>
      <w:bookmarkStart w:id="224" w:name="zusaetzliche_massnahmen_fuer_kritische_4"/>
      <w:bookmarkEnd w:id="223"/>
      <w:r>
        <w:rPr/>
        <w:t>15.2 Zusätzliche Maßnahmen für besonders schützenswerte IT-Systeme und Informationen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2"/>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7" w:name="__RefHeading___is-richtlinie_106_Copy_1_"/>
      <w:bookmarkStart w:id="238" w:name="is-richtlinie3_Copy_1"/>
      <w:bookmarkEnd w:id="237"/>
      <w:r>
        <w:rPr/>
        <w:t>16.5.n1 I</w:t>
      </w:r>
      <w:bookmarkEnd w:id="238"/>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39" w:name="__RefHeading___speicherorte_114"/>
      <w:bookmarkStart w:id="240" w:name="speicherorte"/>
      <w:bookmarkEnd w:id="239"/>
      <w:r>
        <w:rPr/>
        <w:t>16.5.1 Speicherorte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41" w:name="__RefHeading___server_115"/>
      <w:bookmarkStart w:id="242" w:name="server"/>
      <w:bookmarkEnd w:id="241"/>
      <w:r>
        <w:rPr/>
        <w:t>16.5.2 Server</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16.5.3 Aktive Netzwerkkomponenten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5" w:name="__RefHeading___mobile_it-systeme_117"/>
      <w:bookmarkStart w:id="246" w:name="mobile_it-systeme"/>
      <w:bookmarkEnd w:id="245"/>
      <w:r>
        <w:rPr/>
        <w:t>16.5.4 Mobile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2"/>
              </w:numPr>
              <w:suppressLineNumbers/>
              <w:suppressAutoHyphens w:val="true"/>
              <w:overflowPunct w:val="true"/>
              <w:bidi w:val="0"/>
              <w:spacing w:before="0" w:after="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widowControl w:val="false"/>
              <w:suppressLineNumbers/>
              <w:suppressAutoHyphens w:val="true"/>
              <w:overflowPunct w:val="tru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widowControl w:val="false"/>
              <w:suppressLineNumbers/>
              <w:suppressAutoHyphens w:val="true"/>
              <w:overflowPunct w:val="tru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67" w:name="__RefHeading___anhang_a_131"/>
      <w:bookmarkEnd w:id="267"/>
      <w:r>
        <w:rPr/>
        <w:t>18.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7"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kern w:val="0"/>
                <w:sz w:val="20"/>
                <w:szCs w:val="24"/>
                <w:lang w:val="de-DE" w:eastAsia="en-US" w:bidi="en-US"/>
              </w:rPr>
              <w:t>Begründung zu § 30:</w:t>
              <w:br/>
            </w:r>
            <w:r>
              <w:rPr>
                <w:rFonts w:eastAsia="Bitstream Vera Sans" w:cs="Bitstream Vera Sans"/>
                <w:color w:val="auto"/>
                <w:kern w:val="0"/>
                <w:sz w:val="20"/>
                <w:szCs w:val="24"/>
                <w:lang w:val="de-DE" w:eastAsia="en-US" w:bidi="en-US"/>
              </w:rPr>
              <w:t>„Die hier genannten Vorgaben insbesondere im Bereich der Sicherheit der Lieferkette können auch die</w:t>
            </w:r>
          </w:p>
          <w:p>
            <w:pPr>
              <w:pStyle w:val="TableContents"/>
              <w:numPr>
                <w:ilvl w:val="0"/>
                <w:numId w:val="2"/>
              </w:numPr>
              <w:bidi w:val="0"/>
              <w:jc w:val="start"/>
              <w:rPr/>
            </w:pPr>
            <w:r>
              <w:rPr>
                <w:rFonts w:eastAsia="Bitstream Vera Sans" w:cs="Bitstream Vera Sans"/>
                <w:color w:val="auto"/>
                <w:kern w:val="0"/>
                <w:sz w:val="20"/>
                <w:szCs w:val="24"/>
                <w:lang w:val="de-DE" w:eastAsia="en-US" w:bidi="en-US"/>
              </w:rPr>
              <w:t xml:space="preserve">Durchführung von External Attack Surface (EAS) Scans beinhalten.“ </w:t>
            </w:r>
            <w:r>
              <w:rPr>
                <w:rFonts w:eastAsia="Bitstream Vera Sans" w:cs="Bitstream Vera Sans"/>
                <w:color w:val="auto"/>
                <w:kern w:val="0"/>
                <w:sz w:val="20"/>
                <w:szCs w:val="24"/>
                <w:lang w:val="de-DE" w:eastAsia="en-US" w:bidi="en-US"/>
              </w:rPr>
              <w:t>(Seite 160)</w:t>
            </w:r>
          </w:p>
          <w:p>
            <w:pPr>
              <w:pStyle w:val="TableContents"/>
              <w:bidi w:val="0"/>
              <w:jc w:val="start"/>
              <w:rPr>
                <w:rFonts w:ascii="Arial" w:hAnsi="Arial"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Unter Maßnahmen zur Sicherheit der Lieferkette sind beispielsweise vertragliche Vereinbarungen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w:t>
            </w:r>
            <w:r>
              <w:rPr>
                <w:rFonts w:eastAsia="Bitstream Vera Sans" w:cs="Bitstream Vera Sans"/>
                <w:color w:val="auto"/>
                <w:kern w:val="0"/>
                <w:sz w:val="20"/>
                <w:szCs w:val="24"/>
                <w:lang w:val="de-DE" w:eastAsia="en-US" w:bidi="en-US"/>
              </w:rPr>
              <w:t>1</w:t>
            </w:r>
            <w:r>
              <w:rPr>
                <w:rFonts w:eastAsia="Bitstream Vera Sans" w:cs="Bitstream Vera Sans"/>
                <w:color w:val="auto"/>
                <w:kern w:val="0"/>
                <w:sz w:val="20"/>
                <w:szCs w:val="24"/>
                <w:lang w:val="de-DE" w:eastAsia="en-US" w:bidi="en-US"/>
              </w:rPr>
              <w:t>)</w:t>
            </w:r>
          </w:p>
          <w:p>
            <w:pPr>
              <w:pStyle w:val="TableContents"/>
              <w:bidi w:val="0"/>
              <w:jc w:val="start"/>
              <w:rPr>
                <w:rFonts w:ascii="Arial" w:hAnsi="Arial"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0.</w:t>
            </w:r>
            <w:r>
              <w:rPr>
                <w:rFonts w:eastAsia="Bitstream Vera Sans" w:cs="Bitstream Vera Sans"/>
                <w:color w:val="auto"/>
                <w:kern w:val="0"/>
                <w:sz w:val="20"/>
                <w:szCs w:val="24"/>
                <w:lang w:val="de-DE" w:eastAsia="en-US" w:bidi="en-US"/>
              </w:rPr>
              <w:t>4.8 DISKUSSION: Wir sollten vorschreiben, wie die Maßnahmen ausgewählt werden sollen den Weg vorzuschreiben, wie die Maßnahmen ermittelt werden müssen.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 xml:space="preserve">Produkte und Dienstleistungen eingekauft werden </w:t>
            </w:r>
            <w:r>
              <w:rPr/>
              <w:t>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68" w:name="__RefHeading___a_1_verfahren_132_Copy_1"/>
      <w:bookmarkEnd w:id="268"/>
      <w:r>
        <w:rPr/>
        <w:t>18.1</w:t>
      </w:r>
      <w:bookmarkStart w:id="269" w:name="a_1_verfahren_Copy_1"/>
      <w:r>
        <w:rPr/>
        <w:t xml:space="preserve"> </w:t>
      </w:r>
      <w:r>
        <w:rPr/>
        <w:t>Wichtige Lieferanten</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D</w:t>
            </w:r>
            <w:r>
              <w:rPr>
                <w:shd w:fill="auto" w:val="clear"/>
              </w:rPr>
              <w:t xml:space="preserve">er Lieferant </w:t>
            </w:r>
            <w:r>
              <w:rPr>
                <w:shd w:fill="auto" w:val="clear"/>
              </w:rPr>
              <w:t xml:space="preserve">MUSS analysieren, welche Teile seiner IT-Infrastruktur er benötigt, </w:t>
            </w:r>
            <w:r>
              <w:rPr>
                <w:shd w:fill="auto" w:val="clear"/>
              </w:rPr>
              <w:t xml:space="preserve"> um </w:t>
            </w:r>
            <w:r>
              <w:rPr>
                <w:shd w:fill="auto" w:val="clear"/>
              </w:rPr>
              <w:t xml:space="preserve">die </w:t>
            </w:r>
            <w:r>
              <w:rPr>
                <w:shd w:fill="auto" w:val="clear"/>
              </w:rPr>
              <w:t xml:space="preserve">zugesagten </w:t>
            </w:r>
            <w:r>
              <w:rPr>
                <w:shd w:fill="auto" w:val="clear"/>
              </w:rPr>
              <w:t xml:space="preserve">Produkte und Dienstleistungen für die Organisation in der vereinbarten Qualität, Menge und zum vereinbarten Zeitpunkt </w:t>
            </w:r>
            <w:r>
              <w:rPr>
                <w:shd w:fill="auto" w:val="clear"/>
              </w:rPr>
              <w:t xml:space="preserve">zu </w:t>
            </w:r>
            <w:r>
              <w:rPr>
                <w:shd w:fill="auto" w:val="clear"/>
              </w:rPr>
              <w:t>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Für diese Teile seiner IT-Infrastruktur MUSS er die folgenden Maßnahmen umsetzen: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 xml:space="preserve">3. </w:t>
            </w:r>
            <w:r>
              <w:rPr>
                <w:shd w:fill="auto" w:val="clear"/>
              </w:rPr>
              <w:t>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 xml:space="preserve">4. Wiederanlaufpläne </w:t>
            </w:r>
            <w:r>
              <w:rPr>
                <w:shd w:fill="auto" w:val="clear"/>
              </w:rPr>
              <w:t xml:space="preserve">für wichtige IT-Systeme </w:t>
            </w:r>
            <w:r>
              <w:rPr>
                <w:shd w:fill="auto" w:val="clear"/>
              </w:rPr>
              <w:t xml:space="preserve">(siehe Abschnitt </w:t>
            </w:r>
            <w:r>
              <w:rPr>
                <w:shd w:fill="auto" w:val="clear"/>
              </w:rPr>
              <w:t>17.4)</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highlight w:val="none"/>
                <w:shd w:fill="auto" w:val="clear"/>
              </w:rPr>
            </w:pPr>
            <w:r>
              <w:rPr>
                <w:i/>
                <w:iCs/>
                <w:shd w:fill="auto" w:val="clear"/>
              </w:rPr>
              <w:t xml:space="preserve">Darüber hinaus SOLLTE </w:t>
            </w:r>
            <w:r>
              <w:rPr>
                <w:i/>
                <w:iCs/>
                <w:shd w:fill="auto" w:val="clear"/>
              </w:rPr>
              <w:t xml:space="preserve">der Lieferant </w:t>
            </w:r>
            <w:r>
              <w:rPr>
                <w:i/>
                <w:iCs/>
                <w:shd w:fill="auto" w:val="clear"/>
              </w:rPr>
              <w:t xml:space="preserve">weitere </w:t>
            </w:r>
            <w:r>
              <w:rPr>
                <w:i/>
                <w:iCs/>
                <w:shd w:fill="auto" w:val="clear"/>
              </w:rPr>
              <w:t>notwendige Sicherheitsmaßnahmen</w:t>
            </w:r>
            <w:r>
              <w:rPr>
                <w:i/>
                <w:iCs/>
                <w:shd w:fill="auto" w:val="clear"/>
              </w:rPr>
              <w:t xml:space="preserve"> im Rahmen einer Risikoanalyse und -behandlung </w:t>
            </w:r>
            <w:r>
              <w:rPr>
                <w:i/>
                <w:iCs/>
                <w:shd w:fill="auto" w:val="clear"/>
              </w:rPr>
              <w:t>identifizieren</w:t>
            </w:r>
            <w:r>
              <w:rPr>
                <w:i/>
                <w:iCs/>
                <w:shd w:fill="auto" w:val="clear"/>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i w:val="false"/>
                <w:i w:val="false"/>
                <w:iCs w:val="false"/>
                <w:highlight w:val="none"/>
                <w:shd w:fill="auto" w:val="clear"/>
              </w:rPr>
            </w:pPr>
            <w:r>
              <w:rPr>
                <w:i w:val="false"/>
                <w:iCs w:val="false"/>
                <w:shd w:fill="auto" w:val="clear"/>
              </w:rPr>
              <w:t>Wenn Maßnahme</w:t>
            </w:r>
            <w:r>
              <w:rPr>
                <w:i w:val="false"/>
                <w:iCs w:val="false"/>
                <w:shd w:fill="auto" w:val="clear"/>
              </w:rPr>
              <w:t>n</w:t>
            </w:r>
            <w:r>
              <w:rPr>
                <w:i w:val="false"/>
                <w:iCs w:val="false"/>
                <w:shd w:fill="auto" w:val="clear"/>
              </w:rPr>
              <w:t xml:space="preserve"> nicht </w:t>
            </w:r>
            <w:r>
              <w:rPr>
                <w:i w:val="false"/>
                <w:iCs w:val="false"/>
                <w:shd w:fill="auto" w:val="clear"/>
              </w:rPr>
              <w:t xml:space="preserve">oder nicht </w:t>
            </w:r>
            <w:r>
              <w:rPr>
                <w:i w:val="false"/>
                <w:iCs w:val="false"/>
                <w:shd w:fill="auto" w:val="clear"/>
              </w:rPr>
              <w:t xml:space="preserve">vollständig </w:t>
            </w:r>
            <w:r>
              <w:rPr>
                <w:i w:val="false"/>
                <w:iCs w:val="false"/>
                <w:shd w:fill="auto" w:val="clear"/>
              </w:rPr>
              <w:t xml:space="preserve">umgesetzt </w:t>
            </w:r>
            <w:r>
              <w:rPr>
                <w:i w:val="false"/>
                <w:iCs w:val="false"/>
                <w:shd w:fill="auto" w:val="clear"/>
              </w:rPr>
              <w:t>werden</w:t>
            </w:r>
            <w:r>
              <w:rPr>
                <w:i w:val="false"/>
                <w:iCs w:val="false"/>
                <w:shd w:fill="auto" w:val="clear"/>
              </w:rPr>
              <w:t xml:space="preserve">, MUSS </w:t>
            </w:r>
            <w:r>
              <w:rPr>
                <w:i w:val="false"/>
                <w:iCs w:val="false"/>
                <w:shd w:fill="auto" w:val="clear"/>
              </w:rPr>
              <w:t xml:space="preserve">die Organisation </w:t>
            </w:r>
            <w:r>
              <w:rPr>
                <w:i w:val="false"/>
                <w:iCs w:val="false"/>
                <w:shd w:fill="auto" w:val="clear"/>
              </w:rPr>
              <w:t>dem dadurch entstehenden Risiko durch eine Risikoanalyse und -behandlung (siehe Anhang A 2) begegnet werden.</w:t>
            </w:r>
          </w:p>
        </w:tc>
      </w:tr>
    </w:tbl>
    <w:p>
      <w:pPr>
        <w:pStyle w:val="Heading2"/>
        <w:numPr>
          <w:ilvl w:val="1"/>
          <w:numId w:val="2"/>
        </w:numPr>
        <w:ind w:hanging="0" w:start="0"/>
        <w:rPr/>
      </w:pPr>
      <w:bookmarkStart w:id="270" w:name="__RefHeading___Toc14606_2994401678"/>
      <w:bookmarkEnd w:id="270"/>
      <w:r>
        <w:rPr/>
        <w:t>18.2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highlight w:val="none"/>
                <w:shd w:fill="auto" w:val="clear"/>
              </w:rPr>
            </w:pPr>
            <w:r>
              <w:rPr>
                <w:shd w:fill="auto" w:val="clear"/>
              </w:rPr>
              <w:t xml:space="preserve">Der Lieferant MUSS ein Informationssicherheitsmanagementsystem (ISMS) </w:t>
            </w:r>
            <w:r>
              <w:rPr>
                <w:shd w:fill="auto" w:val="clear"/>
              </w:rPr>
              <w:t xml:space="preserve">vorweisen, </w:t>
            </w:r>
            <w:r>
              <w:rPr>
                <w:shd w:fill="auto" w:val="clear"/>
              </w:rPr>
              <w:t>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shd w:fill="auto" w:val="clear"/>
              </w:rPr>
              <w:t xml:space="preserve">1. </w:t>
            </w:r>
            <w:r>
              <w:rPr>
                <w:shd w:fill="auto" w:val="clear"/>
              </w:rPr>
              <w:t xml:space="preserve">Es </w:t>
            </w:r>
            <w:r>
              <w:rPr>
                <w:shd w:fill="auto" w:val="clear"/>
              </w:rPr>
              <w:t>genügt</w:t>
            </w:r>
            <w:r>
              <w:rPr>
                <w:shd w:fill="auto" w:val="clear"/>
              </w:rPr>
              <w:t xml:space="preserve"> eine</w:t>
            </w:r>
            <w:r>
              <w:rPr>
                <w:shd w:fill="auto" w:val="clear"/>
              </w:rPr>
              <w:t>m</w:t>
            </w:r>
            <w:r>
              <w:rPr>
                <w:shd w:fill="auto" w:val="clear"/>
              </w:rPr>
              <w:t xml:space="preserve"> anerkannten Standard wie z. B. ISO 27001, </w:t>
            </w:r>
            <w:hyperlink r:id="rId20" w:tgtFrame="_self">
              <w:r>
                <w:rPr>
                  <w:rStyle w:val="Hyperlink"/>
                </w:rPr>
                <w:t>BSI-Standard 200-1</w:t>
              </w:r>
            </w:hyperlink>
            <w:r>
              <w:rPr/>
              <w:t xml:space="preserve"> </w:t>
            </w:r>
            <w:r>
              <w:rPr/>
              <w:t>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highlight w:val="none"/>
                <w:shd w:fill="auto" w:val="clear"/>
              </w:rPr>
            </w:pPr>
            <w:r>
              <w:rPr>
                <w:shd w:fill="auto" w:val="clear"/>
              </w:rPr>
              <w:t>2</w:t>
            </w:r>
            <w:r>
              <w:rPr>
                <w:shd w:fill="auto" w:val="clear"/>
              </w:rPr>
              <w:t xml:space="preserve">. </w:t>
            </w:r>
            <w:r>
              <w:rPr>
                <w:shd w:fill="auto" w:val="clear"/>
              </w:rPr>
              <w:t>Es</w:t>
            </w:r>
            <w:r>
              <w:rPr>
                <w:shd w:fill="auto" w:val="clear"/>
              </w:rPr>
              <w:t xml:space="preserve"> </w:t>
            </w:r>
            <w:r>
              <w:rPr>
                <w:shd w:fill="auto" w:val="clear"/>
              </w:rPr>
              <w:t>sichert</w:t>
            </w:r>
            <w:r>
              <w:rPr>
                <w:shd w:fill="auto" w:val="clear"/>
              </w:rPr>
              <w:t xml:space="preserve"> </w:t>
            </w:r>
            <w:r>
              <w:rPr>
                <w:shd w:fill="auto" w:val="clear"/>
              </w:rPr>
              <w:t>alle</w:t>
            </w:r>
            <w:r>
              <w:rPr>
                <w:shd w:fill="auto" w:val="clear"/>
              </w:rPr>
              <w:t xml:space="preserve"> Teile der Informationsverarbeitung </w:t>
            </w:r>
            <w:r>
              <w:rPr>
                <w:shd w:fill="auto" w:val="clear"/>
              </w:rPr>
              <w:t xml:space="preserve">des </w:t>
            </w:r>
            <w:r>
              <w:rPr>
                <w:shd w:fill="auto" w:val="clear"/>
              </w:rPr>
              <w:t>Lieferanten</w:t>
            </w:r>
            <w:r>
              <w:rPr>
                <w:shd w:fill="auto" w:val="clear"/>
              </w:rPr>
              <w:t xml:space="preserve"> </w:t>
            </w:r>
            <w:r>
              <w:rPr>
                <w:shd w:fill="auto" w:val="clear"/>
              </w:rPr>
              <w:t>ab</w:t>
            </w:r>
            <w:r>
              <w:rPr>
                <w:shd w:fill="auto" w:val="clear"/>
              </w:rPr>
              <w:t xml:space="preserve">, die </w:t>
            </w:r>
            <w:r>
              <w:rPr>
                <w:shd w:fill="auto" w:val="clear"/>
              </w:rPr>
              <w:t>er</w:t>
            </w:r>
            <w:r>
              <w:rPr>
                <w:shd w:fill="auto" w:val="clear"/>
              </w:rPr>
              <w:t xml:space="preserve"> </w:t>
            </w:r>
            <w:r>
              <w:rPr>
                <w:shd w:fill="auto" w:val="clear"/>
              </w:rPr>
              <w:t xml:space="preserve">benötigt, um </w:t>
            </w:r>
            <w:r>
              <w:rPr>
                <w:shd w:fill="auto" w:val="clear"/>
              </w:rPr>
              <w:t xml:space="preserve">die </w:t>
            </w:r>
            <w:r>
              <w:rPr>
                <w:shd w:fill="auto" w:val="clear"/>
              </w:rPr>
              <w:t xml:space="preserve">Produkte und Dienstleistungen für die Organisation in der vereinbarten Qualität, Menge und zum vereinbarten Zeitpunkt </w:t>
            </w:r>
            <w:r>
              <w:rPr>
                <w:shd w:fill="auto" w:val="clear"/>
              </w:rPr>
              <w:t xml:space="preserve">zu </w:t>
            </w:r>
            <w:r>
              <w:rPr>
                <w:shd w:fill="auto" w:val="clear"/>
              </w:rPr>
              <w:t>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3.</w:t>
            </w:r>
            <w:r>
              <w:rPr>
                <w:shd w:fill="auto" w:val="clear"/>
              </w:rPr>
              <w:t xml:space="preserve"> </w:t>
            </w:r>
            <w:r>
              <w:rPr>
                <w:shd w:fill="auto" w:val="clear"/>
              </w:rPr>
              <w:t>Es ist</w:t>
            </w:r>
            <w:r>
              <w:rPr>
                <w:shd w:fill="auto" w:val="clear"/>
              </w:rPr>
              <w:t xml:space="preserve">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 xml:space="preserve">Wenn </w:t>
            </w:r>
            <w:r>
              <w:rPr>
                <w:shd w:fill="auto" w:val="clear"/>
              </w:rPr>
              <w:t xml:space="preserve">diese </w:t>
            </w:r>
            <w:r>
              <w:rPr>
                <w:shd w:fill="auto" w:val="clear"/>
              </w:rPr>
              <w:t xml:space="preserve">Maßnahme nicht </w:t>
            </w:r>
            <w:r>
              <w:rPr>
                <w:shd w:fill="auto" w:val="clear"/>
              </w:rPr>
              <w:t xml:space="preserve">oder nicht vollständig </w:t>
            </w:r>
            <w:r>
              <w:rPr>
                <w:shd w:fill="auto" w:val="clear"/>
              </w:rPr>
              <w:t xml:space="preserve">vollständig </w:t>
            </w:r>
            <w:r>
              <w:rPr>
                <w:shd w:fill="auto" w:val="clear"/>
              </w:rPr>
              <w:t>umgesetzt w</w:t>
            </w:r>
            <w:r>
              <w:rPr>
                <w:shd w:fill="auto" w:val="clear"/>
              </w:rPr>
              <w:t>ird</w:t>
            </w:r>
            <w:r>
              <w:rPr>
                <w:shd w:fill="auto" w:val="clear"/>
              </w:rPr>
              <w:t>, MUSS dem dadurch entstehenden Risiko durch eine Risikoanalyse und -behandlung (siehe Anhang A 2) begegnet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highlight w:val="none"/>
                <w:shd w:fill="auto" w:val="clear"/>
              </w:rPr>
            </w:pPr>
            <w:r>
              <w:rPr>
                <w:i/>
                <w:iCs/>
                <w:shd w:fill="auto" w:val="clear"/>
              </w:rPr>
              <w:t>Der Lieferant SOLLTE in die Risikoanalyse und -behandlung</w:t>
            </w:r>
            <w:r>
              <w:rPr>
                <w:i/>
                <w:iCs/>
                <w:shd w:fill="auto" w:val="clear"/>
              </w:rPr>
              <w:t xml:space="preserve"> eingebunden werden.</w:t>
            </w:r>
          </w:p>
        </w:tc>
      </w:tr>
    </w:tbl>
    <w:p>
      <w:pPr>
        <w:pStyle w:val="Heading1"/>
        <w:numPr>
          <w:ilvl w:val="0"/>
          <w:numId w:val="2"/>
        </w:numPr>
        <w:tabs>
          <w:tab w:val="clear" w:pos="709"/>
          <w:tab w:val="left" w:pos="0" w:leader="none"/>
        </w:tabs>
        <w:bidi w:val="0"/>
        <w:ind w:hanging="0" w:start="0"/>
        <w:jc w:val="start"/>
        <w:rPr/>
      </w:pPr>
      <w:bookmarkStart w:id="271" w:name="__RefHeading___Toc14608_2994401678"/>
      <w:bookmarkStart w:id="272" w:name="anhang_a"/>
      <w:bookmarkEnd w:id="271"/>
      <w:r>
        <w:rPr/>
        <w:t>Anhang A</w:t>
      </w:r>
      <w:bookmarkEnd w:id="272"/>
    </w:p>
    <w:p>
      <w:pPr>
        <w:pStyle w:val="Heading2"/>
        <w:numPr>
          <w:ilvl w:val="1"/>
          <w:numId w:val="2"/>
        </w:numPr>
        <w:tabs>
          <w:tab w:val="clear" w:pos="709"/>
          <w:tab w:val="left" w:pos="0" w:leader="none"/>
        </w:tabs>
        <w:bidi w:val="0"/>
        <w:ind w:hanging="0" w:start="0"/>
        <w:jc w:val="start"/>
        <w:rPr/>
      </w:pPr>
      <w:bookmarkStart w:id="273" w:name="__RefHeading___a_1_verfahren_132"/>
      <w:bookmarkStart w:id="274" w:name="a_1_verfahren"/>
      <w:bookmarkEnd w:id="273"/>
      <w:r>
        <w:rPr/>
        <w:t>A 1 Verfahren</w:t>
      </w:r>
      <w:bookmarkEnd w:id="2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75" w:name="__RefHeading___a_2_risikoanalyse_und_-be"/>
      <w:bookmarkStart w:id="276" w:name="a_2_risikoanalyse_und_-behandlung"/>
      <w:bookmarkEnd w:id="275"/>
      <w:r>
        <w:rPr/>
        <w:t>A 2 Risiko</w:t>
      </w:r>
      <w:bookmarkEnd w:id="276"/>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77" w:name="__RefHeading___a_2.1_risikoanalyse_134_C"/>
      <w:bookmarkStart w:id="278" w:name="a_2.1_risikoanalyse_Copy_1"/>
      <w:bookmarkEnd w:id="277"/>
      <w:r>
        <w:rPr/>
        <w:t xml:space="preserve">A 2.1 </w:t>
      </w:r>
      <w:bookmarkEnd w:id="278"/>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79" w:name="__RefHeading___a_2.1_risikoanalyse_134"/>
      <w:bookmarkStart w:id="280" w:name="a_2.1_risikoanalyse"/>
      <w:bookmarkEnd w:id="279"/>
      <w:r>
        <w:rPr/>
        <w:t>A 2.2 Risikoanalyse</w:t>
      </w:r>
      <w:bookmarkEnd w:id="28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81" w:name="__RefHeading___a_2.2_risikobehandlung_13"/>
      <w:bookmarkStart w:id="282" w:name="a_2.2_risikobehandlung"/>
      <w:bookmarkEnd w:id="281"/>
      <w:r>
        <w:rPr/>
        <w:t>A 2.3 Risikobehandlung</w:t>
      </w:r>
      <w:bookmarkEnd w:id="2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
          </w:p>
          <w:p>
            <w:pPr>
              <w:pStyle w:val="TableContents"/>
              <w:rPr/>
            </w:pPr>
            <w:r>
              <w:rPr>
                <w:rFonts w:eastAsia="Bitstream Vera Sans" w:cs="Bitstream Vera Sans"/>
                <w:color w:val="auto"/>
                <w:kern w:val="0"/>
                <w:sz w:val="20"/>
                <w:szCs w:val="24"/>
                <w:lang w:val="de-DE" w:eastAsia="en-US" w:bidi="en-US"/>
              </w:rPr>
              <w:t xml:space="preserve">0.4.4: </w:t>
            </w:r>
            <w:r>
              <w:rPr>
                <w:rFonts w:eastAsia="Bitstream Vera Sans" w:cs="Bitstream Vera Sans"/>
                <w:color w:val="auto"/>
                <w:kern w:val="0"/>
                <w:sz w:val="20"/>
                <w:szCs w:val="24"/>
                <w:lang w:val="de-DE" w:eastAsia="en-US" w:bidi="en-US"/>
              </w:rPr>
              <w:t>Dokumentation der E</w:t>
            </w: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nschätzung der Wirksamkeit gestrichen. Wirksamkeit wird durch die folgenden Maßnahmen geprüft und dokumentiert.</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Die Dokumentation der Maßnahmen MUSS beinhalten, warum sie als geeignet </w:t>
            </w:r>
            <w:r>
              <w:rPr/>
              <w:t>und</w:t>
            </w:r>
            <w:r>
              <w:rPr/>
              <w:t xml:space="preserve">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 xml:space="preserve">erhebliche </w:t>
            </w:r>
            <w:r>
              <w:rPr/>
              <w:t>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83" w:name="__RefHeading___a_2.3_wiederholung_und_an"/>
      <w:bookmarkStart w:id="284" w:name="a_2.3_wiederholung_und_anpassung"/>
      <w:bookmarkEnd w:id="283"/>
      <w:r>
        <w:rPr/>
        <w:t>A 2.4 Wiederholung und Anpassung</w:t>
      </w:r>
      <w:bookmarkEnd w:id="2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85" w:name="__RefHeading___a_2.3_wiederholung_und_a1"/>
      <w:bookmarkStart w:id="286" w:name="a_2.3_wiederholung_und_anpassung_Copy_1_"/>
      <w:bookmarkEnd w:id="285"/>
      <w:r>
        <w:rPr/>
        <w:t xml:space="preserve">A 2.5 </w:t>
      </w:r>
      <w:bookmarkEnd w:id="286"/>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w:t>
            </w:r>
            <w:r>
              <w:rPr/>
              <w:t xml:space="preserve">: </w:t>
            </w:r>
            <w:r>
              <w:rPr/>
              <w:t>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w:t>
            </w:r>
            <w:r>
              <w:rPr/>
              <w:t>as Topmanagement</w:t>
            </w:r>
            <w:r>
              <w:rPr/>
              <w:t xml:space="preserve"> MUSS jährlich prüfen, ob </w:t>
            </w:r>
            <w:r>
              <w:rPr/>
              <w:t xml:space="preserve">die Maßnahmen des Risikomanagements </w:t>
            </w:r>
            <w:r>
              <w:rPr/>
              <w:t xml:space="preserve">umgesetzt sind und ob </w:t>
            </w:r>
            <w:r>
              <w:rPr/>
              <w:t xml:space="preserve">Änderungen an </w:t>
            </w:r>
            <w:r>
              <w:rPr/>
              <w:t>gesetzlichen,</w:t>
            </w:r>
            <w:r>
              <w:rPr/>
              <w:t xml:space="preserve"> vertraglichen </w:t>
            </w:r>
            <w:r>
              <w:rPr/>
              <w:t xml:space="preserve">oder betrieblichen </w:t>
            </w:r>
            <w:r>
              <w:rPr/>
              <w:t xml:space="preserve">Rahmenbedingungen eine Anpassung der </w:t>
            </w:r>
            <w:r>
              <w:rPr/>
              <w:t>Maßnahmen</w:t>
            </w:r>
            <w:r>
              <w:rPr/>
              <w:t xml:space="preserve">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bl>
    <w:p>
      <w:pPr>
        <w:pStyle w:val="BodyText"/>
        <w:numPr>
          <w:ilvl w:val="0"/>
          <w:numId w:val="2"/>
        </w:numPr>
        <w:spacing w:before="0" w:after="120"/>
        <w:rPr/>
      </w:pPr>
      <w:r>
        <w:rPr/>
      </w:r>
    </w:p>
    <w:sectPr>
      <w:headerReference w:type="default" r:id="rId21"/>
      <w:footerReference w:type="default" r:id="rId22"/>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99</w:t>
    </w:r>
    <w:r>
      <w:rPr/>
      <w:fldChar w:fldCharType="end"/>
    </w:r>
    <w:r>
      <w:rPr/>
      <w:t xml:space="preserve"> von </w:t>
    </w:r>
    <w:r>
      <w:rPr/>
      <w:fldChar w:fldCharType="begin"/>
    </w:r>
    <w:r>
      <w:rPr/>
      <w:instrText xml:space="preserve"> NUMPAGES </w:instrText>
    </w:r>
    <w:r>
      <w:rPr/>
      <w:fldChar w:fldCharType="separate"/>
    </w:r>
    <w:r>
      <w:rPr/>
      <w:t>99</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r>
      <w:rPr>
        <w:u w:val="single"/>
      </w:rPr>
      <w:t>9</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tru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tru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tru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yperlink" Target="https://www.bsi.bund.de/SharedDocs/Downloads/DE/BSI/Publikationen/TechnischeRichtlinien/TR02102/BSI-TR-02102.pdf" TargetMode="External"/><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15090</TotalTime>
  <Application>LibreOffice/24.2.5.2$Linux_X86_64 LibreOffice_project/bffef4ea93e59bebbeaf7f431bb02b1a39ee8a59</Application>
  <AppVersion>15.0000</AppVersion>
  <Pages>99</Pages>
  <Words>26153</Words>
  <Characters>178020</Characters>
  <CharactersWithSpaces>200410</CharactersWithSpaces>
  <Paragraphs>3722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2024-09-06T10:22:15Z</cp:lastPrinted>
  <dcterms:modified xsi:type="dcterms:W3CDTF">2024-09-06T10:32:21Z</dcterms:modified>
  <cp:revision>309</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