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8</w:t>
      </w:r>
      <w:r>
        <w:rPr/>
        <w:t xml:space="preserve"> vom 0</w:t>
      </w:r>
      <w:r>
        <w:rPr/>
        <w:t>6</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0.4.8 vom 06.09.2024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64</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65</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kritische_individualsoftw">
            <w:r>
              <w:rPr>
                <w:rStyle w:val="IndexLink"/>
              </w:rPr>
              <w:t>10.5.6 Besonders schützenswerte Individualsoftware</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84</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85</w:t>
            </w:r>
          </w:hyperlink>
        </w:p>
        <w:p>
          <w:pPr>
            <w:pStyle w:val="TOC3"/>
            <w:rPr/>
          </w:pPr>
          <w:hyperlink w:anchor="__RefHeading___mobile_it-systeme_117">
            <w:r>
              <w:rPr>
                <w:rStyle w:val="IndexLink"/>
              </w:rPr>
              <w:t>16.5.4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92</w:t>
            </w:r>
          </w:hyperlink>
        </w:p>
        <w:p>
          <w:pPr>
            <w:pStyle w:val="TOC2"/>
            <w:rPr/>
          </w:pPr>
          <w:hyperlink w:anchor="__RefHeading___a_1_verfahren_132_Copy_1">
            <w:r>
              <w:rPr>
                <w:rStyle w:val="IndexLink"/>
              </w:rPr>
              <w:t>18.1 Wichtige Lieferanten</w:t>
              <w:tab/>
              <w:t>93</w:t>
            </w:r>
          </w:hyperlink>
        </w:p>
        <w:p>
          <w:pPr>
            <w:pStyle w:val="TOC3"/>
            <w:rPr/>
          </w:pPr>
          <w:hyperlink w:anchor="__RefHeading___a_1_verfahren_132_Copy_1_">
            <w:r>
              <w:rPr>
                <w:rStyle w:val="IndexLink"/>
              </w:rPr>
              <w:t>18.1.1 Basisschutz</w:t>
              <w:tab/>
              <w:t>94</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97</w:t>
            </w:r>
          </w:hyperlink>
        </w:p>
        <w:p>
          <w:pPr>
            <w:pStyle w:val="TOC3"/>
            <w:rPr/>
          </w:pPr>
          <w:hyperlink w:anchor="__RefHeading___a_2.3_wiederholung_und_an">
            <w:r>
              <w:rPr>
                <w:rStyle w:val="IndexLink"/>
              </w:rPr>
              <w:t>A 2.4 Wiederholung und Anpassung</w:t>
              <w:tab/>
              <w:t>98</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r>
              <w:rPr>
                <w:rFonts w:eastAsia="Bitstream Vera Sans" w:cs="Bitstream Vera Sans"/>
                <w:b w:val="false"/>
                <w:bCs w:val="false"/>
                <w:color w:val="auto"/>
                <w:kern w:val="0"/>
                <w:sz w:val="20"/>
                <w:szCs w:val="24"/>
                <w:lang w:val="de-DE" w:eastAsia="en-US" w:bidi="en-US"/>
              </w:rPr>
              <w:t>grundlegend</w:t>
            </w:r>
            <w:r>
              <w:rPr>
                <w:rFonts w:eastAsia="Bitstream Vera Sans" w:cs="Bitstream Vera Sans"/>
                <w:b w:val="false"/>
                <w:bCs w:val="false"/>
                <w:color w:val="auto"/>
                <w:kern w:val="0"/>
                <w:sz w:val="20"/>
                <w:szCs w:val="24"/>
                <w:lang w:val="de-DE" w:eastAsia="en-US" w:bidi="en-US"/>
              </w:rPr>
              <w:t xml:space="preserve">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schützenswerte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0.4.8-</w:t>
            </w:r>
            <w:r>
              <w:rPr>
                <w:rFonts w:eastAsia="Bitstream Vera Sans" w:cs="Bitstream Vera Sans"/>
                <w:color w:val="auto"/>
                <w:kern w:val="0"/>
                <w:sz w:val="20"/>
                <w:szCs w:val="24"/>
                <w:lang w:val="de-DE" w:eastAsia="en-US" w:bidi="en-US"/>
              </w:rPr>
              <w:t>T</w:t>
            </w:r>
            <w:r>
              <w:rPr>
                <w:rFonts w:eastAsia="Bitstream Vera Sans" w:cs="Bitstream Vera Sans"/>
                <w:color w:val="auto"/>
                <w:kern w:val="0"/>
                <w:sz w:val="20"/>
                <w:szCs w:val="24"/>
                <w:lang w:val="de-DE" w:eastAsia="en-US" w:bidi="en-US"/>
              </w:rPr>
              <w: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w:t>
            </w:r>
            <w:r>
              <w:rPr/>
              <w:t>die</w:t>
            </w:r>
            <w:r>
              <w:rPr/>
              <w:t xml:space="preserve"> wichtigen und die besonders s</w:t>
            </w:r>
            <w:r>
              <w:rPr/>
              <w:t>ensiblen</w:t>
            </w:r>
            <w:r>
              <w:rPr/>
              <w:t xml:space="preserve"> </w:t>
            </w:r>
            <w:r>
              <w:rPr/>
              <w:t>Lieferanten</w:t>
            </w:r>
            <w:r>
              <w:rPr/>
              <w:t xml:space="preserve"> </w:t>
            </w:r>
            <w:r>
              <w:rPr/>
              <w:t xml:space="preserve">der Organisation </w:t>
            </w:r>
            <w:r>
              <w:rPr/>
              <w:t xml:space="preserve">ermitteln, jährlich prüfen, ob die </w:t>
            </w:r>
            <w:r>
              <w:rPr/>
              <w:t xml:space="preserve">entsprechende </w:t>
            </w:r>
            <w:r>
              <w:rPr/>
              <w:t>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 Lieferanten</w:t>
            </w:r>
            <w:r>
              <w:rPr/>
              <w:t xml:space="preserve">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w:t>
            </w:r>
            <w:r>
              <w:rPr>
                <w:rStyle w:val="Emphasis"/>
              </w:rPr>
              <w:t>sensible</w:t>
            </w:r>
            <w:r>
              <w:rPr>
                <w:rStyle w:val="Emphasis"/>
              </w:rPr>
              <w:t xml:space="preserve"> </w:t>
            </w:r>
            <w:r>
              <w:rPr>
                <w:rStyle w:val="Emphasis"/>
              </w:rPr>
              <w:t>Lieferanten</w:t>
            </w:r>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0.4.7: </w:t>
            </w:r>
            <w:r>
              <w:rPr>
                <w:rFonts w:eastAsia="Bitstream Vera Sans" w:cs="Bitstream Vera Sans"/>
                <w:color w:val="auto"/>
                <w:kern w:val="0"/>
                <w:sz w:val="20"/>
                <w:szCs w:val="24"/>
                <w:lang w:val="de-DE" w:eastAsia="en-US" w:bidi="en-US"/>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Wichtige </w:t>
            </w:r>
            <w:r>
              <w:rPr/>
              <w:t>Lieferanten</w:t>
            </w:r>
            <w:r>
              <w:rPr/>
              <w:t xml:space="preserve"> sind </w:t>
            </w:r>
            <w:r>
              <w:rPr/>
              <w:t>Lieferanten</w:t>
            </w:r>
            <w:r>
              <w:rPr/>
              <w:t>,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Bei der Bestimmung der MTA SOLLTEN Abhängigkeiten zwischen wichtigen </w:t>
            </w:r>
            <w:r>
              <w:rPr>
                <w:rStyle w:val="Emphasi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wichtigen </w:t>
            </w:r>
            <w:r>
              <w:rPr/>
              <w:t>Lieferanten</w:t>
            </w:r>
            <w:r>
              <w:rPr/>
              <w:t xml:space="preserve"> und deren Dokumentation MUSS vo</w:t>
            </w:r>
            <w:r>
              <w:rPr/>
              <w:t>n den jeweiligen Prozessverantwortlichen</w:t>
            </w:r>
            <w:r>
              <w:rPr/>
              <w:t xml:space="preserve">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 xml:space="preserve">sensiblen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 Lieferanten</w:t>
            </w:r>
            <w:r>
              <w:rPr/>
              <w:t xml:space="preserve"> sind </w:t>
            </w:r>
            <w:r>
              <w:rPr/>
              <w:t>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w:t>
            </w:r>
            <w:r>
              <w:rPr/>
              <w:t>2</w:t>
            </w:r>
            <w:r>
              <w:rPr/>
              <w:t xml:space="preserve">) </w:t>
            </w:r>
            <w:r>
              <w:rPr/>
              <w:t xml:space="preserve">und die besonders schützenswerten IT-Ressourcen (siehe Abschnitt 9.2.3) </w:t>
            </w:r>
            <w:r>
              <w:rPr/>
              <w:t>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t>
            </w:r>
            <w:r>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Begründung zu § 30:</w:t>
              <w:br/>
            </w:r>
            <w:r>
              <w:rPr>
                <w:rFonts w:eastAsia="Bitstream Vera Sans" w:cs="Bitstream Vera Sans"/>
                <w:color w:val="auto"/>
                <w:kern w:val="0"/>
                <w:sz w:val="20"/>
                <w:szCs w:val="24"/>
                <w:lang w:val="de-DE" w:eastAsia="en-US" w:bidi="en-US"/>
              </w:rPr>
              <w:t>„Die hier genannten Vorgaben insbesondere im Bereich der Sicherheit der Lieferkette können auch die</w:t>
            </w:r>
          </w:p>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Durchführung von External Attack Surface (EAS) Scans beinhalten.“ </w:t>
            </w:r>
            <w:r>
              <w:rPr>
                <w:rFonts w:eastAsia="Bitstream Vera Sans" w:cs="Bitstream Vera Sans"/>
                <w:color w:val="auto"/>
                <w:kern w:val="0"/>
                <w:sz w:val="20"/>
                <w:szCs w:val="24"/>
                <w:lang w:val="de-DE" w:eastAsia="en-US" w:bidi="en-US"/>
              </w:rPr>
              <w:t>(Seite 160)</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Unter Maßnahmen zur Sicherheit der Lieferkette sind beispielsweise vertragliche Vereinbarungen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w:t>
            </w:r>
            <w:r>
              <w:rPr>
                <w:rFonts w:eastAsia="Bitstream Vera Sans" w:cs="Bitstream Vera Sans"/>
                <w:color w:val="auto"/>
                <w:kern w:val="0"/>
                <w:sz w:val="20"/>
                <w:szCs w:val="24"/>
                <w:lang w:val="de-DE" w:eastAsia="en-US" w:bidi="en-US"/>
              </w:rPr>
              <w:t>1</w:t>
            </w:r>
            <w:r>
              <w:rPr>
                <w:rFonts w:eastAsia="Bitstream Vera Sans" w:cs="Bitstream Vera Sans"/>
                <w:color w:val="auto"/>
                <w:kern w:val="0"/>
                <w:sz w:val="20"/>
                <w:szCs w:val="24"/>
                <w:lang w:val="de-DE" w:eastAsia="en-US" w:bidi="en-US"/>
              </w:rPr>
              <w:t>)</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4.8 DISKUSSION: Wir sollten vorschreiben, wie die Maßnahmen ausgewählt werden sollen den Weg vorzuschreiben, wie die Maßnahmen ermittelt werden müssen.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Produkte und Dienstleistungen eingekauft werden </w:t>
            </w:r>
            <w:r>
              <w:rPr/>
              <w:t>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t>
      </w:r>
      <w:r>
        <w:rPr/>
        <w:t>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Die Maßnahmen der folgende Abschnitte </w:t>
            </w:r>
            <w:r>
              <w:rPr>
                <w:shd w:fill="auto" w:val="clear"/>
              </w:rPr>
              <w:t>MUSS</w:t>
            </w:r>
            <w:r>
              <w:rPr>
                <w:shd w:fill="auto" w:val="clear"/>
              </w:rPr>
              <w:t xml:space="preserve"> </w:t>
            </w:r>
            <w:r>
              <w:rPr>
                <w:shd w:fill="auto" w:val="clear"/>
              </w:rPr>
              <w:t xml:space="preserve">der Lieferant </w:t>
            </w:r>
            <w:r>
              <w:rPr>
                <w:shd w:fill="auto" w:val="clear"/>
              </w:rPr>
              <w:t xml:space="preserve">für </w:t>
            </w:r>
            <w:r>
              <w:rPr>
                <w:shd w:fill="auto" w:val="clear"/>
              </w:rPr>
              <w:t>alle</w:t>
            </w:r>
            <w:r>
              <w:rPr>
                <w:shd w:fill="auto" w:val="clear"/>
              </w:rPr>
              <w:t xml:space="preserve"> Teile </w:t>
            </w:r>
            <w:r>
              <w:rPr>
                <w:shd w:fill="auto" w:val="clear"/>
              </w:rPr>
              <w:t>seiner</w:t>
            </w:r>
            <w:r>
              <w:rPr>
                <w:shd w:fill="auto" w:val="clear"/>
              </w:rPr>
              <w:t xml:space="preserve"> Informationsverarbeitung </w:t>
            </w:r>
            <w:r>
              <w:rPr>
                <w:shd w:fill="auto" w:val="clear"/>
              </w:rPr>
              <w:t>umsetzen</w:t>
            </w:r>
            <w:r>
              <w:rPr>
                <w:shd w:fill="auto" w:val="clear"/>
              </w:rPr>
              <w:t xml:space="preserve">, die </w:t>
            </w:r>
            <w:r>
              <w:rPr>
                <w:shd w:fill="auto" w:val="clear"/>
              </w:rPr>
              <w:t>er</w:t>
            </w:r>
            <w:r>
              <w:rPr>
                <w:shd w:fill="auto" w:val="clear"/>
              </w:rPr>
              <w:t xml:space="preserve"> </w:t>
            </w:r>
            <w:r>
              <w:rPr>
                <w:shd w:fill="auto" w:val="clear"/>
              </w:rPr>
              <w:t xml:space="preserve">benötigt, um </w:t>
            </w:r>
            <w:r>
              <w:rPr>
                <w:shd w:fill="auto" w:val="clear"/>
              </w:rPr>
              <w:t xml:space="preserve">die </w:t>
            </w:r>
            <w:r>
              <w:rPr>
                <w:shd w:fill="auto" w:val="clear"/>
              </w:rPr>
              <w:t xml:space="preserve">zugesagten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Wenn Maßnahme</w:t>
            </w:r>
            <w:r>
              <w:rPr>
                <w:shd w:fill="auto" w:val="clear"/>
              </w:rPr>
              <w:t>n</w:t>
            </w:r>
            <w:r>
              <w:rPr>
                <w:shd w:fill="auto" w:val="clear"/>
              </w:rPr>
              <w:t xml:space="preserve"> nicht </w:t>
            </w:r>
            <w:r>
              <w:rPr>
                <w:shd w:fill="auto" w:val="clear"/>
              </w:rPr>
              <w:t xml:space="preserve">oder nicht </w:t>
            </w:r>
            <w:r>
              <w:rPr>
                <w:shd w:fill="auto" w:val="clear"/>
              </w:rPr>
              <w:t xml:space="preserve">vollständig </w:t>
            </w:r>
            <w:r>
              <w:rPr>
                <w:shd w:fill="auto" w:val="clear"/>
              </w:rPr>
              <w:t xml:space="preserve">umgesetzt </w:t>
            </w:r>
            <w:r>
              <w:rPr>
                <w:shd w:fill="auto" w:val="clear"/>
              </w:rPr>
              <w:t>werden</w:t>
            </w:r>
            <w:r>
              <w:rPr>
                <w:shd w:fill="auto" w:val="clear"/>
              </w:rPr>
              <w:t xml:space="preserve">, MUSS </w:t>
            </w:r>
            <w:r>
              <w:rPr>
                <w:shd w:fill="auto" w:val="clear"/>
              </w:rPr>
              <w:t xml:space="preserve">die Organisation </w:t>
            </w:r>
            <w:r>
              <w:rPr>
                <w:shd w:fill="auto" w:val="clear"/>
              </w:rPr>
              <w:t>dem dadurch entstehenden Risiko durch eine Risikoanalyse und -behandlung (siehe Anhang A 2) begegnet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 xml:space="preserve">Der </w:t>
            </w:r>
            <w:r>
              <w:rPr>
                <w:i/>
                <w:iCs/>
                <w:shd w:fill="auto" w:val="clear"/>
              </w:rPr>
              <w:t>Lieferant SOLLTE in die Risikoanalyse</w:t>
            </w:r>
            <w:r>
              <w:rPr>
                <w:i/>
                <w:iCs/>
                <w:shd w:fill="auto" w:val="clear"/>
              </w:rPr>
              <w:t xml:space="preserve"> </w:t>
            </w:r>
            <w:r>
              <w:rPr>
                <w:i/>
                <w:iCs/>
                <w:shd w:fill="auto" w:val="clear"/>
              </w:rPr>
              <w:t xml:space="preserve">und -behandlung </w:t>
            </w:r>
            <w:r>
              <w:rPr>
                <w:i/>
                <w:iCs/>
                <w:shd w:fill="auto" w:val="clear"/>
              </w:rPr>
              <w:t>eingebunden werden.</w:t>
            </w:r>
          </w:p>
        </w:tc>
      </w:tr>
    </w:tbl>
    <w:p>
      <w:pPr>
        <w:pStyle w:val="Heading3"/>
        <w:numPr>
          <w:ilvl w:val="2"/>
          <w:numId w:val="2"/>
        </w:numPr>
        <w:rPr/>
      </w:pPr>
      <w:bookmarkStart w:id="270" w:name="__RefHeading___a_1_verfahren_132_Copy_1_"/>
      <w:bookmarkEnd w:id="270"/>
      <w:r>
        <w:rPr/>
        <w:t>18.1.</w:t>
      </w:r>
      <w:r>
        <w:rPr/>
        <w:t>1</w:t>
      </w:r>
      <w:bookmarkStart w:id="271" w:name="a_1_verfahren_Copy_1_Copy_1"/>
      <w:r>
        <w:rPr/>
        <w:t xml:space="preserve"> </w:t>
      </w:r>
      <w:bookmarkEnd w:id="271"/>
      <w:r>
        <w:rPr/>
        <w:t>Basisschutz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Die betroffene IT-Infrastruktur MUSS über folgende Sicherheitsmaßnahmen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3. </w:t>
            </w:r>
            <w:r>
              <w:rPr>
                <w:shd w:fill="auto" w:val="clear"/>
              </w:rPr>
              <w:t>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4. Wiederanlaufpläne </w:t>
            </w:r>
            <w:r>
              <w:rPr>
                <w:shd w:fill="auto" w:val="clear"/>
              </w:rPr>
              <w:t xml:space="preserve">für wichtige IT-Systeme </w:t>
            </w:r>
            <w:r>
              <w:rPr>
                <w:shd w:fill="auto" w:val="clear"/>
              </w:rPr>
              <w:t xml:space="preserve">(siehe Abschnitt </w:t>
            </w:r>
            <w:r>
              <w:rPr>
                <w:shd w:fill="auto" w:val="clear"/>
              </w:rPr>
              <w:t>17.4)</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Darüber hinaus SOLLTEN weitere Maßnahmen im Rahmen einer Risikoanalyse und -behandlung mit dem Zulieferer vereinbart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r>
    </w:tbl>
    <w:p>
      <w:pPr>
        <w:pStyle w:val="Heading2"/>
        <w:numPr>
          <w:ilvl w:val="1"/>
          <w:numId w:val="2"/>
        </w:numPr>
        <w:ind w:hanging="0" w:start="0"/>
        <w:rPr/>
      </w:pPr>
      <w:bookmarkStart w:id="272" w:name="__RefHeading___Toc14606_2994401678"/>
      <w:bookmarkEnd w:id="272"/>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 xml:space="preserve">Der Lieferant MUSS ein Informationssicherheitsmanagementsystem (ISMS) </w:t>
            </w:r>
            <w:r>
              <w:rPr>
                <w:shd w:fill="auto" w:val="clear"/>
              </w:rPr>
              <w:t xml:space="preserve">vorweisen, </w:t>
            </w:r>
            <w:r>
              <w:rPr>
                <w:shd w:fill="auto" w:val="clear"/>
              </w:rPr>
              <w:t>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w:t>
            </w:r>
            <w:r>
              <w:rPr>
                <w:shd w:fill="auto" w:val="clear"/>
              </w:rPr>
              <w:t xml:space="preserve">Es </w:t>
            </w:r>
            <w:r>
              <w:rPr>
                <w:shd w:fill="auto" w:val="clear"/>
              </w:rPr>
              <w:t>genügt</w:t>
            </w:r>
            <w:r>
              <w:rPr>
                <w:shd w:fill="auto" w:val="clear"/>
              </w:rPr>
              <w:t xml:space="preserve"> eine</w:t>
            </w:r>
            <w:r>
              <w:rPr>
                <w:shd w:fill="auto" w:val="clear"/>
              </w:rPr>
              <w:t>m</w:t>
            </w:r>
            <w:r>
              <w:rPr>
                <w:shd w:fill="auto" w:val="clear"/>
              </w:rPr>
              <w:t xml:space="preserve"> anerkannten Standard wie z. B. ISO 27001, </w:t>
            </w:r>
            <w:hyperlink r:id="rId20" w:tgtFrame="_self">
              <w:r>
                <w:rPr>
                  <w:rStyle w:val="Hyperlink"/>
                </w:rPr>
                <w:t>BSI-Standard 200-1</w:t>
              </w:r>
            </w:hyperlink>
            <w:r>
              <w:rPr/>
              <w:t xml:space="preserve"> </w:t>
            </w:r>
            <w:r>
              <w:rPr/>
              <w:t>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2</w:t>
            </w:r>
            <w:r>
              <w:rPr>
                <w:shd w:fill="auto" w:val="clear"/>
              </w:rPr>
              <w:t xml:space="preserve">. </w:t>
            </w:r>
            <w:r>
              <w:rPr>
                <w:shd w:fill="auto" w:val="clear"/>
              </w:rPr>
              <w:t>Es</w:t>
            </w:r>
            <w:r>
              <w:rPr>
                <w:shd w:fill="auto" w:val="clear"/>
              </w:rPr>
              <w:t xml:space="preserve"> </w:t>
            </w:r>
            <w:r>
              <w:rPr>
                <w:shd w:fill="auto" w:val="clear"/>
              </w:rPr>
              <w:t>sichert</w:t>
            </w:r>
            <w:r>
              <w:rPr>
                <w:shd w:fill="auto" w:val="clear"/>
              </w:rPr>
              <w:t xml:space="preserve"> </w:t>
            </w:r>
            <w:r>
              <w:rPr>
                <w:shd w:fill="auto" w:val="clear"/>
              </w:rPr>
              <w:t>alle</w:t>
            </w:r>
            <w:r>
              <w:rPr>
                <w:shd w:fill="auto" w:val="clear"/>
              </w:rPr>
              <w:t xml:space="preserve"> Teile der Informationsverarbeitung </w:t>
            </w:r>
            <w:r>
              <w:rPr>
                <w:shd w:fill="auto" w:val="clear"/>
              </w:rPr>
              <w:t xml:space="preserve">des </w:t>
            </w:r>
            <w:r>
              <w:rPr>
                <w:shd w:fill="auto" w:val="clear"/>
              </w:rPr>
              <w:t>Lieferanten</w:t>
            </w:r>
            <w:r>
              <w:rPr>
                <w:shd w:fill="auto" w:val="clear"/>
              </w:rPr>
              <w:t xml:space="preserve"> </w:t>
            </w:r>
            <w:r>
              <w:rPr>
                <w:shd w:fill="auto" w:val="clear"/>
              </w:rPr>
              <w:t>ab</w:t>
            </w:r>
            <w:r>
              <w:rPr>
                <w:shd w:fill="auto" w:val="clear"/>
              </w:rPr>
              <w:t xml:space="preserve">, die </w:t>
            </w:r>
            <w:r>
              <w:rPr>
                <w:shd w:fill="auto" w:val="clear"/>
              </w:rPr>
              <w:t>er</w:t>
            </w:r>
            <w:r>
              <w:rPr>
                <w:shd w:fill="auto" w:val="clear"/>
              </w:rPr>
              <w:t xml:space="preserve"> </w:t>
            </w:r>
            <w:r>
              <w:rPr>
                <w:shd w:fill="auto" w:val="clear"/>
              </w:rPr>
              <w:t xml:space="preserve">benötigt, um </w:t>
            </w:r>
            <w:r>
              <w:rPr>
                <w:shd w:fill="auto" w:val="clear"/>
              </w:rPr>
              <w:t xml:space="preserve">die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3.</w:t>
            </w:r>
            <w:r>
              <w:rPr>
                <w:shd w:fill="auto" w:val="clear"/>
              </w:rPr>
              <w:t xml:space="preserve"> </w:t>
            </w:r>
            <w:r>
              <w:rPr>
                <w:shd w:fill="auto" w:val="clear"/>
              </w:rPr>
              <w:t>Es ist</w:t>
            </w:r>
            <w:r>
              <w:rPr>
                <w:shd w:fill="auto" w:val="clear"/>
              </w:rPr>
              <w:t xml:space="preserve">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Wenn </w:t>
            </w:r>
            <w:r>
              <w:rPr>
                <w:shd w:fill="auto" w:val="clear"/>
              </w:rPr>
              <w:t xml:space="preserve">diese </w:t>
            </w:r>
            <w:r>
              <w:rPr>
                <w:shd w:fill="auto" w:val="clear"/>
              </w:rPr>
              <w:t xml:space="preserve">Maßnahme nicht </w:t>
            </w:r>
            <w:r>
              <w:rPr>
                <w:shd w:fill="auto" w:val="clear"/>
              </w:rPr>
              <w:t xml:space="preserve">oder nicht vollständig </w:t>
            </w:r>
            <w:r>
              <w:rPr>
                <w:shd w:fill="auto" w:val="clear"/>
              </w:rPr>
              <w:t xml:space="preserve">vollständig </w:t>
            </w:r>
            <w:r>
              <w:rPr>
                <w:shd w:fill="auto" w:val="clear"/>
              </w:rPr>
              <w:t>umgesetzt w</w:t>
            </w:r>
            <w:r>
              <w:rPr>
                <w:shd w:fill="auto" w:val="clear"/>
              </w:rPr>
              <w:t>ird</w:t>
            </w:r>
            <w:r>
              <w:rPr>
                <w:shd w:fill="auto" w:val="clear"/>
              </w:rPr>
              <w:t>, MUSS dem dadurch entstehenden Risiko durch eine Risikoanalyse und -behandlung (siehe Anhang A 2) begegnet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Der Lieferant SOLLTE in die Risikoanalyse und -behandlung</w:t>
            </w:r>
            <w:r>
              <w:rPr>
                <w:i/>
                <w:iCs/>
                <w:shd w:fill="auto" w:val="clear"/>
              </w:rPr>
              <w:t xml:space="preserve"> eingebunden werden.</w:t>
            </w:r>
          </w:p>
        </w:tc>
      </w:tr>
    </w:tbl>
    <w:p>
      <w:pPr>
        <w:pStyle w:val="Heading1"/>
        <w:numPr>
          <w:ilvl w:val="0"/>
          <w:numId w:val="2"/>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2"/>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99</w:t>
    </w:r>
    <w:r>
      <w:rPr/>
      <w:fldChar w:fldCharType="end"/>
    </w:r>
    <w:r>
      <w:rPr/>
      <w:t xml:space="preserve"> von </w:t>
    </w:r>
    <w:r>
      <w:rPr/>
      <w:fldChar w:fldCharType="begin"/>
    </w:r>
    <w:r>
      <w:rPr/>
      <w:instrText xml:space="preserve"> NUMPAGES </w:instrText>
    </w:r>
    <w:r>
      <w:rPr/>
      <w:fldChar w:fldCharType="separate"/>
    </w:r>
    <w:r>
      <w:rPr/>
      <w:t>99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15079</TotalTime>
  <Application>LibreOffice/24.2.5.2$Linux_X86_64 LibreOffice_project/bffef4ea93e59bebbeaf7f431bb02b1a39ee8a59</Application>
  <AppVersion>15.0000</AppVersion>
  <Pages>99</Pages>
  <Words>26180</Words>
  <Characters>178186</Characters>
  <CharactersWithSpaces>200595</CharactersWithSpaces>
  <Paragraphs>3728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2024-09-05T12:43:15Z</cp:lastPrinted>
  <dcterms:modified xsi:type="dcterms:W3CDTF">2024-09-06T10:22:09Z</dcterms:modified>
  <cp:revision>305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