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0.4.</w:t>
      </w:r>
      <w:r>
        <w:rPr/>
        <w:t>5</w:t>
      </w:r>
      <w:r>
        <w:rPr/>
        <w:t xml:space="preserve"> vom 0</w:t>
      </w:r>
      <w:r>
        <w:rPr/>
        <w:t>3</w:t>
      </w:r>
      <w:r>
        <w:rPr/>
        <w:t>.09.2024</w:t>
      </w:r>
    </w:p>
    <w:p>
      <w:pPr>
        <w:pStyle w:val="Heading1"/>
        <w:numPr>
          <w:ilvl w:val="0"/>
          <w:numId w:val="1"/>
        </w:numPr>
        <w:ind w:hanging="0" w:start="0"/>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0.4.5 vom 03.09.2024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42</w:t>
            </w:r>
          </w:hyperlink>
        </w:p>
        <w:p>
          <w:pPr>
            <w:pStyle w:val="TOC2"/>
            <w:rPr/>
          </w:pPr>
          <w:hyperlink w:anchor="__RefHeading___prozesse_47_Copy_1">
            <w:r>
              <w:rPr>
                <w:rStyle w:val="IndexLink"/>
              </w:rPr>
              <w:t>9.2 Wichtige IT-Ressourcen</w:t>
              <w:tab/>
              <w:t>43</w:t>
            </w:r>
          </w:hyperlink>
        </w:p>
        <w:p>
          <w:pPr>
            <w:pStyle w:val="TOC2"/>
            <w:rPr/>
          </w:pPr>
          <w:hyperlink w:anchor="__RefHeading___informationen_48">
            <w:r>
              <w:rPr>
                <w:rStyle w:val="IndexLink"/>
              </w:rPr>
              <w:t>9.3 Besonders schützenswerte Informationen</w:t>
              <w:tab/>
              <w:t>44</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Beschaffung</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50</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52</w:t>
            </w:r>
          </w:hyperlink>
        </w:p>
        <w:p>
          <w:pPr>
            <w:pStyle w:val="TOC3"/>
            <w:rPr/>
          </w:pPr>
          <w:hyperlink w:anchor="__RefHeading___protokollierung_58">
            <w:r>
              <w:rPr>
                <w:rStyle w:val="IndexLink"/>
              </w:rPr>
              <w:t>10.3.3 Protokollierung</w:t>
              <w:tab/>
              <w:t>53</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54</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Toc15227_186073790">
            <w:r>
              <w:rPr>
                <w:rStyle w:val="IndexLink"/>
              </w:rPr>
              <w:t>10.n1.1 Auswahl von wichtigen IT-Systemen und Software</w:t>
              <w:tab/>
              <w:t>58</w:t>
            </w:r>
          </w:hyperlink>
        </w:p>
        <w:p>
          <w:pPr>
            <w:pStyle w:val="TOC3"/>
            <w:rPr/>
          </w:pPr>
          <w:hyperlink w:anchor="__RefHeading___dokumentation_74_Copy_1">
            <w:r>
              <w:rPr>
                <w:rStyle w:val="IndexLink"/>
              </w:rPr>
              <w:t>10.n1.1 Dokumentation</w:t>
              <w:tab/>
              <w:t>59</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60</w:t>
            </w:r>
          </w:hyperlink>
        </w:p>
        <w:p>
          <w:pPr>
            <w:pStyle w:val="TOC3"/>
            <w:rPr/>
          </w:pPr>
          <w:hyperlink w:anchor="__RefHeading___notbetriebsniveau_70">
            <w:r>
              <w:rPr>
                <w:rStyle w:val="IndexLink"/>
              </w:rPr>
              <w:t>10.5.1 Notbetriebsniveau</w:t>
              <w:tab/>
              <w:t>60</w:t>
            </w:r>
          </w:hyperlink>
        </w:p>
        <w:p>
          <w:pPr>
            <w:pStyle w:val="TOC3"/>
            <w:rPr/>
          </w:pPr>
          <w:hyperlink w:anchor="__RefHeading___robustheit_71">
            <w:r>
              <w:rPr>
                <w:rStyle w:val="IndexLink"/>
              </w:rPr>
              <w:t>10.5.2 Robustheit</w:t>
              <w:tab/>
              <w:t>60</w:t>
            </w:r>
          </w:hyperlink>
        </w:p>
        <w:p>
          <w:pPr>
            <w:pStyle w:val="TOC3"/>
            <w:rPr/>
          </w:pPr>
          <w:hyperlink w:anchor="__RefHeading___robustheit_71_Copy_1">
            <w:r>
              <w:rPr>
                <w:rStyle w:val="IndexLink"/>
              </w:rPr>
              <w:t>10.5.n1 Kryptografie</w:t>
              <w:tab/>
              <w:t>61</w:t>
            </w:r>
          </w:hyperlink>
        </w:p>
        <w:p>
          <w:pPr>
            <w:pStyle w:val="TOC3"/>
            <w:rPr/>
          </w:pPr>
          <w:hyperlink w:anchor="__RefHeading___externe_schnittstellen_u1">
            <w:r>
              <w:rPr>
                <w:rStyle w:val="IndexLink"/>
              </w:rPr>
              <w:t>10.5.3 Externe Schnittstellen und Laufwerke</w:t>
              <w:tab/>
              <w:t>61</w:t>
            </w:r>
          </w:hyperlink>
        </w:p>
        <w:p>
          <w:pPr>
            <w:pStyle w:val="TOC3"/>
            <w:rPr/>
          </w:pPr>
          <w:hyperlink w:anchor="__RefHeading___aenderungsmanagement_73">
            <w:r>
              <w:rPr>
                <w:rStyle w:val="IndexLink"/>
              </w:rPr>
              <w:t>10.5.4 Änderungsmanagement</w:t>
              <w:tab/>
              <w:t>61</w:t>
            </w:r>
          </w:hyperlink>
        </w:p>
        <w:p>
          <w:pPr>
            <w:pStyle w:val="TOC3"/>
            <w:rPr/>
          </w:pPr>
          <w:hyperlink w:anchor="__RefHeading___ersatzsysteme_und_-verfah">
            <w:r>
              <w:rPr>
                <w:rStyle w:val="IndexLink"/>
              </w:rPr>
              <w:t>10.5.5 Ersatzsysteme und -verfahren</w:t>
              <w:tab/>
              <w:t>62</w:t>
            </w:r>
          </w:hyperlink>
        </w:p>
        <w:p>
          <w:pPr>
            <w:pStyle w:val="TOC3"/>
            <w:rPr/>
          </w:pPr>
          <w:hyperlink w:anchor="__RefHeading___kritische_individualsoftw">
            <w:r>
              <w:rPr>
                <w:rStyle w:val="IndexLink"/>
              </w:rPr>
              <w:t>10.5.6 Besonders schützenswerte Individualsoftware</w:t>
              <w:tab/>
              <w:t>62</w:t>
            </w:r>
          </w:hyperlink>
        </w:p>
        <w:p>
          <w:pPr>
            <w:pStyle w:val="TOC1"/>
            <w:rPr/>
          </w:pPr>
          <w:hyperlink w:anchor="__RefHeading___netzwerke_und_verbindung1">
            <w:r>
              <w:rPr>
                <w:rStyle w:val="IndexLink"/>
              </w:rPr>
              <w:t>11 Netzwerke und Verbindungen</w:t>
              <w:tab/>
              <w:t>62</w:t>
            </w:r>
          </w:hyperlink>
        </w:p>
        <w:p>
          <w:pPr>
            <w:pStyle w:val="TOC2"/>
            <w:rPr/>
          </w:pPr>
          <w:hyperlink w:anchor="__RefHeading___netzwerkplan_80">
            <w:r>
              <w:rPr>
                <w:rStyle w:val="IndexLink"/>
              </w:rPr>
              <w:t>11.1 Netzwerkplan</w:t>
              <w:tab/>
              <w:t>62</w:t>
            </w:r>
          </w:hyperlink>
        </w:p>
        <w:p>
          <w:pPr>
            <w:pStyle w:val="TOC2"/>
            <w:rPr/>
          </w:pPr>
          <w:hyperlink w:anchor="__RefHeading___aktive_netzwerkkomponente">
            <w:r>
              <w:rPr>
                <w:rStyle w:val="IndexLink"/>
              </w:rPr>
              <w:t>11.2 Aktive Netzwerkkomponenten</w:t>
              <w:tab/>
              <w:t>63</w:t>
            </w:r>
          </w:hyperlink>
        </w:p>
        <w:p>
          <w:pPr>
            <w:pStyle w:val="TOC2"/>
            <w:rPr/>
          </w:pPr>
          <w:hyperlink w:anchor="__RefHeading___netzuebergaenge_82">
            <w:r>
              <w:rPr>
                <w:rStyle w:val="IndexLink"/>
              </w:rPr>
              <w:t>11.3 Netzübergänge</w:t>
              <w:tab/>
              <w:t>63</w:t>
            </w:r>
          </w:hyperlink>
        </w:p>
        <w:p>
          <w:pPr>
            <w:pStyle w:val="TOC2"/>
            <w:rPr/>
          </w:pPr>
          <w:hyperlink w:anchor="__RefHeading___basisschutz_83">
            <w:r>
              <w:rPr>
                <w:rStyle w:val="IndexLink"/>
              </w:rPr>
              <w:t>11.4 Basisschutz</w:t>
              <w:tab/>
              <w:t>64</w:t>
            </w:r>
          </w:hyperlink>
        </w:p>
        <w:p>
          <w:pPr>
            <w:pStyle w:val="TOC3"/>
            <w:rPr/>
          </w:pPr>
          <w:hyperlink w:anchor="__RefHeading___netzwerkanschluesse_84">
            <w:r>
              <w:rPr>
                <w:rStyle w:val="IndexLink"/>
              </w:rPr>
              <w:t>11.4.1 Netzwerkanschlüsse</w:t>
              <w:tab/>
              <w:t>65</w:t>
            </w:r>
          </w:hyperlink>
        </w:p>
        <w:p>
          <w:pPr>
            <w:pStyle w:val="TOC3"/>
            <w:rPr/>
          </w:pPr>
          <w:hyperlink w:anchor="__RefHeading___segmentierung_85">
            <w:r>
              <w:rPr>
                <w:rStyle w:val="IndexLink"/>
              </w:rPr>
              <w:t>11.4.2 Segmentierung</w:t>
              <w:tab/>
              <w:t>65</w:t>
            </w:r>
          </w:hyperlink>
        </w:p>
        <w:p>
          <w:pPr>
            <w:pStyle w:val="TOC3"/>
            <w:rPr/>
          </w:pPr>
          <w:hyperlink w:anchor="__RefHeading___fernzugang_86">
            <w:r>
              <w:rPr>
                <w:rStyle w:val="IndexLink"/>
              </w:rPr>
              <w:t>11.4.3 Fernzugang</w:t>
              <w:tab/>
              <w:t>66</w:t>
            </w:r>
          </w:hyperlink>
        </w:p>
        <w:p>
          <w:pPr>
            <w:pStyle w:val="TOC3"/>
            <w:rPr/>
          </w:pPr>
          <w:hyperlink w:anchor="__RefHeading___netzwerkkopplung_87">
            <w:r>
              <w:rPr>
                <w:rStyle w:val="IndexLink"/>
              </w:rPr>
              <w:t>11.4.4 Netzwerkkopplung</w:t>
              <w:tab/>
              <w:t>67</w:t>
            </w:r>
          </w:hyperlink>
        </w:p>
        <w:p>
          <w:pPr>
            <w:pStyle w:val="TOC2"/>
            <w:rPr/>
          </w:pPr>
          <w:hyperlink w:anchor="__RefHeading___zusaetzliche_massnahmen_9">
            <w:r>
              <w:rPr>
                <w:rStyle w:val="IndexLink"/>
              </w:rPr>
              <w:t>11.5 Zusätzliche Maßnahmen für wichtige Verbindungen</w:t>
              <w:tab/>
              <w:t>67</w:t>
            </w:r>
          </w:hyperlink>
        </w:p>
        <w:p>
          <w:pPr>
            <w:pStyle w:val="TOC1"/>
            <w:rPr/>
          </w:pPr>
          <w:hyperlink w:anchor="__RefHeading___mobile_datentraeger_89">
            <w:r>
              <w:rPr>
                <w:rStyle w:val="IndexLink"/>
              </w:rPr>
              <w:t>12 Mobile Datenträger</w:t>
              <w:tab/>
              <w:t>68</w:t>
            </w:r>
          </w:hyperlink>
        </w:p>
        <w:p>
          <w:pPr>
            <w:pStyle w:val="TOC2"/>
            <w:rPr/>
          </w:pPr>
          <w:hyperlink w:anchor="__RefHeading___is-richtlinie_90">
            <w:r>
              <w:rPr>
                <w:rStyle w:val="IndexLink"/>
              </w:rPr>
              <w:t>12.1 IS-Richtlinie</w:t>
              <w:tab/>
              <w:t>68</w:t>
            </w:r>
          </w:hyperlink>
        </w:p>
        <w:p>
          <w:pPr>
            <w:pStyle w:val="TOC2"/>
            <w:rPr/>
          </w:pPr>
          <w:hyperlink w:anchor="__RefHeading___schutz_der_informationen1">
            <w:r>
              <w:rPr>
                <w:rStyle w:val="IndexLink"/>
              </w:rPr>
              <w:t>12.2 Schutz der Informationen</w:t>
              <w:tab/>
              <w:t>68</w:t>
            </w:r>
          </w:hyperlink>
        </w:p>
        <w:p>
          <w:pPr>
            <w:pStyle w:val="TOC2"/>
            <w:rPr/>
          </w:pPr>
          <w:hyperlink w:anchor="__RefHeading___zusaetzliche_massnahmen_3">
            <w:r>
              <w:rPr>
                <w:rStyle w:val="IndexLink"/>
              </w:rPr>
              <w:t>12.3 Zusätzliche Maßnahmen für wichtige mobile Datenträger</w:t>
              <w:tab/>
              <w:t>69</w:t>
            </w:r>
          </w:hyperlink>
        </w:p>
        <w:p>
          <w:pPr>
            <w:pStyle w:val="TOC1"/>
            <w:rPr/>
          </w:pPr>
          <w:hyperlink w:anchor="__RefHeading___umgebung_93">
            <w:r>
              <w:rPr>
                <w:rStyle w:val="IndexLink"/>
              </w:rPr>
              <w:t>13 Umgebung</w:t>
              <w:tab/>
              <w:t>69</w:t>
            </w:r>
          </w:hyperlink>
        </w:p>
        <w:p>
          <w:pPr>
            <w:pStyle w:val="TOC2"/>
            <w:rPr/>
          </w:pPr>
          <w:hyperlink w:anchor="__RefHeading___server_aktive_netzwerkkom">
            <w:r>
              <w:rPr>
                <w:rStyle w:val="IndexLink"/>
              </w:rPr>
              <w:t>13.1 Server, aktive Netzwerkkomponenten und Netzwerkverteilstellen</w:t>
              <w:tab/>
              <w:t>70</w:t>
            </w:r>
          </w:hyperlink>
        </w:p>
        <w:p>
          <w:pPr>
            <w:pStyle w:val="TOC2"/>
            <w:rPr/>
          </w:pPr>
          <w:hyperlink w:anchor="__RefHeading___datenleitungen_95">
            <w:r>
              <w:rPr>
                <w:rStyle w:val="IndexLink"/>
              </w:rPr>
              <w:t>13.2 Datenleitungen</w:t>
              <w:tab/>
              <w:t>70</w:t>
            </w:r>
          </w:hyperlink>
        </w:p>
        <w:p>
          <w:pPr>
            <w:pStyle w:val="TOC2"/>
            <w:rPr/>
          </w:pPr>
          <w:hyperlink w:anchor="__RefHeading___zusaetzliche_massnahmen_4">
            <w:r>
              <w:rPr>
                <w:rStyle w:val="IndexLink"/>
              </w:rPr>
              <w:t>13.3 Zusätzliche Maßnahmen für wichtigen IT-Systeme</w:t>
              <w:tab/>
              <w:t>71</w:t>
            </w:r>
          </w:hyperlink>
        </w:p>
        <w:p>
          <w:pPr>
            <w:pStyle w:val="TOC1"/>
            <w:rPr/>
          </w:pPr>
          <w:hyperlink w:anchor="__RefHeading___it-outsourcing_und_cloud_">
            <w:r>
              <w:rPr>
                <w:rStyle w:val="IndexLink"/>
              </w:rPr>
              <w:t>14 IT-Outsourcing und Cloud Computing (Sicherheit in der Lieferkette)</w:t>
              <w:tab/>
              <w:t>71</w:t>
            </w:r>
          </w:hyperlink>
        </w:p>
        <w:p>
          <w:pPr>
            <w:pStyle w:val="TOC2"/>
            <w:rPr/>
          </w:pPr>
          <w:hyperlink w:anchor="__RefHeading___is-richtlinie_98">
            <w:r>
              <w:rPr>
                <w:rStyle w:val="IndexLink"/>
              </w:rPr>
              <w:t>14.1 IS-Richtlinie</w:t>
              <w:tab/>
              <w:t>72</w:t>
            </w:r>
          </w:hyperlink>
        </w:p>
        <w:p>
          <w:pPr>
            <w:pStyle w:val="TOC2"/>
            <w:rPr/>
          </w:pPr>
          <w:hyperlink w:anchor="__RefHeading___vorbereitung_99">
            <w:r>
              <w:rPr>
                <w:rStyle w:val="IndexLink"/>
              </w:rPr>
              <w:t>14.2 Vorbereitung</w:t>
              <w:tab/>
              <w:t>72</w:t>
            </w:r>
          </w:hyperlink>
        </w:p>
        <w:p>
          <w:pPr>
            <w:pStyle w:val="TOC2"/>
            <w:rPr/>
          </w:pPr>
          <w:hyperlink w:anchor="__RefHeading___vertragsgestaltung_100">
            <w:r>
              <w:rPr>
                <w:rStyle w:val="IndexLink"/>
              </w:rPr>
              <w:t>14.3 Vertragsgestaltung</w:t>
              <w:tab/>
              <w:t>73</w:t>
            </w:r>
          </w:hyperlink>
        </w:p>
        <w:p>
          <w:pPr>
            <w:pStyle w:val="TOC2"/>
            <w:rPr/>
          </w:pPr>
          <w:hyperlink w:anchor="__RefHeading___zusaetzliche_massnahmen_5">
            <w:r>
              <w:rPr>
                <w:rStyle w:val="IndexLink"/>
              </w:rPr>
              <w:t>14.4 Zusätzliche Maßnahmen für wichtige IT-Ressourcen</w:t>
              <w:tab/>
              <w:t>73</w:t>
            </w:r>
          </w:hyperlink>
        </w:p>
        <w:p>
          <w:pPr>
            <w:pStyle w:val="TOC1"/>
            <w:rPr/>
          </w:pPr>
          <w:hyperlink w:anchor="__RefHeading___zugaenge_und_zugriffsrech">
            <w:r>
              <w:rPr>
                <w:rStyle w:val="IndexLink"/>
              </w:rPr>
              <w:t>15 Zugänge und Zugriffsrechte</w:t>
              <w:tab/>
              <w:t>74</w:t>
            </w:r>
          </w:hyperlink>
        </w:p>
        <w:p>
          <w:pPr>
            <w:pStyle w:val="TOC2"/>
            <w:rPr/>
          </w:pPr>
          <w:hyperlink w:anchor="__RefHeading___verwaltung_103">
            <w:r>
              <w:rPr>
                <w:rStyle w:val="IndexLink"/>
              </w:rPr>
              <w:t>15.1 Verwaltung</w:t>
              <w:tab/>
              <w:t>75</w:t>
            </w:r>
          </w:hyperlink>
        </w:p>
        <w:p>
          <w:pPr>
            <w:pStyle w:val="TOC2"/>
            <w:rPr/>
          </w:pPr>
          <w:hyperlink w:anchor="__RefHeading___zusaetzliche_massnahmen_6">
            <w:r>
              <w:rPr>
                <w:rStyle w:val="IndexLink"/>
              </w:rPr>
              <w:t>15.2 Zusätzliche Maßnahmen für besonders schützenswerte IT-Systeme und Informationen</w:t>
              <w:tab/>
              <w:t>75</w:t>
            </w:r>
          </w:hyperlink>
        </w:p>
        <w:p>
          <w:pPr>
            <w:pStyle w:val="TOC1"/>
            <w:rPr/>
          </w:pPr>
          <w:hyperlink w:anchor="__RefHeading___datensicherung_und_archiv">
            <w:r>
              <w:rPr>
                <w:rStyle w:val="IndexLink"/>
              </w:rPr>
              <w:t>16 Datensicherung und Archivierung</w:t>
              <w:tab/>
              <w:t>76</w:t>
            </w:r>
          </w:hyperlink>
        </w:p>
        <w:p>
          <w:pPr>
            <w:pStyle w:val="TOC2"/>
            <w:rPr/>
          </w:pPr>
          <w:hyperlink w:anchor="__RefHeading___is-richtlinie_106">
            <w:r>
              <w:rPr>
                <w:rStyle w:val="IndexLink"/>
              </w:rPr>
              <w:t>16.1 IS-Richtlinie</w:t>
              <w:tab/>
              <w:t>76</w:t>
            </w:r>
          </w:hyperlink>
        </w:p>
        <w:p>
          <w:pPr>
            <w:pStyle w:val="TOC2"/>
            <w:rPr/>
          </w:pPr>
          <w:hyperlink w:anchor="__RefHeading___archivierung_107">
            <w:r>
              <w:rPr>
                <w:rStyle w:val="IndexLink"/>
              </w:rPr>
              <w:t>16.2 Archivierung</w:t>
              <w:tab/>
              <w:t>77</w:t>
            </w:r>
          </w:hyperlink>
        </w:p>
        <w:p>
          <w:pPr>
            <w:pStyle w:val="TOC2"/>
            <w:rPr/>
          </w:pPr>
          <w:hyperlink w:anchor="__RefHeading___verfahren_108">
            <w:r>
              <w:rPr>
                <w:rStyle w:val="IndexLink"/>
              </w:rPr>
              <w:t>16.3 Verfahren</w:t>
              <w:tab/>
              <w:t>77</w:t>
            </w:r>
          </w:hyperlink>
        </w:p>
        <w:p>
          <w:pPr>
            <w:pStyle w:val="TOC2"/>
            <w:rPr/>
          </w:pPr>
          <w:hyperlink w:anchor="__RefHeading___weiterentwicklung_112">
            <w:r>
              <w:rPr>
                <w:rStyle w:val="IndexLink"/>
              </w:rPr>
              <w:t>16.4 Weiterentwicklung</w:t>
              <w:tab/>
              <w:t>79</w:t>
            </w:r>
          </w:hyperlink>
        </w:p>
        <w:p>
          <w:pPr>
            <w:pStyle w:val="TOC2"/>
            <w:rPr/>
          </w:pPr>
          <w:hyperlink w:anchor="__RefHeading___basisschutz_113">
            <w:r>
              <w:rPr>
                <w:rStyle w:val="IndexLink"/>
              </w:rPr>
              <w:t>16.5 Basisschutz</w:t>
              <w:tab/>
              <w:t>80</w:t>
            </w:r>
          </w:hyperlink>
        </w:p>
        <w:p>
          <w:pPr>
            <w:pStyle w:val="TOC3"/>
            <w:rPr/>
          </w:pPr>
          <w:hyperlink w:anchor="__RefHeading___is-richtlinie_106_Copy_1_">
            <w:r>
              <w:rPr>
                <w:rStyle w:val="IndexLink"/>
              </w:rPr>
              <w:t>16.5.n1 IT-Systeme für die Datensicherung und -wiederherstellung</w:t>
              <w:tab/>
              <w:t>80</w:t>
            </w:r>
          </w:hyperlink>
        </w:p>
        <w:p>
          <w:pPr>
            <w:pStyle w:val="TOC3"/>
            <w:rPr/>
          </w:pPr>
          <w:hyperlink w:anchor="__RefHeading___speicherorte_114">
            <w:r>
              <w:rPr>
                <w:rStyle w:val="IndexLink"/>
              </w:rPr>
              <w:t>16.5.1 Speicherorte</w:t>
              <w:tab/>
              <w:t>81</w:t>
            </w:r>
          </w:hyperlink>
        </w:p>
        <w:p>
          <w:pPr>
            <w:pStyle w:val="TOC3"/>
            <w:rPr/>
          </w:pPr>
          <w:hyperlink w:anchor="__RefHeading___server_115">
            <w:r>
              <w:rPr>
                <w:rStyle w:val="IndexLink"/>
              </w:rPr>
              <w:t>16.5.2 Server</w:t>
              <w:tab/>
              <w:t>81</w:t>
            </w:r>
          </w:hyperlink>
        </w:p>
        <w:p>
          <w:pPr>
            <w:pStyle w:val="TOC3"/>
            <w:rPr/>
          </w:pPr>
          <w:hyperlink w:anchor="__RefHeading___aktive_netzwerkkomponent1">
            <w:r>
              <w:rPr>
                <w:rStyle w:val="IndexLink"/>
              </w:rPr>
              <w:t>16.5.3 Aktive Netzwerkkomponenten</w:t>
              <w:tab/>
              <w:t>81</w:t>
            </w:r>
          </w:hyperlink>
        </w:p>
        <w:p>
          <w:pPr>
            <w:pStyle w:val="TOC3"/>
            <w:rPr/>
          </w:pPr>
          <w:hyperlink w:anchor="__RefHeading___mobile_it-systeme_117">
            <w:r>
              <w:rPr>
                <w:rStyle w:val="IndexLink"/>
              </w:rPr>
              <w:t>16.5.4 Mobile IT-Systeme</w:t>
              <w:tab/>
              <w:t>81</w:t>
            </w:r>
          </w:hyperlink>
        </w:p>
        <w:p>
          <w:pPr>
            <w:pStyle w:val="TOC2"/>
            <w:rPr/>
          </w:pPr>
          <w:hyperlink w:anchor="__RefHeading___zusaetzliche_massnahmen_7">
            <w:r>
              <w:rPr>
                <w:rStyle w:val="IndexLink"/>
              </w:rPr>
              <w:t>16.6 Zusätzliche Maßnahmen für wichtige IT-Systeme</w:t>
              <w:tab/>
              <w:t>82</w:t>
            </w:r>
          </w:hyperlink>
        </w:p>
        <w:p>
          <w:pPr>
            <w:pStyle w:val="TOC3"/>
            <w:rPr/>
          </w:pPr>
          <w:hyperlink w:anchor="__RefHeading___risikoanalyse_119">
            <w:r>
              <w:rPr>
                <w:rStyle w:val="IndexLink"/>
              </w:rPr>
              <w:t>16.6.1 Risikoanalyse</w:t>
              <w:tab/>
              <w:t>82</w:t>
            </w:r>
          </w:hyperlink>
        </w:p>
        <w:p>
          <w:pPr>
            <w:pStyle w:val="TOC3"/>
            <w:rPr/>
          </w:pPr>
          <w:hyperlink w:anchor="__RefHeading___verfahren_120">
            <w:r>
              <w:rPr>
                <w:rStyle w:val="IndexLink"/>
              </w:rPr>
              <w:t>16.6.2 Verfahren</w:t>
              <w:tab/>
              <w:t>82</w:t>
            </w:r>
          </w:hyperlink>
        </w:p>
        <w:p>
          <w:pPr>
            <w:pStyle w:val="TOC1"/>
            <w:rPr/>
          </w:pPr>
          <w:hyperlink w:anchor="__RefHeading___stoerungen_und_ausfaelle_">
            <w:r>
              <w:rPr>
                <w:rStyle w:val="IndexLink"/>
              </w:rPr>
              <w:t>17 Sicherheitsvorfälle</w:t>
              <w:tab/>
              <w:t>83</w:t>
            </w:r>
          </w:hyperlink>
        </w:p>
        <w:p>
          <w:pPr>
            <w:pStyle w:val="TOC2"/>
            <w:rPr/>
          </w:pPr>
          <w:hyperlink w:anchor="__RefHeading___is-richtlinie_122">
            <w:r>
              <w:rPr>
                <w:rStyle w:val="IndexLink"/>
              </w:rPr>
              <w:t>17.1 IS-Richtlinie</w:t>
              <w:tab/>
              <w:t>83</w:t>
            </w:r>
          </w:hyperlink>
        </w:p>
        <w:p>
          <w:pPr>
            <w:pStyle w:val="TOC2"/>
            <w:rPr/>
          </w:pPr>
          <w:hyperlink w:anchor="__RefHeading___erkennen_129_Copy_1">
            <w:r>
              <w:rPr>
                <w:rStyle w:val="IndexLink"/>
              </w:rPr>
              <w:t>17.2 Erkennen</w:t>
              <w:tab/>
              <w:t>84</w:t>
            </w:r>
          </w:hyperlink>
        </w:p>
        <w:p>
          <w:pPr>
            <w:pStyle w:val="TOC2"/>
            <w:rPr/>
          </w:pPr>
          <w:hyperlink w:anchor="__RefHeading___reaktion_123">
            <w:r>
              <w:rPr>
                <w:rStyle w:val="IndexLink"/>
              </w:rPr>
              <w:t>17.3 Reaktion</w:t>
              <w:tab/>
              <w:t>85</w:t>
            </w:r>
          </w:hyperlink>
        </w:p>
        <w:p>
          <w:pPr>
            <w:pStyle w:val="TOC2"/>
            <w:rPr/>
          </w:pPr>
          <w:hyperlink w:anchor="__RefHeading___zusaetzliche_massnahmen_a">
            <w:r>
              <w:rPr>
                <w:rStyle w:val="IndexLink"/>
              </w:rPr>
              <w:t>17.4 Zusätzliche Maßnahmen für wichtige IT-Systeme</w:t>
              <w:tab/>
              <w:t>87</w:t>
            </w:r>
          </w:hyperlink>
        </w:p>
        <w:p>
          <w:pPr>
            <w:pStyle w:val="TOC3"/>
            <w:rPr/>
          </w:pPr>
          <w:hyperlink w:anchor="__RefHeading___wiederanlaufplaene_125">
            <w:r>
              <w:rPr>
                <w:rStyle w:val="IndexLink"/>
              </w:rPr>
              <w:t>17.4.1 Wiederanlaufpläne</w:t>
              <w:tab/>
              <w:t>87</w:t>
            </w:r>
          </w:hyperlink>
        </w:p>
        <w:p>
          <w:pPr>
            <w:pStyle w:val="TOC3"/>
            <w:rPr/>
          </w:pPr>
          <w:hyperlink w:anchor="__RefHeading___abhaengigkeiten_126">
            <w:r>
              <w:rPr>
                <w:rStyle w:val="IndexLink"/>
              </w:rPr>
              <w:t>17.4.2 Abhängigkeiten</w:t>
              <w:tab/>
              <w:t>88</w:t>
            </w:r>
          </w:hyperlink>
        </w:p>
        <w:p>
          <w:pPr>
            <w:pStyle w:val="TOC1"/>
            <w:rPr/>
          </w:pPr>
          <w:hyperlink w:anchor="__RefHeading___anhang_a_131">
            <w:r>
              <w:rPr>
                <w:rStyle w:val="IndexLink"/>
              </w:rPr>
              <w:t>Anhang A</w:t>
              <w:tab/>
              <w:t>88</w:t>
            </w:r>
          </w:hyperlink>
        </w:p>
        <w:p>
          <w:pPr>
            <w:pStyle w:val="TOC2"/>
            <w:rPr/>
          </w:pPr>
          <w:hyperlink w:anchor="__RefHeading___a_1_verfahren_132">
            <w:r>
              <w:rPr>
                <w:rStyle w:val="IndexLink"/>
              </w:rPr>
              <w:t>A 1 Verfahren</w:t>
              <w:tab/>
              <w:t>88</w:t>
            </w:r>
          </w:hyperlink>
        </w:p>
        <w:p>
          <w:pPr>
            <w:pStyle w:val="TOC2"/>
            <w:rPr/>
          </w:pPr>
          <w:hyperlink w:anchor="__RefHeading___a_2_risikoanalyse_und_-be">
            <w:r>
              <w:rPr>
                <w:rStyle w:val="IndexLink"/>
              </w:rPr>
              <w:t>A 2 Risikomanagement</w:t>
              <w:tab/>
              <w:t>89</w:t>
            </w:r>
          </w:hyperlink>
        </w:p>
        <w:p>
          <w:pPr>
            <w:pStyle w:val="TOC3"/>
            <w:rPr/>
          </w:pPr>
          <w:hyperlink w:anchor="__RefHeading___a_2.1_risikoanalyse_134_C">
            <w:r>
              <w:rPr>
                <w:rStyle w:val="IndexLink"/>
              </w:rPr>
              <w:t>A 2.1 Methodik</w:t>
              <w:tab/>
              <w:t>90</w:t>
            </w:r>
          </w:hyperlink>
        </w:p>
        <w:p>
          <w:pPr>
            <w:pStyle w:val="TOC3"/>
            <w:rPr/>
          </w:pPr>
          <w:hyperlink w:anchor="__RefHeading___a_2.1_risikoanalyse_134">
            <w:r>
              <w:rPr>
                <w:rStyle w:val="IndexLink"/>
              </w:rPr>
              <w:t>A 2.2 Risikoanalyse</w:t>
              <w:tab/>
              <w:t>90</w:t>
            </w:r>
          </w:hyperlink>
        </w:p>
        <w:p>
          <w:pPr>
            <w:pStyle w:val="TOC3"/>
            <w:rPr/>
          </w:pPr>
          <w:hyperlink w:anchor="__RefHeading___a_2.2_risikobehandlung_13">
            <w:r>
              <w:rPr>
                <w:rStyle w:val="IndexLink"/>
              </w:rPr>
              <w:t>A 2.3 Risikobehandlung</w:t>
              <w:tab/>
              <w:t>91</w:t>
            </w:r>
          </w:hyperlink>
        </w:p>
        <w:p>
          <w:pPr>
            <w:pStyle w:val="TOC3"/>
            <w:rPr/>
          </w:pPr>
          <w:hyperlink w:anchor="__RefHeading___a_2.3_wiederholung_und_an">
            <w:r>
              <w:rPr>
                <w:rStyle w:val="IndexLink"/>
              </w:rPr>
              <w:t>A 2.4 Wiederholung und Anpassung</w:t>
              <w:tab/>
              <w:t>92</w:t>
            </w:r>
          </w:hyperlink>
        </w:p>
        <w:p>
          <w:pPr>
            <w:pStyle w:val="TOC3"/>
            <w:rPr/>
          </w:pPr>
          <w:hyperlink w:anchor="__RefHeading___a_2.3_wiederholung_und_a1">
            <w:r>
              <w:rPr>
                <w:rStyle w:val="IndexLink"/>
              </w:rPr>
              <w:t>A 2.5 Überwachung</w:t>
              <w:tab/>
              <w:t>93</w:t>
            </w:r>
          </w:hyperlink>
          <w:r>
            <w:rPr>
              <w:rStyle w:val="IndexLink"/>
            </w:rPr>
            <w:fldChar w:fldCharType="end"/>
          </w:r>
        </w:p>
      </w:sdtContent>
    </w:sdt>
    <w:p>
      <w:pPr>
        <w:pStyle w:val="BodyText"/>
        <w:bidi w:val="0"/>
        <w:rPr/>
      </w:pPr>
      <w:r>
        <w:rPr/>
      </w:r>
      <w:r>
        <w:br w:type="page"/>
      </w:r>
    </w:p>
    <w:p>
      <w:pPr>
        <w:pStyle w:val="Heading"/>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normative Verweise prüfen. </w:t>
            </w:r>
            <w:r>
              <w:rPr/>
              <w:t>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 xml:space="preserve">ToDo für Version 0.8: Begriffe aus NIS-2 im Laufe der Entwicklung in dieses Kapitel aufnehmen und jene Begriffe entfernen, die in der VdS 10100 nicht neu definiert werden müssen. </w:t>
            </w:r>
            <w:r>
              <w:rPr/>
              <w:t>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 xml:space="preserve">n1. kontinuierliches Verbessern der Informationssicherheit, insbesondere des </w:t>
            </w:r>
            <w:r>
              <w:rPr/>
              <w:t xml:space="preserve">entsprechenden </w:t>
            </w:r>
            <w:r>
              <w:rPr/>
              <w:t>Risikomanagements</w:t>
            </w:r>
          </w:p>
          <w:p>
            <w:pPr>
              <w:pStyle w:val="TableContents"/>
              <w:bidi w:val="0"/>
              <w:jc w:val="start"/>
              <w:rPr/>
            </w:pPr>
            <w:r>
              <w:rPr/>
              <w:t xml:space="preserve">n2. Anpassen der Informationssicherheit an neue Bedrohungen, </w:t>
            </w:r>
            <w:r>
              <w:rPr/>
              <w:t>neue</w:t>
            </w:r>
            <w:r>
              <w:rPr/>
              <w:t xml:space="preserve"> Schwachstellen </w:t>
            </w:r>
            <w:r>
              <w:rPr/>
              <w:t>und</w:t>
            </w:r>
            <w:r>
              <w:rPr/>
              <w:t xml:space="preserve">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jährliches Berichten an das Informationssicherheitsteam (IST) über den aktuellen Stand der Informationssicherheit, insbesondere über Mängel, Risiken und Sicherheitsvorfälle sowie über den Stand des </w:t>
            </w:r>
            <w:r>
              <w:rPr/>
              <w:t xml:space="preserve">entsprechenden </w:t>
            </w:r>
            <w:r>
              <w:rPr/>
              <w:t>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die Zulieferer im Bereich der Informationsverarbeitung tätig sind oder ob nicht. </w:t>
              <w:br/>
              <w:br/>
              <w:t xml:space="preserve">Wir müssen Kapitel 9 ("Identifizieren wichtiger und besonders schützenswerter IT-Ressourcen") überarbeiten oder ein zusätzliches Kapitel einfügen. Die betroffenen Organisation muss nicht nur "wichtige" und "besonders schützenswerte" IT-Ressourcen identifizieren. Sie muss darüber hinaus analysieren, welche Zulieferer für den Betrieb der Kernprozesse unerlässlich sind („wichtige“ Zulieferer). </w:t>
              <w:br/>
              <w:br/>
              <w:t xml:space="preserve">Die Struktur von Kapitel 9 würde dann so aussehen: </w:t>
              <w:br/>
              <w:br/>
              <w:t xml:space="preserve">9. Analyse </w:t>
              <w:br/>
              <w:t xml:space="preserve">9.1 Prozesse </w:t>
              <w:br/>
              <w:t xml:space="preserve">9.2 Informationsverarbeitung </w:t>
              <w:br/>
              <w:t xml:space="preserve">9.2.1 Wichtige IT-Ressourcen </w:t>
              <w:br/>
              <w:t xml:space="preserve">9.2.2 Besonders schützenswerte Informationen </w:t>
              <w:br/>
              <w:t xml:space="preserve">9.2.3 Besonders schützenswerte IT-Ressourcen </w:t>
              <w:br/>
              <w:t xml:space="preserve">9.2.4 Weitere Kategorien von IT-Ressourcen </w:t>
              <w:br/>
              <w:t xml:space="preserve">9.3 Wichtige Zulieferer </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schützenswerten IT-Ressourcen </w:t>
            </w:r>
            <w:r>
              <w:rPr/>
              <w:t xml:space="preserve">der Organisation </w:t>
            </w:r>
            <w:r>
              <w:rPr/>
              <w:t>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0.4.2: neue Formulierung (Lieferkette).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0.4.5: Bezeichnung </w:t>
            </w:r>
            <w:r>
              <w:rPr>
                <w:rFonts w:eastAsia="Bitstream Vera Sans" w:cs="Bitstream Vera Sans"/>
                <w:color w:val="auto"/>
                <w:kern w:val="0"/>
                <w:sz w:val="20"/>
                <w:szCs w:val="24"/>
                <w:lang w:val="de-DE" w:eastAsia="en-US" w:bidi="en-US"/>
              </w:rPr>
              <w:t xml:space="preserve">„Lieferkette“ entfernt, weil </w:t>
            </w:r>
            <w:r>
              <w:rPr>
                <w:rFonts w:eastAsia="Bitstream Vera Sans" w:cs="Bitstream Vera Sans"/>
                <w:color w:val="auto"/>
                <w:kern w:val="0"/>
                <w:sz w:val="20"/>
                <w:szCs w:val="24"/>
                <w:lang w:val="de-DE" w:eastAsia="en-US" w:bidi="en-US"/>
              </w:rPr>
              <w:t>fachlich nicht zutreffend</w:t>
            </w:r>
            <w:r>
              <w:rPr>
                <w:rFonts w:eastAsia="Bitstream Vera Sans" w:cs="Bitstream Vera Sans"/>
                <w:color w:val="auto"/>
                <w:kern w:val="0"/>
                <w:sz w:val="20"/>
                <w:szCs w:val="24"/>
                <w:lang w:val="de-DE" w:eastAsia="en-US" w:bidi="en-US"/>
              </w:rPr>
              <w: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 Dabei sind auch jene IT-Ressourcen zu berücksichtigen, die von Partnern und Dienstleistern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IT-Ressourcen sind eine Untermenge der wichtigen IT-Ressourcen.“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0.4.2: neue Formulierung (Lieferkette).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 Dabei sind auch jene IT-Ressourcen zu berücksichtigen, die von Partnern und Dienstleistern bezogen werden (Lieferkette).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(siehe Abschnitt 9.2). 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IT-Systeme bilden eine abgeschlossene Funktionseinheit aus Hard- und Software (siehe Abschnitt 10.3). Sie unterliegen einem Lebenszyklus, der sich üblicherweise von der </w:t>
            </w:r>
            <w:r>
              <w:rPr/>
              <w:t>Beschaffung</w:t>
            </w:r>
            <w:r>
              <w:rPr/>
              <w:t xml:space="preserve"> bis zur Ausmusterung erstreckt.</w:t>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_Copy_1"/>
      <w:bookmarkEnd w:id="108"/>
      <w:r>
        <w:rPr/>
        <w:t xml:space="preserve">10.2.n1 </w:t>
      </w:r>
      <w:bookmarkEnd w:id="109"/>
      <w:r>
        <w:rPr/>
        <w:t>Be</w:t>
      </w:r>
      <w:r>
        <w:rPr/>
        <w:t>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0.3.6 – ToDo/Diskussion: Welche Anforderungen sind hier vernünftig/vertretbar?</w:t>
              <w:b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Unterstützung durch den Hersteller (Updates) für Hard- und Software über einen </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Sicherheitskonzept liegt vor</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strukturierte Entwicklung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Idee: verschieben in den Bereich Lieferkette (Outsourcing und Cloud-Computing)</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w:t>
            </w:r>
          </w:p>
          <w:p>
            <w:pPr>
              <w:pStyle w:val="Normal"/>
              <w:bidi w:val="0"/>
              <w:jc w:val="start"/>
              <w:rPr>
                <w:rFonts w:ascii="Arial" w:hAnsi="Arial" w:eastAsia="Bitstream Vera Sans" w:cs="Bitstream Vera Sans"/>
                <w:color w:val="auto"/>
                <w:kern w:val="0"/>
                <w:sz w:val="20"/>
                <w:szCs w:val="24"/>
                <w:lang w:val="de-DE" w:eastAsia="en-US" w:bidi="en-US"/>
              </w:rPr>
            </w:pPr>
            <w:r>
              <w:rPr/>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Welche Anforderungen stellt NIS-2?! </w:t>
            </w:r>
            <w:r>
              <w:rPr>
                <w:rFonts w:eastAsia="Bitstream Vera Sans" w:cs="Bitstream Vera Sans"/>
                <w:color w:val="auto"/>
                <w:kern w:val="0"/>
                <w:sz w:val="20"/>
                <w:szCs w:val="24"/>
                <w:lang w:val="de-DE" w:eastAsia="en-US" w:bidi="en-US"/>
              </w:rPr>
              <w:t xml:space="preserve">Wir sollten hier ggf. keine konkreten Maßnahmen vorschreiben, </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In Ergänzung zu Abschnitt 6.3 MÜSSEN in einer IS-Richtlinie Regelungen für </w:t>
            </w:r>
            <w:r>
              <w:rPr/>
              <w:t>die Beschaffung von IT-Systemen</w:t>
            </w:r>
            <w:r>
              <w:rPr/>
              <w:t xml:space="preserve">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w:t>
            </w:r>
            <w:r>
              <w:rPr/>
              <w:t>ToDo/</w:t>
            </w:r>
            <w:r>
              <w:rPr/>
              <w:t>Diskussion:</w:t>
            </w:r>
          </w:p>
          <w:p>
            <w:pPr>
              <w:pStyle w:val="TableContents"/>
              <w:numPr>
                <w:ilvl w:val="0"/>
                <w:numId w:val="1"/>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 xml:space="preserve">§30 </w:t>
            </w:r>
            <w:r>
              <w:rPr/>
              <w:t xml:space="preserve">(2) </w:t>
            </w:r>
            <w:r>
              <w:rPr/>
              <w:t>(</w:t>
            </w:r>
            <w:r>
              <w:rPr>
                <w:rFonts w:eastAsia="Bitstream Vera Sans" w:cs="Bitstream Vera Sans"/>
                <w:color w:val="auto"/>
                <w:kern w:val="0"/>
                <w:sz w:val="20"/>
                <w:szCs w:val="24"/>
                <w:lang w:val="de-DE" w:eastAsia="en-US" w:bidi="en-US"/>
              </w:rPr>
              <w:t>…</w:t>
            </w:r>
            <w:r>
              <w:rPr/>
              <w:t xml:space="preserve">) </w:t>
            </w:r>
            <w:r>
              <w:rPr/>
              <w:t>Die Maßnahmen müssen zumindest Folgendes</w:t>
            </w:r>
          </w:p>
          <w:p>
            <w:pPr>
              <w:pStyle w:val="TableContents"/>
              <w:bidi w:val="0"/>
              <w:ind w:hanging="0" w:start="0"/>
              <w:jc w:val="start"/>
              <w:rPr/>
            </w:pPr>
            <w:r>
              <w:rPr/>
              <w:t xml:space="preserve">umfassen: </w:t>
            </w:r>
            <w:r>
              <w:rPr/>
              <w:t>(...)</w:t>
            </w:r>
          </w:p>
          <w:p>
            <w:pPr>
              <w:pStyle w:val="TableContents"/>
              <w:bidi w:val="0"/>
              <w:ind w:hanging="0" w:start="0"/>
              <w:jc w:val="start"/>
              <w:rPr/>
            </w:pPr>
            <w:r>
              <w:rPr/>
              <w:t xml:space="preserve">5. Sicherheitsmaßnahmen bei Erwerb </w:t>
            </w:r>
            <w:r>
              <w:rPr/>
              <w:t>(...)</w:t>
            </w:r>
            <w:r>
              <w:rPr/>
              <w:t xml:space="preserve"> von informationstechnischen Systemen </w:t>
            </w:r>
            <w:r>
              <w:rPr/>
              <w:t>(...)</w:t>
            </w:r>
            <w:r>
              <w:rPr/>
              <w:t>,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1. Die notwendigen Sicherheitseigenschaften der IT-Systeme </w:t>
            </w:r>
            <w:r>
              <w:rPr/>
              <w:t>werden definiert</w:t>
            </w:r>
            <w:r>
              <w:rPr/>
              <w:t>.</w:t>
            </w:r>
          </w:p>
          <w:p>
            <w:pPr>
              <w:pStyle w:val="TableContents"/>
              <w:numPr>
                <w:ilvl w:val="0"/>
                <w:numId w:val="1"/>
              </w:numPr>
              <w:bidi w:val="0"/>
              <w:ind w:hanging="0" w:start="0"/>
              <w:jc w:val="start"/>
              <w:rPr/>
            </w:pPr>
            <w:r>
              <w:rPr/>
              <w:t xml:space="preserve">2. </w:t>
            </w:r>
            <w:r>
              <w:rPr/>
              <w:t xml:space="preserve">Die Anforderungen an das Management von Schwachstellen durch den Anbieter werden definiert, </w:t>
            </w:r>
            <w:r>
              <w:rPr/>
              <w:t>insbesondere wie die Organisation über bestehende Schwachstellen und notwendige Gegenmaßnahmen informiert wird und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0" w:name="__RefHeading___inbetriebnahme_und_aende1"/>
      <w:bookmarkStart w:id="111" w:name="inbetriebnahme_und_aenderung"/>
      <w:bookmarkEnd w:id="110"/>
      <w:r>
        <w:rPr/>
        <w:t>10.2.1 Inbetriebnahme und Änderung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2" w:name="__RefHeading___ausmusterung_und_wiederve"/>
      <w:bookmarkStart w:id="113" w:name="ausmusterung_und_wiederverwendung"/>
      <w:bookmarkEnd w:id="112"/>
      <w:r>
        <w:rPr/>
        <w:t>10.2.2 Ausmusterung und Wiederverwendung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4" w:name="__RefHeading___basisschutz_55"/>
      <w:bookmarkStart w:id="115" w:name="basisschutz"/>
      <w:bookmarkEnd w:id="114"/>
      <w:r>
        <w:rPr/>
        <w:t>10.3 Basisschutz</w:t>
      </w:r>
      <w:bookmarkEnd w:id="11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6" w:name="__RefHeading___software_56"/>
      <w:bookmarkStart w:id="117" w:name="software"/>
      <w:bookmarkEnd w:id="116"/>
      <w:r>
        <w:rPr/>
        <w:t>10.3.1 Software</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18" w:name="__RefHeading___beschraenkung_des_netzwer"/>
      <w:bookmarkStart w:id="119" w:name="beschraenkung_des_netzwerkverkehrs"/>
      <w:bookmarkEnd w:id="118"/>
      <w:r>
        <w:rPr/>
        <w:t>10.3.2 Beschränkung des Netzwerkverkehrs</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0" w:name="__RefHeading___protokollierung_58"/>
      <w:bookmarkStart w:id="121" w:name="protokollierung"/>
      <w:bookmarkEnd w:id="120"/>
      <w:r>
        <w:rPr/>
        <w:t>10.3.3 Protokollierung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2" w:name="__RefHeading___externe_schnittstellen_un"/>
      <w:bookmarkStart w:id="123" w:name="externe_schnittstellen_und_laufwerke"/>
      <w:bookmarkEnd w:id="122"/>
      <w:r>
        <w:rPr/>
        <w:t>10.3.4 Externe Schnittstellen und Laufwerke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4" w:name="__RefHeading___schadsoftware_60"/>
      <w:bookmarkStart w:id="125" w:name="schadsoftware"/>
      <w:bookmarkEnd w:id="124"/>
      <w:r>
        <w:rPr/>
        <w:t>10.3.5 Schadsoftware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26" w:name="__RefHeading___starten_von_fremden_medie"/>
      <w:bookmarkStart w:id="127" w:name="starten_von_fremden_medien"/>
      <w:bookmarkEnd w:id="126"/>
      <w:r>
        <w:rPr/>
        <w:t>10.3.6 Starten von fremden Medien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28" w:name="__RefHeading___authentifizierung_62"/>
      <w:bookmarkStart w:id="129" w:name="authentifizierung"/>
      <w:bookmarkEnd w:id="128"/>
      <w:r>
        <w:rPr/>
        <w:t>10.3.7 Authentifizierung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 30  (2) </w:t>
            </w:r>
            <w:r>
              <w:rPr/>
              <w:t>(...)</w:t>
            </w:r>
            <w:r>
              <w:rPr/>
              <w:t xml:space="preserve">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0" w:name="__RefHeading___zugaenge_und_zugriffe_63"/>
      <w:bookmarkStart w:id="131" w:name="zugaenge_und_zugriffe"/>
      <w:bookmarkEnd w:id="130"/>
      <w:r>
        <w:rPr/>
        <w:t>10.3.8 Zugänge und Zugriffe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f"/>
      <w:bookmarkStart w:id="133" w:name="zusaetzliche_massnahmen_fuer_mobile_it-s"/>
      <w:bookmarkEnd w:id="132"/>
      <w:r>
        <w:rPr/>
        <w:t>10.4 Zusätzliche Maßnahmen für mobile 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4" w:name="__RefHeading___is-richtlinie_65"/>
      <w:bookmarkStart w:id="135" w:name="is-richtlinie"/>
      <w:bookmarkEnd w:id="134"/>
      <w:r>
        <w:rPr/>
        <w:t>10.4.1 IS-Richtlinie</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36" w:name="__RefHeading___schutz_der_informationen_"/>
      <w:bookmarkStart w:id="137" w:name="schutz_der_informationen"/>
      <w:bookmarkEnd w:id="136"/>
      <w:r>
        <w:rPr/>
        <w:t>10.4.2 Schutz der Informationen</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38" w:name="__RefHeading___verlust_67"/>
      <w:bookmarkStart w:id="139" w:name="verlust"/>
      <w:bookmarkEnd w:id="138"/>
      <w:r>
        <w:rPr/>
        <w:t>10.4.3 Verlust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1"/>
      <w:bookmarkStart w:id="141" w:name="zusaetzliche_massnahmen_fuer_kritische_i"/>
      <w:bookmarkEnd w:id="140"/>
      <w:r>
        <w:rPr/>
        <w:t>10.n1 Zusätzliche Maßnahmen für wichtige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2" w:name="__RefHeading___Toc15227_186073790"/>
      <w:bookmarkEnd w:id="142"/>
      <w:r>
        <w:rPr/>
        <w:t>10.n1.1 Auswahl von wichtigen IT-Systemen und Software</w:t>
      </w:r>
    </w:p>
    <w:p>
      <w:pPr>
        <w:pStyle w:val="Normal"/>
        <w:numPr>
          <w:ilvl w:val="1"/>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BodyText"/>
              <w:numPr>
                <w:ilvl w:val="0"/>
                <w:numId w:val="1"/>
              </w:numPr>
              <w:tabs>
                <w:tab w:val="clear" w:pos="709"/>
                <w:tab w:val="left" w:pos="0" w:leader="none"/>
              </w:tabs>
              <w:bidi w:val="0"/>
              <w:spacing w:before="0" w:after="120"/>
              <w:ind w:hanging="0" w:start="0"/>
              <w:jc w:val="start"/>
              <w:rPr/>
            </w:pPr>
            <w:r>
              <w:rPr>
                <w:rFonts w:eastAsia="Bitstream Vera Sans" w:cs="Bitstream Vera Sans"/>
                <w:color w:val="auto"/>
                <w:kern w:val="0"/>
                <w:sz w:val="20"/>
                <w:szCs w:val="24"/>
                <w:lang w:val="de-DE" w:eastAsia="en-US" w:bidi="en-US"/>
              </w:rPr>
              <w:t>Wenn wichtige IT-Systeme angeschafft oder entwickelt werden, MÜSSEN die notwendigen Sicherheits</w:t>
            </w:r>
            <w:r>
              <w:rPr>
                <w:rFonts w:eastAsia="Bitstream Vera Sans" w:cs="Bitstream Vera Sans"/>
                <w:color w:val="auto"/>
                <w:kern w:val="0"/>
                <w:sz w:val="20"/>
                <w:szCs w:val="24"/>
                <w:lang w:val="de-DE" w:eastAsia="en-US" w:bidi="en-US"/>
              </w:rPr>
              <w:t>eigenschaften</w:t>
            </w:r>
            <w:r>
              <w:rPr>
                <w:rFonts w:eastAsia="Bitstream Vera Sans" w:cs="Bitstream Vera Sans"/>
                <w:color w:val="auto"/>
                <w:kern w:val="0"/>
                <w:sz w:val="20"/>
                <w:szCs w:val="24"/>
                <w:lang w:val="de-DE" w:eastAsia="en-US" w:bidi="en-US"/>
              </w:rPr>
              <w:t xml:space="preserve">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r>
    </w:tbl>
    <w:p>
      <w:pPr>
        <w:pStyle w:val="BodyText"/>
        <w:widowControl w:val="false"/>
        <w:numPr>
          <w:ilvl w:val="0"/>
          <w:numId w:val="0"/>
        </w:numPr>
        <w:tabs>
          <w:tab w:val="clear" w:pos="709"/>
          <w:tab w:val="left" w:pos="0" w:leader="none"/>
        </w:tabs>
        <w:suppressAutoHyphens w:val="true"/>
        <w:overflowPunct w:val="true"/>
        <w:bidi w:val="0"/>
        <w:spacing w:before="0" w:after="120"/>
        <w:ind w:hanging="0" w:start="0"/>
        <w:jc w:val="start"/>
        <w:rPr/>
      </w:pPr>
      <w:r>
        <w:rPr/>
      </w:r>
    </w:p>
    <w:p>
      <w:pPr>
        <w:pStyle w:val="Heading3"/>
        <w:numPr>
          <w:ilvl w:val="2"/>
          <w:numId w:val="1"/>
        </w:numPr>
        <w:tabs>
          <w:tab w:val="clear" w:pos="709"/>
          <w:tab w:val="left" w:pos="0" w:leader="none"/>
        </w:tabs>
        <w:bidi w:val="0"/>
        <w:ind w:hanging="0" w:start="0"/>
        <w:jc w:val="start"/>
        <w:rPr/>
      </w:pPr>
      <w:bookmarkStart w:id="143" w:name="__RefHeading___dokumentation_74_Copy_1"/>
      <w:bookmarkStart w:id="144" w:name="dokumentation_Copy_1"/>
      <w:bookmarkEnd w:id="143"/>
      <w:r>
        <w:rPr/>
        <w:t>10.n1.1 Dokumentation</w:t>
      </w:r>
      <w:bookmarkEnd w:id="1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5" w:name="__RefHeading___datensicherung_75_Copy_1"/>
      <w:bookmarkStart w:id="146" w:name="datensicherung_Copy_1"/>
      <w:bookmarkEnd w:id="145"/>
      <w:r>
        <w:rPr/>
        <w:t>10.n1.2 Datensicherung</w:t>
      </w:r>
      <w:bookmarkEnd w:id="1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7" w:name="__RefHeading___ueberwachung_76_Copy_1"/>
      <w:bookmarkStart w:id="148" w:name="ueberwachung_Copy_1"/>
      <w:bookmarkEnd w:id="147"/>
      <w:r>
        <w:rPr/>
        <w:t>10.n1.3 Überwachung</w:t>
      </w:r>
      <w:bookmarkEnd w:id="1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49" w:name="__RefHeading___zusaetzliche_massnahmen_2"/>
      <w:bookmarkStart w:id="150" w:name="zusaetzliche_massnahmen_fuer_kritische_1"/>
      <w:bookmarkEnd w:id="14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1" w:name="__RefHeading___notbetriebsniveau_70"/>
      <w:bookmarkStart w:id="152" w:name="notbetriebsniveau"/>
      <w:bookmarkEnd w:id="151"/>
      <w:r>
        <w:rPr/>
        <w:t>10.5.1 Notbetriebsniveau</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3" w:name="__RefHeading___robustheit_71"/>
      <w:bookmarkStart w:id="154" w:name="robustheit"/>
      <w:bookmarkEnd w:id="153"/>
      <w:r>
        <w:rPr/>
        <w:t>10.5.2 Robustheit</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55" w:name="__RefHeading___robustheit_71_Copy_1"/>
      <w:bookmarkStart w:id="156" w:name="robustheit_Copy_1"/>
      <w:bookmarkEnd w:id="155"/>
      <w:r>
        <w:rPr/>
        <w:t xml:space="preserve">10.5.n1 </w:t>
      </w:r>
      <w:bookmarkEnd w:id="15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dabei eingesetzten kryptografischen Maßnahmen MÜSSEN auf anerkannt sicheren technischen Verfahren basieren, </w:t>
            </w:r>
            <w:r>
              <w:rPr/>
              <w:t>wie sie z. B. in BSI TR-02102-1 aufgeführt sind.</w:t>
            </w:r>
          </w:p>
        </w:tc>
      </w:tr>
    </w:tbl>
    <w:p>
      <w:pPr>
        <w:pStyle w:val="Heading3"/>
        <w:numPr>
          <w:ilvl w:val="0"/>
          <w:numId w:val="0"/>
        </w:numPr>
        <w:tabs>
          <w:tab w:val="clear" w:pos="709"/>
          <w:tab w:val="left" w:pos="0" w:leader="none"/>
        </w:tabs>
        <w:bidi w:val="0"/>
        <w:ind w:hanging="0" w:start="0"/>
        <w:jc w:val="start"/>
        <w:rPr/>
      </w:pPr>
      <w:bookmarkStart w:id="157" w:name="__RefHeading___externe_schnittstellen_u1"/>
      <w:bookmarkStart w:id="158" w:name="externe_schnittstellen_und_laufwerke1"/>
      <w:bookmarkEnd w:id="157"/>
      <w:r>
        <w:rPr/>
        <w:t>10.5.3 Externe Schnittstellen und Laufwerke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9" w:name="__RefHeading___aenderungsmanagement_73"/>
      <w:bookmarkStart w:id="160" w:name="aenderungsmanagement"/>
      <w:bookmarkEnd w:id="159"/>
      <w:r>
        <w:rPr/>
        <w:t>10.5.4 Änderungsmanagement</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1" w:name="__RefHeading___ersatzsysteme_und_-verfah"/>
      <w:bookmarkStart w:id="162" w:name="ersatzsysteme_und_-verfahren"/>
      <w:bookmarkEnd w:id="161"/>
      <w:r>
        <w:rPr/>
        <w:t>10.5.5 Ersatzsysteme und -verfahren</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3" w:name="__RefHeading___kritische_individualsoftw"/>
      <w:bookmarkStart w:id="164" w:name="kritische_individualsoftware"/>
      <w:bookmarkEnd w:id="163"/>
      <w:r>
        <w:rPr/>
        <w:t>10.5.6 Besonders schützenswerte Individualsoftware</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5" w:name="__RefHeading___netzwerke_und_verbindung1"/>
      <w:bookmarkStart w:id="166" w:name="netzwerke_und_verbindungen"/>
      <w:bookmarkEnd w:id="165"/>
      <w:r>
        <w:rPr/>
        <w:t>11 Netzwerke und Verbindungen</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67" w:name="__RefHeading___netzwerkplan_80"/>
      <w:bookmarkStart w:id="168" w:name="netzwerkplan"/>
      <w:bookmarkEnd w:id="167"/>
      <w:r>
        <w:rPr/>
        <w:t>11.1 Netzwerkplan</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69" w:name="__RefHeading___aktive_netzwerkkomponente"/>
      <w:bookmarkStart w:id="170" w:name="aktive_netzwerkkomponenten"/>
      <w:bookmarkEnd w:id="169"/>
      <w:r>
        <w:rPr/>
        <w:t>11.2 Aktive Netzwerkkomponenten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1" w:name="__RefHeading___netzuebergaenge_82"/>
      <w:bookmarkStart w:id="172" w:name="netzuebergaenge"/>
      <w:bookmarkEnd w:id="171"/>
      <w:r>
        <w:rPr/>
        <w:t>11.3 Netzübergänge</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3" w:name="__RefHeading___basisschutz_83"/>
      <w:bookmarkStart w:id="174" w:name="basisschutz1"/>
      <w:bookmarkEnd w:id="173"/>
      <w:r>
        <w:rPr/>
        <w:t>11.4 Basisschutz</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75" w:name="__RefHeading___netzwerkanschluesse_84"/>
      <w:bookmarkStart w:id="176" w:name="netzwerkanschluesse"/>
      <w:bookmarkEnd w:id="175"/>
      <w:r>
        <w:rPr/>
        <w:t>11.4.1 Netzwerkanschlüsse</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77" w:name="__RefHeading___segmentierung_85"/>
      <w:bookmarkStart w:id="178" w:name="segmentierung"/>
      <w:bookmarkEnd w:id="177"/>
      <w:r>
        <w:rPr/>
        <w:t>11.4.2 Segmentierung</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w:t>
            </w:r>
            <w:r>
              <w:rPr/>
              <w:t>4.4</w:t>
            </w:r>
            <w:r>
              <w:rPr/>
              <w:t xml:space="preserve">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9" w:name="__RefHeading___fernzugang_86"/>
      <w:bookmarkStart w:id="180" w:name="fernzugang"/>
      <w:bookmarkEnd w:id="179"/>
      <w:r>
        <w:rPr/>
        <w:t>11.4.3 Fernzugang</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3">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 xml:space="preserve">Dies KANN durch den Einsatz von anerkannt sicheren kryptografischen Maßnahmen sichergestellt werden, </w:t>
            </w:r>
            <w:r>
              <w:rPr>
                <w:i/>
                <w:iCs/>
              </w:rPr>
              <w:t>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Diese Anforderung </w:t>
            </w:r>
            <w:r>
              <w:rPr/>
              <w:t xml:space="preserve">wurde verschärft, </w:t>
            </w:r>
            <w:r>
              <w:rPr/>
              <w:t xml:space="preserve">weil Remote-Zugriffe sich in den letzten Jahren immer wieder als ein großes Einfallstor erwiesen haben. E1 </w:t>
            </w:r>
            <w:r>
              <w:rPr/>
              <w:t xml:space="preserve">wurde </w:t>
            </w:r>
            <w:r>
              <w:rPr/>
              <w:t>in ein MUSS um</w:t>
            </w:r>
            <w:r>
              <w:rPr/>
              <w:t>ge</w:t>
            </w:r>
            <w:r>
              <w:rPr/>
              <w:t>wandel</w:t>
            </w:r>
            <w:r>
              <w:rPr/>
              <w:t>t</w:t>
            </w:r>
            <w:r>
              <w:rPr/>
              <w:t xml:space="preserve">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1" w:name="__RefHeading___netzwerkkopplung_87"/>
      <w:bookmarkStart w:id="182" w:name="netzwerkkopplung"/>
      <w:bookmarkEnd w:id="181"/>
      <w:r>
        <w:rPr/>
        <w:t>11.4.4 Netzwerkkopplung</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3" w:name="__RefHeading___zusaetzliche_massnahmen_9"/>
      <w:bookmarkStart w:id="184" w:name="zusaetzliche_massnahmen_fuer_kritische_v"/>
      <w:bookmarkEnd w:id="183"/>
      <w:r>
        <w:rPr/>
        <w:t>11.5 Zusätzliche Maßnahmen für wichtige Verbindungen</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1"/>
        </w:numPr>
        <w:tabs>
          <w:tab w:val="clear" w:pos="709"/>
          <w:tab w:val="left" w:pos="0" w:leader="none"/>
        </w:tabs>
        <w:bidi w:val="0"/>
        <w:ind w:hanging="0" w:start="0"/>
        <w:jc w:val="start"/>
        <w:rPr/>
      </w:pPr>
      <w:bookmarkStart w:id="185" w:name="__RefHeading___mobile_datentraeger_89"/>
      <w:bookmarkStart w:id="186" w:name="mobile_datentraeger"/>
      <w:bookmarkEnd w:id="185"/>
      <w:r>
        <w:rPr/>
        <w:t>12 Mobile Datenträger</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87" w:name="__RefHeading___is-richtlinie_90"/>
      <w:bookmarkStart w:id="188" w:name="is-richtlinie1"/>
      <w:bookmarkEnd w:id="187"/>
      <w:r>
        <w:rPr/>
        <w:t>12.1 IS-Richtlinie</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89" w:name="__RefHeading___schutz_der_informationen1"/>
      <w:bookmarkStart w:id="190" w:name="schutz_der_informationen1"/>
      <w:bookmarkEnd w:id="189"/>
      <w:r>
        <w:rPr/>
        <w:t>12.2 Schutz der Informationen</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3"/>
      <w:bookmarkStart w:id="192" w:name="zusaetzliche_massnahmen_fuer_kritische_m"/>
      <w:bookmarkEnd w:id="191"/>
      <w:r>
        <w:rPr/>
        <w:t>12.3 Zusätzliche Maßnahmen für wichtige mobile Datenträger</w:t>
      </w:r>
      <w:bookmarkEnd w:id="19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3" w:name="__RefHeading___umgebung_93"/>
      <w:bookmarkStart w:id="194" w:name="umgebung"/>
      <w:bookmarkEnd w:id="193"/>
      <w:r>
        <w:rPr/>
        <w:t>13 Umgebung</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5" w:name="__RefHeading___server_aktive_netzwerkkom"/>
      <w:bookmarkStart w:id="196" w:name="server_aktive_netzwerkkomponenten_und_ne"/>
      <w:bookmarkEnd w:id="195"/>
      <w:r>
        <w:rPr/>
        <w:t>13.1 Server, aktive Netzwerkkomponenten und Netzwerkverteilstellen</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7" w:name="__RefHeading___datenleitungen_95"/>
      <w:bookmarkStart w:id="198" w:name="datenleitungen"/>
      <w:bookmarkEnd w:id="197"/>
      <w:r>
        <w:rPr/>
        <w:t>13.2 Datenleitungen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4"/>
      <w:bookmarkStart w:id="200" w:name="zusaetzliche_massnahmen_fuer_kritische_2"/>
      <w:bookmarkEnd w:id="199"/>
      <w:r>
        <w:rPr/>
        <w:t>13.3 Zusätzliche Maßnahmen für wichtigen IT-Systeme</w:t>
      </w:r>
      <w:bookmarkEnd w:id="20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1" w:name="__RefHeading___it-outsourcing_und_cloud_"/>
      <w:bookmarkStart w:id="202" w:name="it-outsourcing_und_cloud_computing"/>
      <w:bookmarkEnd w:id="201"/>
      <w:r>
        <w:rPr/>
        <w:t>14 IT-Outsourcing und Cloud Computing</w:t>
      </w:r>
      <w:bookmarkEnd w:id="202"/>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3" w:name="__RefHeading___is-richtlinie_98"/>
      <w:bookmarkStart w:id="204" w:name="is-richtlinie2"/>
      <w:bookmarkEnd w:id="203"/>
      <w:r>
        <w:rPr/>
        <w:t>14.1 IS-Richtlinie</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5" w:name="__RefHeading___vorbereitung_99"/>
      <w:bookmarkStart w:id="206" w:name="vorbereitung"/>
      <w:bookmarkEnd w:id="205"/>
      <w:r>
        <w:rPr/>
        <w:t>14.2 Vorbereitung</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7" w:name="__RefHeading___vertragsgestaltung_100"/>
      <w:bookmarkStart w:id="208" w:name="vertragsgestaltung"/>
      <w:bookmarkEnd w:id="207"/>
      <w:r>
        <w:rPr/>
        <w:t>14.3 Vertragsgestaltung</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9" w:name="__RefHeading___zusaetzliche_massnahmen_5"/>
      <w:bookmarkStart w:id="210" w:name="zusaetzliche_massnahmen_fuer_kritische_3"/>
      <w:bookmarkEnd w:id="209"/>
      <w:r>
        <w:rPr/>
        <w:t>14.4 Zusätzliche Maßnahmen für wichtige IT-Ressourcen</w:t>
      </w:r>
      <w:bookmarkEnd w:id="2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1" w:name="__RefHeading___zugaenge_und_zugriffsrech"/>
      <w:bookmarkStart w:id="212" w:name="zugaenge_und_zugriffsrechte"/>
      <w:bookmarkEnd w:id="211"/>
      <w:r>
        <w:rPr/>
        <w:t>15 Zugänge und Zugriffsrechte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3" w:name="__RefHeading___verwaltung_103"/>
      <w:bookmarkStart w:id="214" w:name="verwaltung"/>
      <w:bookmarkEnd w:id="213"/>
      <w:r>
        <w:rPr/>
        <w:t>15.1 Verwaltung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5" w:name="__RefHeading___zusaetzliche_massnahmen_6"/>
      <w:bookmarkStart w:id="216" w:name="zusaetzliche_massnahmen_fuer_kritische_4"/>
      <w:bookmarkEnd w:id="215"/>
      <w:r>
        <w:rPr/>
        <w:t>15.2 Zusätzliche Maßnahmen für besonders schützenswerte IT-Systeme und Informationen</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7" w:name="__RefHeading___datensicherung_und_archiv"/>
      <w:bookmarkStart w:id="218" w:name="datensicherung_und_archivierung"/>
      <w:bookmarkEnd w:id="217"/>
      <w:r>
        <w:rPr/>
        <w:t>16 Datensicherung und Archivierung</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19" w:name="__RefHeading___is-richtlinie_106"/>
      <w:bookmarkStart w:id="220" w:name="is-richtlinie3"/>
      <w:bookmarkEnd w:id="219"/>
      <w:r>
        <w:rPr/>
        <w:t>16.1 IS-Richtlinie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1" w:name="__RefHeading___archivierung_107"/>
      <w:bookmarkStart w:id="222" w:name="archivierung"/>
      <w:bookmarkEnd w:id="221"/>
      <w:r>
        <w:rPr/>
        <w:t>16.2 Archivierung</w:t>
      </w:r>
      <w:bookmarkEnd w:id="22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3" w:name="__RefHeading___verfahren_108"/>
      <w:bookmarkStart w:id="224" w:name="verfahren"/>
      <w:bookmarkEnd w:id="223"/>
      <w:r>
        <w:rPr/>
        <w:t>16.3 Verfahren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25" w:name="__RefHeading___weiterentwicklung_112"/>
      <w:bookmarkStart w:id="226" w:name="weiterentwicklung"/>
      <w:bookmarkEnd w:id="225"/>
      <w:r>
        <w:rPr/>
        <w:t>16.4 Weiterentwicklung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27" w:name="__RefHeading___basisschutz_113"/>
      <w:bookmarkStart w:id="228" w:name="basisschutz2"/>
      <w:bookmarkEnd w:id="227"/>
      <w:r>
        <w:rPr/>
        <w:t>16.5 Basisschutz</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29" w:name="__RefHeading___is-richtlinie_106_Copy_1_"/>
      <w:bookmarkStart w:id="230" w:name="is-richtlinie3_Copy_1"/>
      <w:bookmarkEnd w:id="229"/>
      <w:r>
        <w:rPr/>
        <w:t>16.5.n1 I</w:t>
      </w:r>
      <w:bookmarkEnd w:id="230"/>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1" w:name="__RefHeading___speicherorte_114"/>
      <w:bookmarkStart w:id="232" w:name="speicherorte"/>
      <w:bookmarkEnd w:id="231"/>
      <w:r>
        <w:rPr/>
        <w:t>16.5.1 Speicherorte</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3" w:name="__RefHeading___server_115"/>
      <w:bookmarkStart w:id="234" w:name="server"/>
      <w:bookmarkEnd w:id="233"/>
      <w:r>
        <w:rPr/>
        <w:t>16.5.2 Server</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5" w:name="__RefHeading___aktive_netzwerkkomponent1"/>
      <w:bookmarkStart w:id="236" w:name="aktive_netzwerkkomponenten1"/>
      <w:bookmarkEnd w:id="235"/>
      <w:r>
        <w:rPr/>
        <w:t>16.5.3 Aktive Netzwerkkomponenten</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37" w:name="__RefHeading___mobile_it-systeme_117"/>
      <w:bookmarkStart w:id="238" w:name="mobile_it-systeme"/>
      <w:bookmarkEnd w:id="237"/>
      <w:r>
        <w:rPr/>
        <w:t>16.5.4 Mobile IT-Systeme</w:t>
      </w:r>
      <w:bookmarkEnd w:id="2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39" w:name="__RefHeading___zusaetzliche_massnahmen_7"/>
      <w:bookmarkStart w:id="240" w:name="zusaetzliche_massnahmen_fuer_kritische_5"/>
      <w:bookmarkEnd w:id="239"/>
      <w:r>
        <w:rPr/>
        <w:t>16.6 Zusätzliche Maßnahmen für wichtige IT-Systeme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1" w:name="__RefHeading___risikoanalyse_119"/>
      <w:bookmarkStart w:id="242" w:name="risikoanalyse"/>
      <w:bookmarkEnd w:id="241"/>
      <w:r>
        <w:rPr/>
        <w:t>16.6.1 Risikoanalyse</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3" w:name="__RefHeading___verfahren_120"/>
      <w:bookmarkStart w:id="244" w:name="verfahren1"/>
      <w:bookmarkEnd w:id="243"/>
      <w:r>
        <w:rPr/>
        <w:t>16.6.2 Verfahren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5" w:name="__RefHeading___stoerungen_und_ausfaelle_"/>
      <w:bookmarkStart w:id="246" w:name="stoerungen_und_ausfaelle"/>
      <w:bookmarkEnd w:id="245"/>
      <w:r>
        <w:rPr/>
        <w:t xml:space="preserve">17 </w:t>
      </w:r>
      <w:bookmarkEnd w:id="246"/>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47" w:name="__RefHeading___is-richtlinie_122"/>
      <w:bookmarkStart w:id="248" w:name="is-richtlinie4"/>
      <w:bookmarkEnd w:id="247"/>
      <w:r>
        <w:rPr/>
        <w:t>17.1 IS-Richtlinie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49" w:name="__RefHeading___erkennen_129_Copy_1"/>
      <w:bookmarkStart w:id="250" w:name="erkennen_Copy_1"/>
      <w:bookmarkEnd w:id="249"/>
      <w:r>
        <w:rPr/>
        <w:t>17.2 Erkennen</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numPr>
                <w:ilvl w:val="0"/>
                <w:numId w:val="0"/>
              </w:numPr>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1" w:name="__RefHeading___reaktion_123"/>
      <w:bookmarkStart w:id="252" w:name="reaktion"/>
      <w:bookmarkEnd w:id="251"/>
      <w:r>
        <w:rPr/>
        <w:t>17.3 Reaktion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3" w:name="__RefHeading___zusaetzliche_massnahmen_a"/>
      <w:bookmarkStart w:id="254" w:name="zusaetzliche_massnahmen_fuer_kritische_7"/>
      <w:bookmarkEnd w:id="253"/>
      <w:r>
        <w:rPr/>
        <w:t>17.4 Zusätzliche Maßnahmen für wichtige IT-Systeme</w:t>
      </w:r>
      <w:bookmarkEnd w:id="2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5" w:name="__RefHeading___wiederanlaufplaene_125"/>
      <w:bookmarkStart w:id="256" w:name="wiederanlaufplaene"/>
      <w:bookmarkEnd w:id="255"/>
      <w:r>
        <w:rPr/>
        <w:t>17.4.1 Wiederanlaufpläne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57" w:name="__RefHeading___abhaengigkeiten_126"/>
      <w:bookmarkStart w:id="258" w:name="abhaengigkeiten"/>
      <w:bookmarkEnd w:id="257"/>
      <w:r>
        <w:rPr/>
        <w:t>17.4.2 Abhängigkeiten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59" w:name="__RefHeading___anhang_a_131"/>
      <w:bookmarkStart w:id="260" w:name="anhang_a"/>
      <w:bookmarkEnd w:id="259"/>
      <w:r>
        <w:rPr/>
        <w:t>Anhang A</w:t>
      </w:r>
      <w:bookmarkEnd w:id="260"/>
    </w:p>
    <w:p>
      <w:pPr>
        <w:pStyle w:val="Heading2"/>
        <w:numPr>
          <w:ilvl w:val="1"/>
          <w:numId w:val="1"/>
        </w:numPr>
        <w:tabs>
          <w:tab w:val="clear" w:pos="709"/>
          <w:tab w:val="left" w:pos="0" w:leader="none"/>
        </w:tabs>
        <w:bidi w:val="0"/>
        <w:ind w:hanging="0" w:start="0"/>
        <w:jc w:val="start"/>
        <w:rPr/>
      </w:pPr>
      <w:bookmarkStart w:id="261" w:name="__RefHeading___a_1_verfahren_132"/>
      <w:bookmarkStart w:id="262" w:name="a_1_verfahren"/>
      <w:bookmarkEnd w:id="261"/>
      <w:r>
        <w:rPr/>
        <w:t>A 1 Verfahren</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3" w:name="__RefHeading___a_2_risikoanalyse_und_-be"/>
      <w:bookmarkStart w:id="264" w:name="a_2_risikoanalyse_und_-behandlung"/>
      <w:bookmarkEnd w:id="263"/>
      <w:r>
        <w:rPr/>
        <w:t>A 2 Risiko</w:t>
      </w:r>
      <w:bookmarkEnd w:id="264"/>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5" w:name="__RefHeading___a_2.1_risikoanalyse_134_C"/>
      <w:bookmarkStart w:id="266" w:name="a_2.1_risikoanalyse_Copy_1"/>
      <w:bookmarkEnd w:id="265"/>
      <w:r>
        <w:rPr/>
        <w:t xml:space="preserve">A 2.1 </w:t>
      </w:r>
      <w:bookmarkEnd w:id="266"/>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7" w:name="__RefHeading___a_2.1_risikoanalyse_134"/>
      <w:bookmarkStart w:id="268" w:name="a_2.1_risikoanalyse"/>
      <w:bookmarkEnd w:id="267"/>
      <w:r>
        <w:rPr/>
        <w:t>A 2.2 Risikoanalyse</w:t>
      </w:r>
      <w:bookmarkEnd w:id="2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9" w:name="__RefHeading___a_2.2_risikobehandlung_13"/>
      <w:bookmarkStart w:id="270" w:name="a_2.2_risikobehandlung"/>
      <w:bookmarkEnd w:id="269"/>
      <w:r>
        <w:rPr/>
        <w:t>A 2.3 Risikobehandlung</w:t>
      </w:r>
      <w:bookmarkEnd w:id="2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
          </w:p>
          <w:p>
            <w:pPr>
              <w:pStyle w:val="TableContents"/>
              <w:rPr/>
            </w:pPr>
            <w:r>
              <w:rPr>
                <w:rFonts w:eastAsia="Bitstream Vera Sans" w:cs="Bitstream Vera Sans"/>
                <w:color w:val="auto"/>
                <w:kern w:val="0"/>
                <w:sz w:val="20"/>
                <w:szCs w:val="24"/>
                <w:lang w:val="de-DE" w:eastAsia="en-US" w:bidi="en-US"/>
              </w:rPr>
              <w:t xml:space="preserve">0.4.4: </w:t>
            </w:r>
            <w:r>
              <w:rPr>
                <w:rFonts w:eastAsia="Bitstream Vera Sans" w:cs="Bitstream Vera Sans"/>
                <w:color w:val="auto"/>
                <w:kern w:val="0"/>
                <w:sz w:val="20"/>
                <w:szCs w:val="24"/>
                <w:lang w:val="de-DE" w:eastAsia="en-US" w:bidi="en-US"/>
              </w:rPr>
              <w:t>Dokumentation der E</w:t>
            </w:r>
            <w:r>
              <w:rPr>
                <w:rFonts w:eastAsia="Bitstream Vera Sans" w:cs="Bitstream Vera Sans"/>
                <w:color w:val="auto"/>
                <w:kern w:val="0"/>
                <w:sz w:val="20"/>
                <w:szCs w:val="24"/>
                <w:lang w:val="de-DE" w:eastAsia="en-US" w:bidi="en-US"/>
              </w:rPr>
              <w:t>i</w:t>
            </w:r>
            <w:r>
              <w:rPr>
                <w:rFonts w:eastAsia="Bitstream Vera Sans" w:cs="Bitstream Vera Sans"/>
                <w:color w:val="auto"/>
                <w:kern w:val="0"/>
                <w:sz w:val="20"/>
                <w:szCs w:val="24"/>
                <w:lang w:val="de-DE" w:eastAsia="en-US" w:bidi="en-US"/>
              </w:rPr>
              <w:t>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Die Dokumentation der Maßnahmen MUSS beinhalten, warum sie als geeignet </w:t>
            </w:r>
            <w:r>
              <w:rPr/>
              <w:t>und</w:t>
            </w:r>
            <w:r>
              <w:rPr/>
              <w:t xml:space="preserve">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 xml:space="preserve">erhebliche </w:t>
            </w:r>
            <w:r>
              <w:rPr/>
              <w:t>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1" w:name="__RefHeading___a_2.3_wiederholung_und_an"/>
      <w:bookmarkStart w:id="272" w:name="a_2.3_wiederholung_und_anpassung"/>
      <w:bookmarkEnd w:id="271"/>
      <w:r>
        <w:rPr/>
        <w:t>A 2.4 Wiederholung und Anpassung</w:t>
      </w:r>
      <w:bookmarkEnd w:id="2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3" w:name="__RefHeading___a_2.3_wiederholung_und_a1"/>
      <w:bookmarkStart w:id="274" w:name="a_2.3_wiederholung_und_anpassung_Copy_1_"/>
      <w:bookmarkEnd w:id="273"/>
      <w:r>
        <w:rPr/>
        <w:t xml:space="preserve">A 2.5 </w:t>
      </w:r>
      <w:bookmarkEnd w:id="274"/>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w:t>
            </w:r>
            <w:r>
              <w:rPr/>
              <w:t xml:space="preserve">: </w:t>
            </w:r>
            <w:r>
              <w:rPr/>
              <w:t>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w:t>
            </w:r>
            <w:r>
              <w:rPr/>
              <w:t>as Topmanagement</w:t>
            </w:r>
            <w:r>
              <w:rPr/>
              <w:t xml:space="preserve"> MUSS jährlich prüfen, ob </w:t>
            </w:r>
            <w:r>
              <w:rPr/>
              <w:t xml:space="preserve">die Maßnahmen des Risikomanagements </w:t>
            </w:r>
            <w:r>
              <w:rPr/>
              <w:t xml:space="preserve">umgesetzt sind und ob </w:t>
            </w:r>
            <w:r>
              <w:rPr/>
              <w:t xml:space="preserve">Änderungen an </w:t>
            </w:r>
            <w:r>
              <w:rPr/>
              <w:t>gesetzlichen,</w:t>
            </w:r>
            <w:r>
              <w:rPr/>
              <w:t xml:space="preserve"> vertraglichen </w:t>
            </w:r>
            <w:r>
              <w:rPr/>
              <w:t xml:space="preserve">oder betrieblichen </w:t>
            </w:r>
            <w:r>
              <w:rPr/>
              <w:t xml:space="preserve">Rahmenbedingungen eine Anpassung der </w:t>
            </w:r>
            <w:r>
              <w:rPr/>
              <w:t>Maßnahmen</w:t>
            </w:r>
            <w:r>
              <w:rPr/>
              <w:t xml:space="preserve">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93</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0.4.</w:t>
    </w:r>
    <w:r>
      <w:rPr>
        <w:u w:val="single"/>
      </w:rPr>
      <w:t>5</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hyperlink" Target="https://www.bsi.bund.de/SharedDocs/Downloads/DE/BSI/Publikationen/TechnischeRichtlinien/TR02102/BSI-TR-02102.pdf" TargetMode="External"/><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14417</TotalTime>
  <Application>LibreOffice/24.2.5.2$Linux_X86_64 LibreOffice_project/bffef4ea93e59bebbeaf7f431bb02b1a39ee8a59</Application>
  <AppVersion>15.0000</AppVersion>
  <Pages>93</Pages>
  <Words>25139</Words>
  <Characters>171540</Characters>
  <CharactersWithSpaces>193094</CharactersWithSpaces>
  <Paragraphs>3594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2024-09-03T13:57:46Z</cp:lastPrinted>
  <dcterms:modified xsi:type="dcterms:W3CDTF">2024-09-04T23:16:38Z</dcterms:modified>
  <cp:revision>289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