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0.4.1 vom xx.08.2024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r>
            <w:r>
              <w:rPr>
                <w:rStyle w:val="IndexLink"/>
              </w:rPr>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0.4.1 vom xx.08.2024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Anschaffung</w:t>
              <w:tab/>
              <w:t>48</w:t>
            </w:r>
          </w:hyperlink>
        </w:p>
        <w:p>
          <w:pPr>
            <w:pStyle w:val="TOC3"/>
            <w:rPr/>
          </w:pPr>
          <w:hyperlink w:anchor="__RefHeading___inbetriebnahme_und_aende1">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49</w:t>
            </w:r>
          </w:hyperlink>
        </w:p>
        <w:p>
          <w:pPr>
            <w:pStyle w:val="TOC3"/>
            <w:rPr/>
          </w:pPr>
          <w:hyperlink w:anchor="__RefHeading___software_56">
            <w:r>
              <w:rPr>
                <w:rStyle w:val="IndexLink"/>
              </w:rPr>
              <w:t>10.3.1 Software</w:t>
              <w:tab/>
              <w:t>50</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52</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57</w:t>
            </w:r>
          </w:hyperlink>
        </w:p>
        <w:p>
          <w:pPr>
            <w:pStyle w:val="TOC3"/>
            <w:rPr/>
          </w:pPr>
          <w:hyperlink w:anchor="__RefHeading___dokumentation_74_Copy_1">
            <w:r>
              <w:rPr>
                <w:rStyle w:val="IndexLink"/>
              </w:rPr>
              <w:t>10.n1.1 Dokumentation</w:t>
              <w:tab/>
              <w:t>58</w:t>
            </w:r>
          </w:hyperlink>
        </w:p>
        <w:p>
          <w:pPr>
            <w:pStyle w:val="TOC3"/>
            <w:rPr/>
          </w:pPr>
          <w:hyperlink w:anchor="__RefHeading___datensicherung_75_Copy_1">
            <w:r>
              <w:rPr>
                <w:rStyle w:val="IndexLink"/>
              </w:rPr>
              <w:t>10.n1.2 Datensicherung</w:t>
              <w:tab/>
              <w:t>58</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59</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59</w:t>
            </w:r>
          </w:hyperlink>
        </w:p>
        <w:p>
          <w:pPr>
            <w:pStyle w:val="TOC3"/>
            <w:rPr/>
          </w:pPr>
          <w:hyperlink w:anchor="__RefHeading___robustheit_71_Copy_1">
            <w:r>
              <w:rPr>
                <w:rStyle w:val="IndexLink"/>
              </w:rPr>
              <w:t>10.5.n1 Kryptografie</w:t>
              <w:tab/>
              <w:t>60</w:t>
            </w:r>
          </w:hyperlink>
        </w:p>
        <w:p>
          <w:pPr>
            <w:pStyle w:val="TOC3"/>
            <w:rPr/>
          </w:pPr>
          <w:hyperlink w:anchor="__RefHeading___externe_schnittstellen_u1">
            <w:r>
              <w:rPr>
                <w:rStyle w:val="IndexLink"/>
              </w:rPr>
              <w:t>10.5.3 Externe Schnittstellen und Laufwerke</w:t>
              <w:tab/>
              <w:t>60</w:t>
            </w:r>
          </w:hyperlink>
        </w:p>
        <w:p>
          <w:pPr>
            <w:pStyle w:val="TOC3"/>
            <w:rPr/>
          </w:pPr>
          <w:hyperlink w:anchor="__RefHeading___aenderungsmanagement_73">
            <w:r>
              <w:rPr>
                <w:rStyle w:val="IndexLink"/>
              </w:rPr>
              <w:t>10.5.4 Änderungsmanagement</w:t>
              <w:tab/>
              <w:t>60</w:t>
            </w:r>
          </w:hyperlink>
        </w:p>
        <w:p>
          <w:pPr>
            <w:pStyle w:val="TOC3"/>
            <w:rPr/>
          </w:pPr>
          <w:hyperlink w:anchor="__RefHeading___ersatzsysteme_und_-verfah">
            <w:r>
              <w:rPr>
                <w:rStyle w:val="IndexLink"/>
              </w:rPr>
              <w:t>10.5.5 Ersatzsysteme und -verfahren</w:t>
              <w:tab/>
              <w:t>61</w:t>
            </w:r>
          </w:hyperlink>
        </w:p>
        <w:p>
          <w:pPr>
            <w:pStyle w:val="TOC3"/>
            <w:rPr/>
          </w:pPr>
          <w:hyperlink w:anchor="__RefHeading___kritische_individualsoftw">
            <w:r>
              <w:rPr>
                <w:rStyle w:val="IndexLink"/>
              </w:rPr>
              <w:t>10.5.6 Besonders schützenswerte Individualsoftware</w:t>
              <w:tab/>
              <w:t>61</w:t>
            </w:r>
          </w:hyperlink>
        </w:p>
        <w:p>
          <w:pPr>
            <w:pStyle w:val="TOC1"/>
            <w:rPr/>
          </w:pPr>
          <w:hyperlink w:anchor="__RefHeading___netzwerke_und_verbindung1">
            <w:r>
              <w:rPr>
                <w:rStyle w:val="IndexLink"/>
              </w:rPr>
              <w:t>11 Netzwerke und Verbindungen</w:t>
              <w:tab/>
              <w:t>61</w:t>
            </w:r>
          </w:hyperlink>
        </w:p>
        <w:p>
          <w:pPr>
            <w:pStyle w:val="TOC2"/>
            <w:rPr/>
          </w:pPr>
          <w:hyperlink w:anchor="__RefHeading___netzwerkplan_80">
            <w:r>
              <w:rPr>
                <w:rStyle w:val="IndexLink"/>
              </w:rPr>
              <w:t>11.1 Netzwerkplan</w:t>
              <w:tab/>
              <w:t>62</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67</w:t>
            </w:r>
          </w:hyperlink>
        </w:p>
        <w:p>
          <w:pPr>
            <w:pStyle w:val="TOC2"/>
            <w:rPr/>
          </w:pPr>
          <w:hyperlink w:anchor="__RefHeading___is-richtlinie_90">
            <w:r>
              <w:rPr>
                <w:rStyle w:val="IndexLink"/>
              </w:rPr>
              <w:t>12.1 IS-Richtlinie</w:t>
              <w:tab/>
              <w:t>67</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68</w:t>
            </w:r>
          </w:hyperlink>
        </w:p>
        <w:p>
          <w:pPr>
            <w:pStyle w:val="TOC1"/>
            <w:rPr/>
          </w:pPr>
          <w:hyperlink w:anchor="__RefHeading___umgebung_93">
            <w:r>
              <w:rPr>
                <w:rStyle w:val="IndexLink"/>
              </w:rPr>
              <w:t>13 Umgebung</w:t>
              <w:tab/>
              <w:t>68</w:t>
            </w:r>
          </w:hyperlink>
        </w:p>
        <w:p>
          <w:pPr>
            <w:pStyle w:val="TOC2"/>
            <w:rPr/>
          </w:pPr>
          <w:hyperlink w:anchor="__RefHeading___server_aktive_netzwerkkom">
            <w:r>
              <w:rPr>
                <w:rStyle w:val="IndexLink"/>
              </w:rPr>
              <w:t>13.1 Server, aktive Netzwerkkomponenten und Netzwerkverteilstellen</w:t>
              <w:tab/>
              <w:t>69</w:t>
            </w:r>
          </w:hyperlink>
        </w:p>
        <w:p>
          <w:pPr>
            <w:pStyle w:val="TOC2"/>
            <w:rPr/>
          </w:pPr>
          <w:hyperlink w:anchor="__RefHeading___datenleitungen_95">
            <w:r>
              <w:rPr>
                <w:rStyle w:val="IndexLink"/>
              </w:rPr>
              <w:t>13.2 Datenleitungen</w:t>
              <w:tab/>
              <w:t>69</w:t>
            </w:r>
          </w:hyperlink>
        </w:p>
        <w:p>
          <w:pPr>
            <w:pStyle w:val="TOC2"/>
            <w:rPr/>
          </w:pPr>
          <w:hyperlink w:anchor="__RefHeading___zusaetzliche_massnahmen_4">
            <w:r>
              <w:rPr>
                <w:rStyle w:val="IndexLink"/>
              </w:rPr>
              <w:t>13.3 Zusätzliche Maßnahmen für wichtigen IT-Systeme</w:t>
              <w:tab/>
              <w:t>70</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71</w:t>
            </w:r>
          </w:hyperlink>
        </w:p>
        <w:p>
          <w:pPr>
            <w:pStyle w:val="TOC2"/>
            <w:rPr/>
          </w:pPr>
          <w:hyperlink w:anchor="__RefHeading___vorbereitung_99">
            <w:r>
              <w:rPr>
                <w:rStyle w:val="IndexLink"/>
              </w:rPr>
              <w:t>14.2 Vorbereitung</w:t>
              <w:tab/>
              <w:t>71</w:t>
            </w:r>
          </w:hyperlink>
        </w:p>
        <w:p>
          <w:pPr>
            <w:pStyle w:val="TOC2"/>
            <w:rPr/>
          </w:pPr>
          <w:hyperlink w:anchor="__RefHeading___vertragsgestaltung_100">
            <w:r>
              <w:rPr>
                <w:rStyle w:val="IndexLink"/>
              </w:rPr>
              <w:t>14.3 Vertragsgestaltung</w:t>
              <w:tab/>
              <w:t>72</w:t>
            </w:r>
          </w:hyperlink>
        </w:p>
        <w:p>
          <w:pPr>
            <w:pStyle w:val="TOC2"/>
            <w:rPr/>
          </w:pPr>
          <w:hyperlink w:anchor="__RefHeading___zusaetzliche_massnahmen_5">
            <w:r>
              <w:rPr>
                <w:rStyle w:val="IndexLink"/>
              </w:rPr>
              <w:t>14.4 Zusätzliche Maßnahmen für wichtige IT-Ressourcen</w:t>
              <w:tab/>
              <w:t>72</w:t>
            </w:r>
          </w:hyperlink>
        </w:p>
        <w:p>
          <w:pPr>
            <w:pStyle w:val="TOC1"/>
            <w:rPr/>
          </w:pPr>
          <w:hyperlink w:anchor="__RefHeading___zugaenge_und_zugriffsrech">
            <w:r>
              <w:rPr>
                <w:rStyle w:val="IndexLink"/>
              </w:rPr>
              <w:t>15 Zugänge und Zugriffsrechte</w:t>
              <w:tab/>
              <w:t>73</w:t>
            </w:r>
          </w:hyperlink>
        </w:p>
        <w:p>
          <w:pPr>
            <w:pStyle w:val="TOC2"/>
            <w:rPr/>
          </w:pPr>
          <w:hyperlink w:anchor="__RefHeading___verwaltung_103">
            <w:r>
              <w:rPr>
                <w:rStyle w:val="IndexLink"/>
              </w:rPr>
              <w:t>15.1 Verwaltung</w:t>
              <w:tab/>
              <w:t>74</w:t>
            </w:r>
          </w:hyperlink>
        </w:p>
        <w:p>
          <w:pPr>
            <w:pStyle w:val="TOC2"/>
            <w:rPr/>
          </w:pPr>
          <w:hyperlink w:anchor="__RefHeading___zusaetzliche_massnahmen_6">
            <w:r>
              <w:rPr>
                <w:rStyle w:val="IndexLink"/>
              </w:rPr>
              <w:t>15.2 Zusätzliche Maßnahmen für besonders schützenswerte IT-Systeme und Informationen</w:t>
              <w:tab/>
              <w:t>74</w:t>
            </w:r>
          </w:hyperlink>
        </w:p>
        <w:p>
          <w:pPr>
            <w:pStyle w:val="TOC1"/>
            <w:rPr/>
          </w:pPr>
          <w:hyperlink w:anchor="__RefHeading___datensicherung_und_archiv">
            <w:r>
              <w:rPr>
                <w:rStyle w:val="IndexLink"/>
              </w:rPr>
              <w:t>16 Datensicherung und Archivierung</w:t>
              <w:tab/>
              <w:t>75</w:t>
            </w:r>
          </w:hyperlink>
        </w:p>
        <w:p>
          <w:pPr>
            <w:pStyle w:val="TOC2"/>
            <w:rPr/>
          </w:pPr>
          <w:hyperlink w:anchor="__RefHeading___is-richtlinie_106">
            <w:r>
              <w:rPr>
                <w:rStyle w:val="IndexLink"/>
              </w:rPr>
              <w:t>16.1 IS-Richtlinie</w:t>
              <w:tab/>
              <w:t>75</w:t>
            </w:r>
          </w:hyperlink>
        </w:p>
        <w:p>
          <w:pPr>
            <w:pStyle w:val="TOC2"/>
            <w:rPr/>
          </w:pPr>
          <w:hyperlink w:anchor="__RefHeading___archivierung_107">
            <w:r>
              <w:rPr>
                <w:rStyle w:val="IndexLink"/>
              </w:rPr>
              <w:t>16.2 Archivierung</w:t>
              <w:tab/>
              <w:t>76</w:t>
            </w:r>
          </w:hyperlink>
        </w:p>
        <w:p>
          <w:pPr>
            <w:pStyle w:val="TOC2"/>
            <w:rPr/>
          </w:pPr>
          <w:hyperlink w:anchor="__RefHeading___verfahren_108">
            <w:r>
              <w:rPr>
                <w:rStyle w:val="IndexLink"/>
              </w:rPr>
              <w:t>16.3 Verfahren</w:t>
              <w:tab/>
              <w:t>76</w:t>
            </w:r>
          </w:hyperlink>
        </w:p>
        <w:p>
          <w:pPr>
            <w:pStyle w:val="TOC2"/>
            <w:rPr/>
          </w:pPr>
          <w:hyperlink w:anchor="__RefHeading___weiterentwicklung_112">
            <w:r>
              <w:rPr>
                <w:rStyle w:val="IndexLink"/>
              </w:rPr>
              <w:t>16.4 Weiterentwicklung</w:t>
              <w:tab/>
              <w:t>78</w:t>
            </w:r>
          </w:hyperlink>
        </w:p>
        <w:p>
          <w:pPr>
            <w:pStyle w:val="TOC2"/>
            <w:rPr/>
          </w:pPr>
          <w:hyperlink w:anchor="__RefHeading___basisschutz_113">
            <w:r>
              <w:rPr>
                <w:rStyle w:val="IndexLink"/>
              </w:rPr>
              <w:t>16.5 Basisschutz</w:t>
              <w:tab/>
              <w:t>79</w:t>
            </w:r>
          </w:hyperlink>
        </w:p>
        <w:p>
          <w:pPr>
            <w:pStyle w:val="TOC3"/>
            <w:rPr/>
          </w:pPr>
          <w:hyperlink w:anchor="__RefHeading___is-richtlinie_106_Copy_1_">
            <w:r>
              <w:rPr>
                <w:rStyle w:val="IndexLink"/>
              </w:rPr>
              <w:t>16.5.n1 IT-Systeme für die Datensicherung und -wiederherstellung</w:t>
              <w:tab/>
              <w:t>79</w:t>
            </w:r>
          </w:hyperlink>
        </w:p>
        <w:p>
          <w:pPr>
            <w:pStyle w:val="TOC3"/>
            <w:rPr/>
          </w:pPr>
          <w:hyperlink w:anchor="__RefHeading___speicherorte_114">
            <w:r>
              <w:rPr>
                <w:rStyle w:val="IndexLink"/>
              </w:rPr>
              <w:t>16.5.1 Speicherorte</w:t>
              <w:tab/>
              <w:t>80</w:t>
            </w:r>
          </w:hyperlink>
        </w:p>
        <w:p>
          <w:pPr>
            <w:pStyle w:val="TOC3"/>
            <w:rPr/>
          </w:pPr>
          <w:hyperlink w:anchor="__RefHeading___server_115">
            <w:r>
              <w:rPr>
                <w:rStyle w:val="IndexLink"/>
              </w:rPr>
              <w:t>16.5.2 Server</w:t>
              <w:tab/>
              <w:t>80</w:t>
            </w:r>
          </w:hyperlink>
        </w:p>
        <w:p>
          <w:pPr>
            <w:pStyle w:val="TOC3"/>
            <w:rPr/>
          </w:pPr>
          <w:hyperlink w:anchor="__RefHeading___aktive_netzwerkkomponent1">
            <w:r>
              <w:rPr>
                <w:rStyle w:val="IndexLink"/>
              </w:rPr>
              <w:t>16.5.3 Aktive Netzwerkkomponenten</w:t>
              <w:tab/>
              <w:t>81</w:t>
            </w:r>
          </w:hyperlink>
        </w:p>
        <w:p>
          <w:pPr>
            <w:pStyle w:val="TOC3"/>
            <w:rPr/>
          </w:pPr>
          <w:hyperlink w:anchor="__RefHeading___mobile_it-systeme_117">
            <w:r>
              <w:rPr>
                <w:rStyle w:val="IndexLink"/>
              </w:rPr>
              <w:t>16.5.4 Mobile IT-Systeme</w:t>
              <w:tab/>
              <w:t>81</w:t>
            </w:r>
          </w:hyperlink>
        </w:p>
        <w:p>
          <w:pPr>
            <w:pStyle w:val="TOC2"/>
            <w:rPr/>
          </w:pPr>
          <w:hyperlink w:anchor="__RefHeading___zusaetzliche_massnahmen_7">
            <w:r>
              <w:rPr>
                <w:rStyle w:val="IndexLink"/>
              </w:rPr>
              <w:t>16.6 Zusätzliche Maßnahmen für wichtige IT-Systeme</w:t>
              <w:tab/>
              <w:t>81</w:t>
            </w:r>
          </w:hyperlink>
        </w:p>
        <w:p>
          <w:pPr>
            <w:pStyle w:val="TOC3"/>
            <w:rPr/>
          </w:pPr>
          <w:hyperlink w:anchor="__RefHeading___risikoanalyse_119">
            <w:r>
              <w:rPr>
                <w:rStyle w:val="IndexLink"/>
              </w:rPr>
              <w:t>16.6.1 Risikoanalyse</w:t>
              <w:tab/>
              <w:t>81</w:t>
            </w:r>
          </w:hyperlink>
        </w:p>
        <w:p>
          <w:pPr>
            <w:pStyle w:val="TOC3"/>
            <w:rPr/>
          </w:pPr>
          <w:hyperlink w:anchor="__RefHeading___verfahren_120">
            <w:r>
              <w:rPr>
                <w:rStyle w:val="IndexLink"/>
              </w:rPr>
              <w:t>16.6.2 Verfahren</w:t>
              <w:tab/>
              <w:t>81</w:t>
            </w:r>
          </w:hyperlink>
        </w:p>
        <w:p>
          <w:pPr>
            <w:pStyle w:val="TOC1"/>
            <w:rPr/>
          </w:pPr>
          <w:hyperlink w:anchor="__RefHeading___stoerungen_und_ausfaelle_">
            <w:r>
              <w:rPr>
                <w:rStyle w:val="IndexLink"/>
              </w:rPr>
              <w:t>17 Sicherheitsvorfälle</w:t>
              <w:tab/>
              <w:t>82</w:t>
            </w:r>
          </w:hyperlink>
        </w:p>
        <w:p>
          <w:pPr>
            <w:pStyle w:val="TOC2"/>
            <w:rPr/>
          </w:pPr>
          <w:hyperlink w:anchor="__RefHeading___is-richtlinie_122">
            <w:r>
              <w:rPr>
                <w:rStyle w:val="IndexLink"/>
              </w:rPr>
              <w:t>17.1 IS-Richtlinie</w:t>
              <w:tab/>
              <w:t>82</w:t>
            </w:r>
          </w:hyperlink>
        </w:p>
        <w:p>
          <w:pPr>
            <w:pStyle w:val="TOC2"/>
            <w:rPr/>
          </w:pPr>
          <w:hyperlink w:anchor="__RefHeading___erkennen_129_Copy_1">
            <w:r>
              <w:rPr>
                <w:rStyle w:val="IndexLink"/>
              </w:rPr>
              <w:t>17.2 Erkennen</w:t>
              <w:tab/>
              <w:t>83</w:t>
            </w:r>
          </w:hyperlink>
        </w:p>
        <w:p>
          <w:pPr>
            <w:pStyle w:val="TOC2"/>
            <w:rPr/>
          </w:pPr>
          <w:hyperlink w:anchor="__RefHeading___reaktion_123">
            <w:r>
              <w:rPr>
                <w:rStyle w:val="IndexLink"/>
              </w:rPr>
              <w:t>17.3 Reaktion</w:t>
              <w:tab/>
              <w:t>84</w:t>
            </w:r>
          </w:hyperlink>
        </w:p>
        <w:p>
          <w:pPr>
            <w:pStyle w:val="TOC2"/>
            <w:rPr/>
          </w:pPr>
          <w:hyperlink w:anchor="__RefHeading___zusaetzliche_massnahmen_a">
            <w:r>
              <w:rPr>
                <w:rStyle w:val="IndexLink"/>
              </w:rPr>
              <w:t>17.4 Zusätzliche Maßnahmen für wichtige IT-Systeme</w:t>
              <w:tab/>
              <w:t>86</w:t>
            </w:r>
          </w:hyperlink>
        </w:p>
        <w:p>
          <w:pPr>
            <w:pStyle w:val="TOC3"/>
            <w:rPr/>
          </w:pPr>
          <w:hyperlink w:anchor="__RefHeading___wiederanlaufplaene_125">
            <w:r>
              <w:rPr>
                <w:rStyle w:val="IndexLink"/>
              </w:rPr>
              <w:t>17.4.1 Wiederanlaufpläne</w:t>
              <w:tab/>
              <w:t>87</w:t>
            </w:r>
          </w:hyperlink>
        </w:p>
        <w:p>
          <w:pPr>
            <w:pStyle w:val="TOC3"/>
            <w:rPr/>
          </w:pPr>
          <w:hyperlink w:anchor="__RefHeading___abhaengigkeiten_126">
            <w:r>
              <w:rPr>
                <w:rStyle w:val="IndexLink"/>
              </w:rPr>
              <w:t>17.4.2 Abhängigkeiten</w:t>
              <w:tab/>
              <w:t>88</w:t>
            </w:r>
          </w:hyperlink>
        </w:p>
        <w:p>
          <w:pPr>
            <w:pStyle w:val="TOC1"/>
            <w:rPr/>
          </w:pPr>
          <w:hyperlink w:anchor="__RefHeading___anhang_a_131">
            <w:r>
              <w:rPr>
                <w:rStyle w:val="IndexLink"/>
              </w:rPr>
              <w:t>Anhang A</w:t>
              <w:tab/>
              <w:t>89</w:t>
            </w:r>
          </w:hyperlink>
        </w:p>
        <w:p>
          <w:pPr>
            <w:pStyle w:val="TOC2"/>
            <w:rPr/>
          </w:pPr>
          <w:hyperlink w:anchor="__RefHeading___a_1_verfahren_132">
            <w:r>
              <w:rPr>
                <w:rStyle w:val="IndexLink"/>
              </w:rPr>
              <w:t>A 1 Verfahren</w:t>
              <w:tab/>
              <w:t>89</w:t>
            </w:r>
          </w:hyperlink>
        </w:p>
        <w:p>
          <w:pPr>
            <w:pStyle w:val="TOC2"/>
            <w:rPr/>
          </w:pPr>
          <w:hyperlink w:anchor="__RefHeading___a_2_risikoanalyse_und_-be">
            <w:r>
              <w:rPr>
                <w:rStyle w:val="IndexLink"/>
              </w:rPr>
              <w:t>A 2 Risikomanagement</w:t>
              <w:tab/>
              <w:t>90</w:t>
            </w:r>
          </w:hyperlink>
        </w:p>
        <w:p>
          <w:pPr>
            <w:pStyle w:val="TOC3"/>
            <w:rPr/>
          </w:pPr>
          <w:hyperlink w:anchor="__RefHeading___a_2.1_risikoanalyse_134_C">
            <w:r>
              <w:rPr>
                <w:rStyle w:val="IndexLink"/>
              </w:rPr>
              <w:t>A 2.1 Methodik</w:t>
              <w:tab/>
              <w:t>90</w:t>
            </w:r>
          </w:hyperlink>
        </w:p>
        <w:p>
          <w:pPr>
            <w:pStyle w:val="TOC3"/>
            <w:rPr/>
          </w:pPr>
          <w:hyperlink w:anchor="__RefHeading___a_2.1_risikoanalyse_134">
            <w:r>
              <w:rPr>
                <w:rStyle w:val="IndexLink"/>
              </w:rPr>
              <w:t>A 2.2 Risikoanalyse</w:t>
              <w:tab/>
              <w:t>91</w:t>
            </w:r>
          </w:hyperlink>
        </w:p>
        <w:p>
          <w:pPr>
            <w:pStyle w:val="TOC3"/>
            <w:rPr/>
          </w:pPr>
          <w:hyperlink w:anchor="__RefHeading___a_2.2_risikobehandlung_13">
            <w:r>
              <w:rPr>
                <w:rStyle w:val="IndexLink"/>
              </w:rPr>
              <w:t>A 2.3 Risikobehandlung</w:t>
              <w:tab/>
              <w:t>91</w:t>
            </w:r>
          </w:hyperlink>
        </w:p>
        <w:p>
          <w:pPr>
            <w:pStyle w:val="TOC3"/>
            <w:rPr/>
          </w:pPr>
          <w:hyperlink w:anchor="__RefHeading___a_2.3_wiederholung_und_an">
            <w:r>
              <w:rPr>
                <w:rStyle w:val="IndexLink"/>
              </w:rPr>
              <w:t>A 2.4 Wiederholung und Anpassung</w:t>
              <w:tab/>
              <w:t>92</w:t>
            </w:r>
          </w:hyperlink>
        </w:p>
        <w:p>
          <w:pPr>
            <w:pStyle w:val="TOC3"/>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0" w:author="Mark Semmler" w:date="2024-08-30T14:35:32Z">
              <w:r>
                <w:rPr/>
                <w:t>0.4.2-Verbesserungsvorschlag/Diskussion.</w:t>
              </w:r>
            </w:ins>
            <w:del w:id="1" w:author="Mark Semmler" w:date="2024-08-30T14:35:31Z">
              <w:r>
                <w:rPr/>
                <w:delText>übernehmen</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ins w:id="2" w:author="Mark Semmler" w:date="2024-08-30T14:34:17Z">
              <w:r>
                <w:rPr/>
                <w:t xml:space="preserve">, </w:t>
              </w:r>
            </w:ins>
            <w:ins w:id="3" w:author="Mark Semmler" w:date="2024-08-30T14:34:17Z">
              <w:r>
                <w:rPr/>
                <w:t>bei der objektive Nachweise für die Umsetzung der Maßnahmen geprüft werden.</w:t>
              </w:r>
            </w:ins>
            <w:del w:id="4" w:author="Mark Semmler" w:date="2024-08-30T14:35:11Z">
              <w:r>
                <w:rPr/>
                <w:delText>.</w:delText>
              </w:r>
            </w:del>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5" w:author="Mark Semmler" w:date="2024-08-14T14:30:29Z"/>
              </w:rPr>
            </w:pPr>
            <w:r>
              <w:rPr/>
              <w:t>übernehmen</w:t>
            </w:r>
          </w:p>
          <w:p>
            <w:pPr>
              <w:pStyle w:val="TableContents"/>
              <w:bidi w:val="0"/>
              <w:jc w:val="start"/>
              <w:rPr>
                <w:ins w:id="7" w:author="Mark Semmler" w:date="2024-08-14T14:30:29Z"/>
              </w:rPr>
            </w:pPr>
            <w:ins w:id="6" w:author="Mark Semmler" w:date="2024-08-14T14:30:29Z">
              <w:r>
                <w:rPr/>
              </w:r>
            </w:ins>
          </w:p>
          <w:p>
            <w:pPr>
              <w:pStyle w:val="TableContents"/>
              <w:bidi w:val="0"/>
              <w:jc w:val="start"/>
              <w:rPr>
                <w:ins w:id="9" w:author="Mark Semmler" w:date="2024-08-14T14:30:29Z"/>
              </w:rPr>
            </w:pPr>
            <w:ins w:id="8" w:author="Mark Semmler" w:date="2024-08-14T14:30:29Z">
              <w:r>
                <w:rPr/>
                <w:t>0.4.2 – ToDo:</w:t>
              </w:r>
            </w:ins>
          </w:p>
          <w:p>
            <w:pPr>
              <w:pStyle w:val="TableContents"/>
              <w:bidi w:val="0"/>
              <w:jc w:val="start"/>
              <w:rPr/>
            </w:pPr>
            <w:ins w:id="10" w:author="Mark Semmler" w:date="2024-08-14T14:30:29Z">
              <w:r>
                <w:rPr/>
                <w:t>Prüfen ob die entsprechenden VdS-Richtlinien für die VdS 10100 gültig sind bzw. die gleiche Rolle wie für die VdS 10k besitzen.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del w:id="11" w:author="Mark Semmler" w:date="2024-08-14T14:43:53Z"/>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ins w:id="12" w:author="Mark Semmler" w:date="2024-08-26T15:27:49Z"/>
        </w:trPr>
        <w:tc>
          <w:tcPr>
            <w:tcW w:w="703" w:type="dxa"/>
            <w:tcBorders>
              <w:start w:val="single" w:sz="2" w:space="0" w:color="000000"/>
              <w:bottom w:val="single" w:sz="2" w:space="0" w:color="000000"/>
              <w:end w:val="single" w:sz="2" w:space="0" w:color="000000"/>
            </w:tcBorders>
          </w:tcPr>
          <w:p>
            <w:pPr>
              <w:pStyle w:val="TableContents"/>
              <w:bidi w:val="0"/>
              <w:jc w:val="start"/>
              <w:rPr/>
            </w:pPr>
            <w:ins w:id="13" w:author="Mark Semmler" w:date="2024-08-26T15:27:49Z">
              <w:r>
                <w:rPr/>
                <w:t>‍</w:t>
              </w:r>
            </w:ins>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ins w:id="14" w:author="Mark Semmler" w:date="2024-08-26T15:27:53Z">
              <w:r>
                <w:rPr/>
                <w:t xml:space="preserve">ToDo: Ergänzung zu </w:t>
              </w:r>
            </w:ins>
            <w:ins w:id="15" w:author="Mark Semmler" w:date="2024-08-26T15:27:53Z">
              <w:r>
                <w:rPr>
                  <w:rFonts w:eastAsia="Bitstream Vera Sans" w:cs="Bitstream Vera Sans"/>
                  <w:color w:val="auto"/>
                  <w:kern w:val="0"/>
                  <w:sz w:val="20"/>
                  <w:szCs w:val="24"/>
                  <w:lang w:val="de-DE" w:eastAsia="en-US" w:bidi="en-US"/>
                </w:rPr>
                <w:t>„IT-Systemen“ – Anlagen sind IT-Systeme.</w:t>
              </w:r>
            </w:ins>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17" w:author="Mark Semmler" w:date="2024-09-02T15:32:12Z"/>
              </w:rPr>
            </w:pPr>
            <w:del w:id="16" w:author="Mark Semmler" w:date="2024-09-02T15:32:12Z">
              <w:r>
                <w:rPr/>
                <w:delText>§ 38 Abschnitt 1</w:delText>
              </w:r>
            </w:del>
          </w:p>
          <w:p>
            <w:pPr>
              <w:pStyle w:val="TableContents"/>
              <w:bidi w:val="0"/>
              <w:jc w:val="start"/>
              <w:rPr/>
            </w:pPr>
            <w:ins w:id="18" w:author="Mark Semmler" w:date="2024-09-02T15:32:12Z">
              <w:r>
                <w:rPr/>
                <w:t>§ 38 (1) Geschäftsleitungen besonders wichtiger Einrichtungen und wichtiger Einrichtungen sind verpflichtet, die von diesen Einrichtungen nach § 30 zu ergreifenden Risikomanagementmaßnahmen umzusetzen und ihre Umsetzung zu überwachen.</w:t>
              </w:r>
            </w:ins>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ins w:id="19" w:author="Mark Semmler" w:date="2024-09-02T15:32:35Z">
              <w:r>
                <w:rPr/>
                <w:t xml:space="preserve">in diesen Richtlinien geforderten Maßnahmen des </w:t>
              </w:r>
            </w:ins>
            <w:r>
              <w:rPr>
                <w:b w:val="false"/>
                <w:i w:val="false"/>
                <w:strike w:val="false"/>
                <w:dstrike w:val="false"/>
                <w:outline w:val="false"/>
                <w:shadow w:val="false"/>
                <w:sz w:val="20"/>
                <w:u w:val="none"/>
                <w:em w:val="none"/>
              </w:rPr>
              <w:t>Risikomanagement</w:t>
            </w:r>
            <w:ins w:id="20" w:author="Mark Semmler" w:date="2024-09-02T15:32:52Z">
              <w:r>
                <w:rPr>
                  <w:b w:val="false"/>
                  <w:i w:val="false"/>
                  <w:strike w:val="false"/>
                  <w:dstrike w:val="false"/>
                  <w:outline w:val="false"/>
                  <w:shadow w:val="false"/>
                  <w:sz w:val="20"/>
                  <w:u w:val="none"/>
                  <w:em w:val="none"/>
                </w:rPr>
                <w:t>s</w:t>
              </w:r>
            </w:ins>
            <w:del w:id="21" w:author="Mark Semmler" w:date="2024-09-02T15:32:57Z">
              <w:r>
                <w:rPr>
                  <w:b w:val="false"/>
                  <w:i w:val="false"/>
                  <w:strike w:val="false"/>
                  <w:dstrike w:val="false"/>
                  <w:outline w:val="false"/>
                  <w:shadow w:val="false"/>
                  <w:sz w:val="20"/>
                  <w:u w:val="none"/>
                  <w:em w:val="none"/>
                </w:rPr>
                <w:delText>maßnahmen im Bereich der Cybersicherheit</w:delText>
              </w:r>
            </w:del>
            <w:ins w:id="22" w:author="Mark Semmler" w:date="2024-09-02T15:32:57Z">
              <w:r>
                <w:rPr>
                  <w:b w:val="false"/>
                  <w:i w:val="false"/>
                  <w:strike w:val="false"/>
                  <w:dstrike w:val="false"/>
                  <w:outline w:val="false"/>
                  <w:shadow w:val="false"/>
                  <w:sz w:val="20"/>
                  <w:u w:val="none"/>
                  <w:em w:val="none"/>
                </w:rPr>
                <w:t xml:space="preserve"> </w:t>
              </w:r>
            </w:ins>
            <w:ins w:id="23" w:author="Mark Semmler" w:date="2024-09-02T15:32:57Z">
              <w:r>
                <w:rPr>
                  <w:b w:val="false"/>
                  <w:i w:val="false"/>
                  <w:strike w:val="false"/>
                  <w:dstrike w:val="false"/>
                  <w:outline w:val="false"/>
                  <w:shadow w:val="false"/>
                  <w:sz w:val="20"/>
                  <w:u w:val="none"/>
                  <w:em w:val="none"/>
                </w:rPr>
                <w:t>(siehe Anhang A2)</w:t>
              </w:r>
            </w:ins>
            <w:r>
              <w:rPr>
                <w:b w:val="false"/>
                <w:i w:val="false"/>
                <w:strike w:val="false"/>
                <w:dstrike w:val="false"/>
                <w:outline w:val="false"/>
                <w:shadow w:val="false"/>
                <w:sz w:val="20"/>
                <w:u w:val="none"/>
                <w:em w:val="none"/>
              </w:rPr>
              <w:t xml:space="preserve"> </w:t>
            </w:r>
            <w:del w:id="24" w:author="Mark Semmler" w:date="2024-09-02T15:35:56Z">
              <w:r>
                <w:rPr>
                  <w:b w:val="false"/>
                  <w:i w:val="false"/>
                  <w:strike w:val="false"/>
                  <w:dstrike w:val="false"/>
                  <w:outline w:val="false"/>
                  <w:shadow w:val="false"/>
                  <w:sz w:val="20"/>
                  <w:u w:val="none"/>
                  <w:em w:val="none"/>
                </w:rPr>
                <w:delText>zu billigen</w:delText>
              </w:r>
            </w:del>
            <w:ins w:id="25" w:author="Mark Semmler" w:date="2024-09-02T15:35:56Z">
              <w:r>
                <w:rPr>
                  <w:b w:val="false"/>
                  <w:i w:val="false"/>
                  <w:strike w:val="false"/>
                  <w:dstrike w:val="false"/>
                  <w:outline w:val="false"/>
                  <w:shadow w:val="false"/>
                  <w:sz w:val="20"/>
                  <w:u w:val="none"/>
                  <w:em w:val="none"/>
                </w:rPr>
                <w:t>umzusetzen</w:t>
              </w:r>
            </w:ins>
            <w:r>
              <w:rPr>
                <w:b w:val="false"/>
                <w:i w:val="false"/>
                <w:strike w:val="false"/>
                <w:dstrike w:val="false"/>
                <w:outline w:val="false"/>
                <w:shadow w:val="false"/>
                <w:sz w:val="20"/>
                <w:u w:val="none"/>
                <w:em w:val="none"/>
              </w:rPr>
              <w:t xml:space="preserve">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del w:id="26" w:author="Mark Semmler" w:date="2024-09-02T16:03:16Z">
              <w:r>
                <w:rPr/>
                <w:delText>Dieser Abschnitt MUSS gemäß der VdS 10000 umgesetzt werden.</w:delText>
              </w:r>
            </w:del>
            <w:ins w:id="27" w:author="Mark Semmler" w:date="2024-09-02T16:21:04Z">
              <w:r>
                <w:rPr/>
                <w:t>Das Topmanagement MUSS die Verantwortlichkeiten eines Informationssicherheitsbeauftragten (ISB) einem Mitarbeiter zuweisen.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8" w:author="Mark Semmler" w:date="2024-09-02T16:21:23Z">
              <w:r>
                <w:rPr/>
                <w:t>Dieser MUSS darauf hinwirken, dass die in der Leitlinie zur Informationssicherheit (IS-Leitlinie) definierten Ziele der Informationssicherheit erreicht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9" w:author="Mark Semmler" w:date="2024-09-02T16:21:32Z">
              <w:r>
                <w:rPr/>
                <w:t>Hierfür MUSS er insbesondere die folgenden Verantwortlichkeiten wahrnehmen: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34" w:author="Mark Semmler" w:date="2024-09-02T16:08:09Z"/>
              </w:rPr>
            </w:pPr>
            <w:del w:id="30" w:author="Mark Semmler" w:date="2024-09-02T16:14:09Z">
              <w:r>
                <w:rPr/>
                <w:delText xml:space="preserve">Änderung in der VdS 10000: </w:delText>
              </w:r>
            </w:del>
            <w:ins w:id="31" w:author="Mark Semmler" w:date="2024-09-02T16:14:09Z">
              <w:r>
                <w:rPr/>
                <w:t xml:space="preserve">0.4.2: </w:t>
              </w:r>
            </w:ins>
            <w:r>
              <w:rPr/>
              <w:t>Risikomanagement erwähn</w:t>
            </w:r>
            <w:ins w:id="32" w:author="Mark Semmler" w:date="2024-09-02T16:14:15Z">
              <w:r>
                <w:rPr/>
                <w:t>t und gestärkt</w:t>
              </w:r>
            </w:ins>
            <w:del w:id="33" w:author="Mark Semmler" w:date="2024-09-02T16:14:14Z">
              <w:r>
                <w:rPr/>
                <w:delText>en bzw. stärken!</w:delText>
              </w:r>
            </w:del>
          </w:p>
          <w:p>
            <w:pPr>
              <w:pStyle w:val="TableContents"/>
              <w:bidi w:val="0"/>
              <w:jc w:val="start"/>
              <w:rPr/>
            </w:pPr>
            <w:ins w:id="35" w:author="Mark Semmler" w:date="2024-09-02T16:08:09Z">
              <w:r>
                <w:rPr/>
                <w:t>0.4.2:</w:t>
              </w:r>
            </w:ins>
            <w:del w:id="36" w:author="Mark Semmler" w:date="2024-09-02T16:08:09Z">
              <w:r>
                <w:rPr/>
                <w:delText xml:space="preserve"> </w:delText>
              </w:r>
            </w:del>
            <w:r>
              <w:rPr/>
              <w:t>Aufbau verbesser</w:t>
            </w:r>
            <w:ins w:id="37" w:author="Mark Semmler" w:date="2024-09-02T16:08:17Z">
              <w:r>
                <w:rPr/>
                <w:t>t</w:t>
              </w:r>
            </w:ins>
            <w:del w:id="38" w:author="Mark Semmler" w:date="2024-09-02T16:08:40Z">
              <w:r>
                <w:rPr/>
                <w:delText>n</w:delText>
              </w:r>
            </w:del>
            <w:ins w:id="39" w:author="Mark Semmler" w:date="2024-09-02T16:08:40Z">
              <w:r>
                <w:rPr/>
                <w:t>,</w:t>
              </w:r>
            </w:ins>
            <w:del w:id="40" w:author="Mark Semmler" w:date="2024-09-02T16:08:40Z">
              <w:r>
                <w:rPr/>
                <w:delText>.</w:delText>
              </w:r>
            </w:del>
            <w:ins w:id="41" w:author="Mark Semmler" w:date="2024-09-02T16:08:20Z">
              <w:r>
                <w:rPr/>
                <w:t xml:space="preserve"> </w:t>
              </w:r>
            </w:ins>
            <w:ins w:id="42" w:author="Mark Semmler" w:date="2024-09-02T16:08:20Z">
              <w:r>
                <w:rPr/>
                <w:t>Verständlichkeit erhöht.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45" w:author="Mark Semmler" w:date="2024-09-02T16:05:07Z"/>
              </w:rPr>
            </w:pPr>
            <w:ins w:id="43" w:author="Mark Semmler" w:date="2024-09-02T16:05:07Z">
              <w:r>
                <w:rPr/>
                <w:t xml:space="preserve">1. Steuern, Koordinieren und Prüfen der technischen und organisatorischen Maßnahmen </w:t>
              </w:r>
            </w:ins>
            <w:ins w:id="44" w:author="Mark Semmler" w:date="2024-09-02T16:05:07Z">
              <w:r>
                <w:rPr/>
                <w:t>und des Risikomanagements im Bereich der Informationssicherheit</w:t>
              </w:r>
            </w:ins>
          </w:p>
          <w:p>
            <w:pPr>
              <w:pStyle w:val="TableContents"/>
              <w:bidi w:val="0"/>
              <w:jc w:val="start"/>
              <w:rPr>
                <w:ins w:id="48" w:author="Mark Semmler" w:date="2024-09-02T16:05:07Z"/>
              </w:rPr>
            </w:pPr>
            <w:ins w:id="46" w:author="Mark Semmler" w:date="2024-09-02T16:05:07Z">
              <w:r>
                <w:rPr/>
                <w:t xml:space="preserve">n1. kontinuierliches Verbessern der Informationssicherheit, </w:t>
              </w:r>
            </w:ins>
            <w:ins w:id="47" w:author="Mark Semmler" w:date="2024-09-02T16:05:07Z">
              <w:r>
                <w:rPr/>
                <w:t>insbesondere des Risikomanagements im Bereich der Informationssicherheit</w:t>
              </w:r>
            </w:ins>
          </w:p>
          <w:p>
            <w:pPr>
              <w:pStyle w:val="TableContents"/>
              <w:bidi w:val="0"/>
              <w:jc w:val="start"/>
              <w:rPr/>
            </w:pPr>
            <w:ins w:id="49" w:author="Mark Semmler" w:date="2024-09-02T16:05:07Z">
              <w:r>
                <w:rPr/>
                <w:t xml:space="preserve">n2. </w:t>
              </w:r>
            </w:ins>
            <w:ins w:id="50" w:author="Mark Semmler" w:date="2024-09-02T16:06:25Z">
              <w:r>
                <w:rPr/>
                <w:t xml:space="preserve">Anpassen der Informationssicherheit an neue Bedrohungen und Schwachstellen </w:t>
              </w:r>
            </w:ins>
            <w:ins w:id="51" w:author="Mark Semmler" w:date="2024-09-02T16:06:25Z">
              <w:r>
                <w:rPr/>
                <w:t xml:space="preserve">sowie an </w:t>
              </w:r>
            </w:ins>
            <w:ins w:id="52" w:author="Mark Semmler" w:date="2024-09-02T16:06:25Z">
              <w:r>
                <w:rPr/>
                <w:t xml:space="preserve">neue </w:t>
              </w:r>
            </w:ins>
            <w:ins w:id="53" w:author="Mark Semmler" w:date="2024-09-02T16:07:28Z">
              <w:r>
                <w:rPr/>
                <w:t>gesetzliche, betriebliche und vertragliche Anforderungen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w:t>
            </w:r>
            <w:del w:id="54" w:author="Mark Semmler" w:date="2024-09-02T16:21:58Z">
              <w:r>
                <w:rPr/>
                <w:delText>nderung in der VdS 10000</w:delText>
              </w:r>
            </w:del>
            <w:ins w:id="55" w:author="Mark Semmler" w:date="2024-09-02T16:21:58Z">
              <w:r>
                <w:rPr/>
                <w:t>0.4.2</w:t>
              </w:r>
            </w:ins>
            <w:r>
              <w:rPr/>
              <w:t>: Risikomanagement erwähn</w:t>
            </w:r>
            <w:del w:id="56" w:author="Mark Semmler" w:date="2024-09-02T16:22:05Z">
              <w:r>
                <w:rPr/>
                <w:delText>en</w:delText>
              </w:r>
            </w:del>
            <w:ins w:id="57" w:author="Mark Semmler" w:date="2024-09-02T16:22:05Z">
              <w:r>
                <w:rPr/>
                <w:t>t</w:t>
              </w:r>
            </w:ins>
            <w:r>
              <w:rPr/>
              <w:t xml:space="preserve"> bzw. </w:t>
            </w:r>
            <w:ins w:id="58" w:author="Mark Semmler" w:date="2024-09-02T16:22:07Z">
              <w:r>
                <w:rPr/>
                <w:t>ge</w:t>
              </w:r>
            </w:ins>
            <w:r>
              <w:rPr/>
              <w:t>stärke</w:t>
            </w:r>
            <w:ins w:id="59" w:author="Mark Semmler" w:date="2024-09-02T16:22:11Z">
              <w:r>
                <w:rPr/>
                <w:t>t</w:t>
              </w:r>
            </w:ins>
            <w:del w:id="60" w:author="Mark Semmler" w:date="2024-09-02T16:22:10Z">
              <w:r>
                <w:rPr/>
                <w:delText>n!</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1" w:author="Mark Semmler" w:date="2024-09-02T16:14:44Z">
              <w:r>
                <w:rPr/>
                <w:t xml:space="preserve">2. jährliches Berichten an das Informationssicherheitsteam (IST) über den aktuellen Stand der Informationssicherheit, insbesondere über Mängel, Risiken und Sicherheitsvorfälle </w:t>
              </w:r>
            </w:ins>
            <w:ins w:id="62" w:author="Mark Semmler" w:date="2024-09-02T16:14:44Z">
              <w:r>
                <w:rPr/>
                <w:t>sowie über den Stand des Risikomanagements im Bereich der Informationssicherheit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3" w:author="Mark Semmler" w:date="2024-09-02T16:04:31Z">
              <w:r>
                <w:rPr>
                  <w:rStyle w:val="Emphasis"/>
                </w:rPr>
                <w:t>Es SOLLTE sichergestellt werden, dass die Verantwortlichkeiten des ISB auch in seiner Abwesenheit wahrgenommen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4" w:author="Mark Semmler" w:date="2024-09-02T16:04:31Z">
              <w:r>
                <w:rPr>
                  <w:rStyle w:val="Emphasis"/>
                </w:rPr>
                <w:t>Dies KANN z. B. durch eine Stellvertreterregelung umgesetzt werden.</w:t>
              </w:r>
            </w:ins>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5" w:author="Mark Semmler" w:date="2024-08-26T11:32:44Z">
              <w:r>
                <w:rPr/>
                <w:t>MUSS, da Konzepte in Bezug auf die Informationssicherheit gefordert werden (§ 30 (2) Punkt 1).</w:t>
              </w:r>
            </w:ins>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 xml:space="preserve">Dieser Abschnitt </w:t>
            </w:r>
            <w:del w:id="66" w:author="Mark Semmler" w:date="2024-08-26T11:32:39Z">
              <w:r>
                <w:rPr/>
                <w:delText>SOLLTE</w:delText>
              </w:r>
            </w:del>
            <w:ins w:id="67" w:author="Mark Semmler" w:date="2024-08-26T11:32:39Z">
              <w:r>
                <w:rPr/>
                <w:t>MUSS</w:t>
              </w:r>
            </w:ins>
            <w:r>
              <w:rPr/>
              <w:t xml:space="preserv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0</w:t>
            </w:r>
            <w:r>
              <w:rPr>
                <w:rFonts w:eastAsia="Bitstream Vera Sans" w:cs="Bitstream Vera Sans"/>
                <w:b w:val="false"/>
                <w:bCs w:val="false"/>
                <w:color w:val="auto"/>
                <w:kern w:val="0"/>
                <w:sz w:val="20"/>
                <w:szCs w:val="24"/>
                <w:lang w:val="de-DE" w:eastAsia="en-US" w:bidi="en-US"/>
              </w:rPr>
              <w:t>.4.1 DISKUSSION:</w:t>
            </w:r>
          </w:p>
          <w:p>
            <w:pPr>
              <w:pStyle w:val="Normal"/>
              <w:bidi w:val="0"/>
              <w:jc w:val="start"/>
              <w:rPr>
                <w:b w:val="false"/>
                <w:bCs w:val="false"/>
              </w:rPr>
            </w:pPr>
            <w:r>
              <w:rPr>
                <w:b w:val="false"/>
                <w:bCs w:val="false"/>
              </w:rPr>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Wir müssen uns intensiv um die Lieferketten kümmern. Im Zuge der Analyse sollte die Organisation feststellen, welche Zulieferer im Sinne der erbrachten IT-Dienstleistungen „wichtig“ oder „besonders schützenswert“ sind. Dazu genügt es ggf, die Definition von „IT-Ressourcen“ zu erweitern, z. B.:</w:t>
            </w:r>
          </w:p>
          <w:p>
            <w:pPr>
              <w:pStyle w:val="Normal"/>
              <w:bidi w:val="0"/>
              <w:jc w:val="start"/>
              <w:rPr>
                <w:b w:val="false"/>
                <w:bCs w:val="false"/>
              </w:rPr>
            </w:pPr>
            <w:r>
              <w:rPr>
                <w:b w:val="false"/>
                <w:bCs w:val="false"/>
              </w:rPr>
            </w:r>
          </w:p>
          <w:p>
            <w:pPr>
              <w:pStyle w:val="Normal"/>
              <w:numPr>
                <w:ilvl w:val="0"/>
                <w:numId w:val="1"/>
              </w:numPr>
              <w:bidi w:val="0"/>
              <w:jc w:val="start"/>
              <w:rPr>
                <w:b w:val="false"/>
                <w:bCs w:val="false"/>
              </w:rPr>
            </w:pPr>
            <w:r>
              <w:rPr>
                <w:rFonts w:eastAsia="Bitstream Vera Sans" w:cs="Bitstream Vera Sans"/>
                <w:b w:val="false"/>
                <w:bCs w:val="false"/>
                <w:color w:val="auto"/>
                <w:kern w:val="0"/>
                <w:sz w:val="20"/>
                <w:szCs w:val="24"/>
                <w:lang w:val="de-DE" w:eastAsia="en-US" w:bidi="en-US"/>
              </w:rPr>
              <w:t>„</w:t>
            </w:r>
            <w:r>
              <w:rPr>
                <w:rFonts w:eastAsia="Bitstream Vera Sans" w:cs="Bitstream Vera Sans"/>
                <w:b w:val="false"/>
                <w:bCs w:val="false"/>
                <w:color w:val="auto"/>
                <w:kern w:val="0"/>
                <w:sz w:val="20"/>
                <w:szCs w:val="24"/>
                <w:lang w:val="de-DE" w:eastAsia="en-US" w:bidi="en-US"/>
              </w:rPr>
              <w:t>IT-Ressourcen:</w:t>
              <w:br/>
              <w:t>Betriebsmittel für die elektronische Informationsverarbeitung. Hierzu zählen u. a. IT-Systeme, Datenträger, Verbindungen, Daten, Informationen, Mitarbeiter sowie eingekaufte Dienstleistungen im Bereich der Informationsverarbeitung (Lieferkette).“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del w:id="68" w:author="Mark Semmler" w:date="2024-08-26T12:51:39Z">
              <w:r>
                <w:rPr/>
                <w:delText>neu,</w:delText>
              </w:r>
            </w:del>
          </w:p>
          <w:p>
            <w:pPr>
              <w:pStyle w:val="TableContents"/>
              <w:bidi w:val="0"/>
              <w:jc w:val="start"/>
              <w:rPr>
                <w:rFonts w:eastAsia="Bitstream Vera Sans" w:cs="Bitstream Vera Sans"/>
                <w:color w:val="auto"/>
                <w:kern w:val="0"/>
                <w:sz w:val="20"/>
                <w:szCs w:val="24"/>
                <w:lang w:val="de-DE" w:eastAsia="en-US" w:bidi="en-US"/>
              </w:rPr>
            </w:pPr>
            <w:ins w:id="69" w:author="Mark Semmler" w:date="2024-08-26T12:51:37Z">
              <w:r>
                <w:rPr/>
                <w:t>0.4.2: neue Formulierung (Lieferkette).</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ins w:id="70" w:author="Mark Semmler" w:date="2024-08-26T12:50:40Z">
              <w:r>
                <w:rPr/>
                <w:t xml:space="preserve"> Dabei sind auch jene IT-Ressourcen zu berücksichtigen, die von Partnern und Dienstleistern bezogen werden (Lieferkette).</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IT-Ressourcen sind eine Untermenge der wichtigen IT-Ressourcen.“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del w:id="72" w:author="Mark Semmler" w:date="2024-08-26T12:49:40Z"/>
              </w:rPr>
            </w:pPr>
            <w:del w:id="71" w:author="Mark Semmler" w:date="2024-08-26T12:49:40Z">
              <w:r>
                <w:rPr>
                  <w:rFonts w:eastAsia="Bitstream Vera Sans" w:cs="Bitstream Vera Sans"/>
                  <w:color w:val="auto"/>
                  <w:kern w:val="0"/>
                  <w:sz w:val="20"/>
                  <w:szCs w:val="24"/>
                  <w:lang w:val="de-DE" w:eastAsia="en-US" w:bidi="en-US"/>
                </w:rPr>
                <w:delText>0.4.1 – DISKUSSION:</w:delText>
              </w:r>
            </w:del>
          </w:p>
          <w:p>
            <w:pPr>
              <w:pStyle w:val="TableContents"/>
              <w:bidi w:val="0"/>
              <w:jc w:val="start"/>
              <w:rPr>
                <w:rFonts w:eastAsia="Bitstream Vera Sans" w:cs="Bitstream Vera Sans"/>
                <w:color w:val="auto"/>
                <w:kern w:val="0"/>
                <w:sz w:val="20"/>
                <w:szCs w:val="24"/>
                <w:lang w:val="de-DE" w:eastAsia="en-US" w:bidi="en-US"/>
              </w:rPr>
            </w:pPr>
            <w:del w:id="73" w:author="Mark Semmler" w:date="2024-08-26T12:49:40Z">
              <w:r>
                <w:rPr>
                  <w:rFonts w:eastAsia="Bitstream Vera Sans" w:cs="Bitstream Vera Sans"/>
                  <w:color w:val="auto"/>
                  <w:kern w:val="0"/>
                  <w:sz w:val="20"/>
                  <w:szCs w:val="24"/>
                  <w:lang w:val="de-DE" w:eastAsia="en-US" w:bidi="en-US"/>
                </w:rPr>
                <w:delText>Wir können die eingefügte Klammer wieder entfernen, wenn wir die IT-Ressourcen anders definieren (siehe Anfang des Kapitels)</w:delText>
              </w:r>
            </w:del>
            <w:ins w:id="74" w:author="Mark Semmler" w:date="2024-08-26T12:49:40Z">
              <w:r>
                <w:rPr>
                  <w:rFonts w:eastAsia="Bitstream Vera Sans" w:cs="Bitstream Vera Sans"/>
                  <w:color w:val="auto"/>
                  <w:kern w:val="0"/>
                  <w:sz w:val="20"/>
                  <w:szCs w:val="24"/>
                  <w:lang w:val="de-DE" w:eastAsia="en-US" w:bidi="en-US"/>
                </w:rPr>
                <w:t>0.4.2: neue Formulierung (Lieferkette).</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w:t>
            </w:r>
            <w:del w:id="75" w:author="Mark Semmler" w:date="2024-08-26T12:43:36Z">
              <w:r>
                <w:rPr/>
                <w:delText>(so lange sie sich im Verantwortungsbereich der Organisation befinden)</w:delText>
              </w:r>
            </w:del>
            <w:r>
              <w:rPr/>
              <w:t xml:space="preserve">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ins w:id="76" w:author="Mark Semmler" w:date="2024-08-26T12:43:41Z">
              <w:r>
                <w:rPr/>
                <w:t xml:space="preserve"> Dabei sind auch jene IT-Ressourcen zu berücksichtigen, die von Partnern und Dienstleistern bezogen werden (Lieferkette</w:t>
              </w:r>
            </w:ins>
            <w:ins w:id="77" w:author="Mark Semmler" w:date="2024-08-26T12:47:30Z">
              <w:r>
                <w:rPr/>
                <w: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0.4.1 Diskussion/ToDo:</w:t>
            </w:r>
          </w:p>
          <w:p>
            <w:pPr>
              <w:pStyle w:val="TableContents"/>
              <w:bidi w:val="0"/>
              <w:jc w:val="start"/>
              <w:rPr/>
            </w:pPr>
            <w:r>
              <w:rPr/>
              <w:t>- kürzen und auf 9.3 verweisen</w:t>
            </w:r>
          </w:p>
          <w:p>
            <w:pPr>
              <w:pStyle w:val="TableContents"/>
              <w:bidi w:val="0"/>
              <w:jc w:val="start"/>
              <w:rPr/>
            </w:pPr>
            <w:r>
              <w:rPr/>
              <w:t>- Empfehlung: gesamten Lebensweg der Informationen erfassen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rPr/>
      </w:pPr>
      <w:bookmarkStart w:id="102" w:name="__RefHeading___it-systeme_50"/>
      <w:bookmarkStart w:id="103" w:name="it-systeme"/>
      <w:bookmarkEnd w:id="102"/>
      <w:r>
        <w:rPr/>
        <w:t>10 IT-Systeme</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4" w:name="__RefHeading___inventarisierung_51"/>
      <w:bookmarkStart w:id="105" w:name="inventarisierung"/>
      <w:bookmarkEnd w:id="104"/>
      <w:r>
        <w:rPr/>
        <w:t>10.1 Inventarisierung</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6" w:name="__RefHeading___lebenszyklus_52"/>
      <w:bookmarkStart w:id="107" w:name="lebenszyklus"/>
      <w:bookmarkEnd w:id="106"/>
      <w:r>
        <w:rPr/>
        <w:t>10.2 Lebenszyklus</w:t>
      </w:r>
      <w:bookmarkEnd w:id="10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08" w:name="__RefHeading___inbetriebnahme_und_aender"/>
      <w:bookmarkStart w:id="109" w:name="inbetriebnahme_und_aenderung_Copy_1"/>
      <w:bookmarkEnd w:id="108"/>
      <w:r>
        <w:rPr/>
        <w:t xml:space="preserve">10.2.n1 </w:t>
      </w:r>
      <w:bookmarkEnd w:id="109"/>
      <w:r>
        <w:rPr/>
        <w:t>Anschaffung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ToDo/Diskussion: Welche Anforderungen sind hier vernünftig/vertretbar?</w:t>
              <w:b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Unterstützung durch den Hersteller (Updates) für Hard- und Software über einen </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Sicherheitskonzept liegt vor</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strukturierte Entwicklung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Idee: verschieben in den Bereich Lieferkette (Outsourcing und Cloud-Computing)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0.4.x:</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1"/>
      <w:bookmarkStart w:id="111" w:name="inbetriebnahme_und_aenderung"/>
      <w:bookmarkEnd w:id="110"/>
      <w:r>
        <w:rPr/>
        <w:t>10.2.1 Inbetriebnahme und Änderung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2" w:name="__RefHeading___ausmusterung_und_wiederve"/>
      <w:bookmarkStart w:id="113" w:name="ausmusterung_und_wiederverwendung"/>
      <w:bookmarkEnd w:id="112"/>
      <w:r>
        <w:rPr/>
        <w:t>10.2.2 Ausmusterung und Wiederverwendung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4" w:name="__RefHeading___basisschutz_55"/>
      <w:bookmarkStart w:id="115" w:name="basisschutz"/>
      <w:bookmarkEnd w:id="114"/>
      <w:r>
        <w:rPr/>
        <w:t>10.3 Basisschutz</w:t>
      </w:r>
      <w:bookmarkEnd w:id="11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6" w:name="__RefHeading___software_56"/>
      <w:bookmarkStart w:id="117" w:name="software"/>
      <w:bookmarkEnd w:id="116"/>
      <w:r>
        <w:rPr/>
        <w:t>10.3.1 Software</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18" w:name="__RefHeading___beschraenkung_des_netzwer"/>
      <w:bookmarkStart w:id="119" w:name="beschraenkung_des_netzwerkverkehrs"/>
      <w:bookmarkEnd w:id="118"/>
      <w:r>
        <w:rPr/>
        <w:t>10.3.2 Beschränkung des Netzwerkverkehrs</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0" w:name="__RefHeading___protokollierung_58"/>
      <w:bookmarkStart w:id="121" w:name="protokollierung"/>
      <w:bookmarkEnd w:id="120"/>
      <w:r>
        <w:rPr/>
        <w:t>10.3.3 Protokollierung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2" w:name="__RefHeading___externe_schnittstellen_un"/>
      <w:bookmarkStart w:id="123" w:name="externe_schnittstellen_und_laufwerke"/>
      <w:bookmarkEnd w:id="122"/>
      <w:r>
        <w:rPr/>
        <w:t>10.3.4 Externe Schnittstellen und Laufwerke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4" w:name="__RefHeading___schadsoftware_60"/>
      <w:bookmarkStart w:id="125" w:name="schadsoftware"/>
      <w:bookmarkEnd w:id="124"/>
      <w:r>
        <w:rPr/>
        <w:t>10.3.5 Schadsoftware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26" w:name="__RefHeading___starten_von_fremden_medie"/>
      <w:bookmarkStart w:id="127" w:name="starten_von_fremden_medien"/>
      <w:bookmarkEnd w:id="126"/>
      <w:r>
        <w:rPr/>
        <w:t>10.3.6 Starten von fremden Medien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28" w:name="__RefHeading___authentifizierung_62"/>
      <w:bookmarkStart w:id="129" w:name="authentifizierung"/>
      <w:bookmarkEnd w:id="128"/>
      <w:r>
        <w:rPr/>
        <w:t>10.3.7 Authentifizierung</w:t>
      </w:r>
      <w:bookmarkEnd w:id="1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0" w:name="__RefHeading___zugaenge_und_zugriffe_63"/>
      <w:bookmarkStart w:id="131" w:name="zugaenge_und_zugriffe"/>
      <w:bookmarkEnd w:id="130"/>
      <w:r>
        <w:rPr/>
        <w:t>10.3.8 Zugänge und Zugriffe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2" w:name="__RefHeading___zusaetzliche_massnahmen_f"/>
      <w:bookmarkStart w:id="133" w:name="zusaetzliche_massnahmen_fuer_mobile_it-s"/>
      <w:bookmarkEnd w:id="132"/>
      <w:r>
        <w:rPr/>
        <w:t>10.4 Zusätzliche Maßnahmen für mobile 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4" w:name="__RefHeading___is-richtlinie_65"/>
      <w:bookmarkStart w:id="135" w:name="is-richtlinie"/>
      <w:bookmarkEnd w:id="134"/>
      <w:r>
        <w:rPr/>
        <w:t>10.4.1 IS-Richtlinie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36" w:name="__RefHeading___schutz_der_informationen_"/>
      <w:bookmarkStart w:id="137" w:name="schutz_der_informationen"/>
      <w:bookmarkEnd w:id="136"/>
      <w:r>
        <w:rPr/>
        <w:t>10.4.2 Schutz der Informationen</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38" w:name="__RefHeading___verlust_67"/>
      <w:bookmarkStart w:id="139" w:name="verlust"/>
      <w:bookmarkEnd w:id="138"/>
      <w:r>
        <w:rPr/>
        <w:t>10.4.3 Verlust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0" w:name="__RefHeading___zusaetzliche_massnahmen_1"/>
      <w:bookmarkStart w:id="141" w:name="zusaetzliche_massnahmen_fuer_kritische_i"/>
      <w:bookmarkEnd w:id="140"/>
      <w:r>
        <w:rPr/>
        <w:t>10.n1 Zusätzliche Maßnahmen für wichtige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ins w:id="79" w:author="Mark Semmler" w:date="2024-08-26T14:42:45Z"/>
        </w:rPr>
      </w:pPr>
      <w:ins w:id="78" w:author="Mark Semmler" w:date="2024-08-26T14:42:45Z">
        <w:r>
          <w:rPr/>
          <w:t>10.n1.1 Auswahl von wichtigen IT-Systemen und Software</w:t>
        </w:r>
      </w:ins>
    </w:p>
    <w:p>
      <w:pPr>
        <w:pStyle w:val="BodyText"/>
        <w:tabs>
          <w:tab w:val="clear" w:pos="709"/>
          <w:tab w:val="left" w:pos="0" w:leader="none"/>
        </w:tabs>
        <w:bidi w:val="0"/>
        <w:ind w:hanging="0" w:start="0"/>
        <w:jc w:val="start"/>
        <w:rPr>
          <w:ins w:id="81" w:author="Mark Semmler" w:date="2024-08-26T14:42:45Z"/>
        </w:rPr>
      </w:pPr>
      <w:ins w:id="80" w:author="Mark Semmler" w:date="2024-08-26T14:42:45Z">
        <w:r>
          <w:rPr/>
          <w:t>Wenn wichtige IT-Systeme angeschafft oder entwickelt werden, MÜSSEN die notwendigen Sicherheitsmaßnahmen im Rahmen einer Risikoanalyse und -behandlung ermittelt und umgesetzt werden.</w:t>
        </w:r>
      </w:ins>
    </w:p>
    <w:p>
      <w:pPr>
        <w:pStyle w:val="Heading3"/>
        <w:numPr>
          <w:ilvl w:val="2"/>
          <w:numId w:val="1"/>
        </w:numPr>
        <w:tabs>
          <w:tab w:val="clear" w:pos="709"/>
          <w:tab w:val="left" w:pos="0" w:leader="none"/>
        </w:tabs>
        <w:bidi w:val="0"/>
        <w:ind w:hanging="0" w:start="0"/>
        <w:jc w:val="start"/>
        <w:rPr/>
      </w:pPr>
      <w:bookmarkStart w:id="142" w:name="__RefHeading___dokumentation_74_Copy_1"/>
      <w:bookmarkStart w:id="143" w:name="dokumentation_Copy_1"/>
      <w:bookmarkEnd w:id="142"/>
      <w:r>
        <w:rPr/>
        <w:t>10.n1.1 Dokumentation</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Für jedes </w:t>
            </w:r>
            <w:ins w:id="82" w:author="Mark Semmler" w:date="2024-08-26T14:34:33Z">
              <w:r>
                <w:rPr/>
                <w:t xml:space="preserve">wichtige </w:t>
              </w:r>
            </w:ins>
            <w:r>
              <w:rPr/>
              <w:t>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4" w:name="__RefHeading___datensicherung_75_Copy_1"/>
      <w:bookmarkStart w:id="145" w:name="datensicherung_Copy_1"/>
      <w:bookmarkEnd w:id="144"/>
      <w:r>
        <w:rPr/>
        <w:t>10.n1.2 Datensicherung</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6" w:name="__RefHeading___ueberwachung_76_Copy_1"/>
      <w:bookmarkStart w:id="147" w:name="ueberwachung_Copy_1"/>
      <w:bookmarkEnd w:id="146"/>
      <w:r>
        <w:rPr/>
        <w:t>10.n1.3 Überwachung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48" w:name="__RefHeading___zusaetzliche_massnahmen_2"/>
      <w:bookmarkStart w:id="149" w:name="zusaetzliche_massnahmen_fuer_kritische_1"/>
      <w:bookmarkEnd w:id="148"/>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0" w:name="__RefHeading___notbetriebsniveau_70"/>
      <w:bookmarkStart w:id="151" w:name="notbetriebsniveau"/>
      <w:bookmarkEnd w:id="150"/>
      <w:r>
        <w:rPr/>
        <w:t>10.5.1 Notbetriebsniveau</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2" w:name="__RefHeading___robustheit_71"/>
      <w:bookmarkStart w:id="153" w:name="robustheit"/>
      <w:bookmarkEnd w:id="152"/>
      <w:r>
        <w:rPr/>
        <w:t>10.5.2 Robustheit</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4" w:name="__RefHeading___robustheit_71_Copy_1"/>
      <w:bookmarkStart w:id="155" w:name="robustheit_Copy_1"/>
      <w:bookmarkEnd w:id="154"/>
      <w:r>
        <w:rPr/>
        <w:t xml:space="preserve">10.5.n1 </w:t>
      </w:r>
      <w:bookmarkEnd w:id="155"/>
      <w:r>
        <w:rPr/>
        <w:t>Kryptografie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2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2 Copy 1 Copy 2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Entscheidung Team-Meeting am 29.07.2024:</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Die in NIS-2 geforderten „Konzepte und Verfahren zum Einsatz von Kryptografie und Verschlüsselung“ werden wir in Kapitel 10 und 11 aufnehmen.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3"/>
        <w:numPr>
          <w:ilvl w:val="2"/>
          <w:numId w:val="1"/>
        </w:numPr>
        <w:tabs>
          <w:tab w:val="clear" w:pos="709"/>
          <w:tab w:val="left" w:pos="0" w:leader="none"/>
        </w:tabs>
        <w:bidi w:val="0"/>
        <w:ind w:hanging="0" w:start="0"/>
        <w:jc w:val="start"/>
        <w:rPr/>
      </w:pPr>
      <w:bookmarkStart w:id="156" w:name="__RefHeading___externe_schnittstellen_u1"/>
      <w:bookmarkStart w:id="157" w:name="externe_schnittstellen_und_laufwerke1"/>
      <w:bookmarkEnd w:id="156"/>
      <w:r>
        <w:rPr/>
        <w:t>10.5.3 Externe Schnittstellen und Laufwerke</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8" w:name="__RefHeading___aenderungsmanagement_73"/>
      <w:bookmarkStart w:id="159" w:name="aenderungsmanagement"/>
      <w:bookmarkEnd w:id="158"/>
      <w:r>
        <w:rPr/>
        <w:t>10.5.4 Änderungsmanagement</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0" w:name="__RefHeading___ersatzsysteme_und_-verfah"/>
      <w:bookmarkStart w:id="161" w:name="ersatzsysteme_und_-verfahren"/>
      <w:bookmarkEnd w:id="160"/>
      <w:r>
        <w:rPr/>
        <w:t>10.5.5 Ersatzsysteme und -verfahren</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2" w:name="__RefHeading___kritische_individualsoftw"/>
      <w:bookmarkStart w:id="163" w:name="kritische_individualsoftware"/>
      <w:bookmarkEnd w:id="162"/>
      <w:r>
        <w:rPr/>
        <w:t>10.5.6 Besonders schützenswerte Individualsoftware</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4" w:name="__RefHeading___netzwerke_und_verbindung1"/>
      <w:bookmarkStart w:id="165" w:name="netzwerke_und_verbindungen"/>
      <w:bookmarkEnd w:id="164"/>
      <w:r>
        <w:rPr/>
        <w:t>11 Netzwerke und Verbindungen</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6" w:name="__RefHeading___netzwerkplan_80"/>
      <w:bookmarkStart w:id="167" w:name="netzwerkplan"/>
      <w:bookmarkEnd w:id="166"/>
      <w:r>
        <w:rPr/>
        <w:t>11.1 Netzwerkplan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68" w:name="__RefHeading___aktive_netzwerkkomponente"/>
      <w:bookmarkStart w:id="169" w:name="aktive_netzwerkkomponenten"/>
      <w:bookmarkEnd w:id="168"/>
      <w:r>
        <w:rPr/>
        <w:t>11.2 Aktive Netzwerkkomponenten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0" w:name="__RefHeading___netzuebergaenge_82"/>
      <w:bookmarkStart w:id="171" w:name="netzuebergaenge"/>
      <w:bookmarkEnd w:id="170"/>
      <w:r>
        <w:rPr/>
        <w:t>11.3 Netzübergänge</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2" w:name="__RefHeading___basisschutz_83"/>
      <w:bookmarkStart w:id="173" w:name="basisschutz1"/>
      <w:bookmarkEnd w:id="172"/>
      <w:r>
        <w:rPr/>
        <w:t>11.4 Basisschutz</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74" w:name="__RefHeading___netzwerkanschluesse_84"/>
      <w:bookmarkStart w:id="175" w:name="netzwerkanschluesse"/>
      <w:bookmarkEnd w:id="174"/>
      <w:r>
        <w:rPr/>
        <w:t>11.4.1 Netzwerkanschlüsse</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6" w:name="__RefHeading___segmentierung_85"/>
      <w:bookmarkStart w:id="177" w:name="segmentierung"/>
      <w:bookmarkEnd w:id="176"/>
      <w:r>
        <w:rPr/>
        <w:t>11.4.2 Segmentierung</w:t>
      </w:r>
      <w:bookmarkEnd w:id="177"/>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p>
      <w:pPr>
        <w:pStyle w:val="BodyText"/>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0.3.5 DISKUSSION: Wir definieren „Segmentierung“ als „Unterteilung in Sicherheitszonen“.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t>0.3.5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78" w:name="__RefHeading___fernzugang_86"/>
      <w:bookmarkStart w:id="179" w:name="fernzugang"/>
      <w:bookmarkEnd w:id="178"/>
      <w:r>
        <w:rPr/>
        <w:t>11.4.3 Fernzugang</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0.3.5 – DISKUSSION: Empfehlung für den Einsatz von Kryptografie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Diese Anforderung sollten wir verschärfen, weil R</w:t>
            </w:r>
            <w:r>
              <w:rPr>
                <w:rFonts w:eastAsia="Bitstream Vera Sans" w:cs="Bitstream Vera Sans"/>
                <w:color w:val="auto"/>
                <w:kern w:val="0"/>
                <w:sz w:val="20"/>
                <w:szCs w:val="24"/>
                <w:lang w:val="de-DE" w:eastAsia="en-US" w:bidi="en-US"/>
              </w:rPr>
              <w:t>r</w:t>
            </w:r>
            <w:r>
              <w:rPr/>
              <w:t>emote-Zugriffe sich in den letzten Jahren immer wieder als ein großes Einfallstor erwiesen haben. Wir sollten E1 in ein MUSS umwandeln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siehe Zeile weiter oben</w:t>
            </w:r>
          </w:p>
          <w:p>
            <w:pPr>
              <w:pStyle w:val="TableContents"/>
              <w:bidi w:val="0"/>
              <w:jc w:val="start"/>
              <w:rPr/>
            </w:pPr>
            <w:r>
              <w:rPr/>
            </w:r>
          </w:p>
          <w:p>
            <w:pPr>
              <w:pStyle w:val="TableContents"/>
              <w:bidi w:val="0"/>
              <w:jc w:val="start"/>
              <w:rPr/>
            </w:pPr>
            <w:r>
              <w:rPr/>
              <w:t>0.4.1: Zustimmung. Die Verhältnismäßigkeit ist gegben.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p>
            <w:pPr>
              <w:pStyle w:val="TableContents"/>
              <w:bidi w:val="0"/>
              <w:jc w:val="start"/>
              <w:rPr/>
            </w:pPr>
            <w:r>
              <w:rPr/>
              <w:t>0.4.1: Zustimmung. Die Verhältnismäßigkeit ist gegben.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0" w:name="__RefHeading___netzwerkkopplung_87"/>
      <w:bookmarkStart w:id="181" w:name="netzwerkkopplung"/>
      <w:bookmarkEnd w:id="180"/>
      <w:r>
        <w:rPr/>
        <w:t>11.4.4 Netzwerkkopplung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2" w:name="__RefHeading___zusaetzliche_massnahmen_9"/>
      <w:bookmarkStart w:id="183" w:name="zusaetzliche_massnahmen_fuer_kritische_v"/>
      <w:bookmarkEnd w:id="182"/>
      <w:r>
        <w:rPr/>
        <w:t>11.5 Zusätzliche Maßnahmen für wichtige Verbindungen</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ins w:id="83" w:author="Mark Semmler" w:date="2024-08-26T15:15:57Z"/>
        </w:trPr>
        <w:tc>
          <w:tcPr>
            <w:tcW w:w="846" w:type="dxa"/>
            <w:tcBorders>
              <w:start w:val="single" w:sz="2" w:space="0" w:color="000000"/>
              <w:bottom w:val="single" w:sz="2" w:space="0" w:color="000000"/>
              <w:end w:val="single" w:sz="2" w:space="0" w:color="000000"/>
            </w:tcBorders>
          </w:tcPr>
          <w:p>
            <w:pPr>
              <w:pStyle w:val="TableContents"/>
              <w:bidi w:val="0"/>
              <w:jc w:val="start"/>
              <w:rPr/>
            </w:pPr>
            <w:ins w:id="84" w:author="Mark Semmler" w:date="2024-08-26T15:15:57Z">
              <w:r>
                <w:rPr/>
                <w:t>‍</w:t>
              </w:r>
            </w:ins>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ins w:id="85" w:author="Mark Semmler" w:date="2024-08-26T15:16:29Z">
              <w:r>
                <w:rPr>
                  <w:rStyle w:val="Emphasis"/>
                  <w:i w:val="false"/>
                  <w:iCs w:val="false"/>
                </w:rPr>
                <w:t>Dabei MUSS festgelegt werden, welche Verbindungen durch kryptografische Maßnahmen geschützt werden.</w:t>
              </w:r>
            </w:ins>
          </w:p>
        </w:tc>
      </w:tr>
      <w:tr>
        <w:trPr>
          <w:ins w:id="86" w:author="Mark Semmler" w:date="2024-08-26T15:16:29Z"/>
        </w:trPr>
        <w:tc>
          <w:tcPr>
            <w:tcW w:w="846" w:type="dxa"/>
            <w:tcBorders>
              <w:start w:val="single" w:sz="2" w:space="0" w:color="000000"/>
              <w:bottom w:val="single" w:sz="2" w:space="0" w:color="000000"/>
              <w:end w:val="single" w:sz="2" w:space="0" w:color="000000"/>
            </w:tcBorders>
          </w:tcPr>
          <w:p>
            <w:pPr>
              <w:pStyle w:val="TableContents"/>
              <w:bidi w:val="0"/>
              <w:jc w:val="start"/>
              <w:rPr/>
            </w:pPr>
            <w:ins w:id="87" w:author="Mark Semmler" w:date="2024-08-26T15:16:29Z">
              <w:r>
                <w:rPr/>
                <w:t>‍</w:t>
              </w:r>
            </w:ins>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ins w:id="88" w:author="Mark Semmler" w:date="2024-08-26T15:16:29Z">
              <w:r>
                <w:rPr/>
                <w:t>Die dabei eingesetzten kryptografischen Maßnahmen MÜSSEN auf anerkannt sicheren technischen Verfahren basieren.</w:t>
              </w:r>
            </w:ins>
          </w:p>
        </w:tc>
      </w:tr>
    </w:tbl>
    <w:p>
      <w:pPr>
        <w:pStyle w:val="Heading1"/>
        <w:numPr>
          <w:ilvl w:val="0"/>
          <w:numId w:val="1"/>
        </w:numPr>
        <w:tabs>
          <w:tab w:val="clear" w:pos="709"/>
          <w:tab w:val="left" w:pos="0" w:leader="none"/>
        </w:tabs>
        <w:bidi w:val="0"/>
        <w:ind w:hanging="0" w:start="0"/>
        <w:jc w:val="start"/>
        <w:rPr/>
      </w:pPr>
      <w:bookmarkStart w:id="184" w:name="__RefHeading___mobile_datentraeger_89"/>
      <w:bookmarkStart w:id="185" w:name="mobile_datentraeger"/>
      <w:bookmarkEnd w:id="184"/>
      <w:r>
        <w:rPr/>
        <w:t>12 Mobile Datenträger</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6" w:name="__RefHeading___is-richtlinie_90"/>
      <w:bookmarkStart w:id="187" w:name="is-richtlinie1"/>
      <w:bookmarkEnd w:id="186"/>
      <w:r>
        <w:rPr/>
        <w:t>12.1 IS-Richtlinie</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88" w:name="__RefHeading___schutz_der_informationen1"/>
      <w:bookmarkStart w:id="189" w:name="schutz_der_informationen1"/>
      <w:bookmarkEnd w:id="188"/>
      <w:r>
        <w:rPr/>
        <w:t>12.2 Schutz der Informationen</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1"/>
        </w:numPr>
        <w:tabs>
          <w:tab w:val="clear" w:pos="709"/>
          <w:tab w:val="left" w:pos="0" w:leader="none"/>
        </w:tabs>
        <w:bidi w:val="0"/>
        <w:ind w:hanging="0" w:start="0"/>
        <w:jc w:val="start"/>
        <w:rPr/>
      </w:pPr>
      <w:bookmarkStart w:id="190" w:name="__RefHeading___zusaetzliche_massnahmen_3"/>
      <w:bookmarkStart w:id="191" w:name="zusaetzliche_massnahmen_fuer_kritische_m"/>
      <w:bookmarkEnd w:id="190"/>
      <w:r>
        <w:rPr/>
        <w:t>12.3 Zusätzliche Maßnahmen für wichtige mobile Datenträger</w:t>
      </w:r>
      <w:bookmarkEnd w:id="19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2" w:name="__RefHeading___umgebung_93"/>
      <w:bookmarkStart w:id="193" w:name="umgebung"/>
      <w:bookmarkEnd w:id="192"/>
      <w:r>
        <w:rPr/>
        <w:t>13 Umgebung</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4" w:name="__RefHeading___server_aktive_netzwerkkom"/>
      <w:bookmarkStart w:id="195" w:name="server_aktive_netzwerkkomponenten_und_ne"/>
      <w:bookmarkEnd w:id="194"/>
      <w:r>
        <w:rPr/>
        <w:t>13.1 Server, aktive Netzwerkkomponenten und Netzwerkverteilstellen</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6" w:name="__RefHeading___datenleitungen_95"/>
      <w:bookmarkStart w:id="197" w:name="datenleitungen"/>
      <w:bookmarkEnd w:id="196"/>
      <w:r>
        <w:rPr/>
        <w:t>13.2 Datenleitungen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98" w:name="__RefHeading___zusaetzliche_massnahmen_4"/>
      <w:bookmarkStart w:id="199" w:name="zusaetzliche_massnahmen_fuer_kritische_2"/>
      <w:bookmarkEnd w:id="198"/>
      <w:r>
        <w:rPr/>
        <w:t>13.3 Zusätzliche Maßnahmen für wichtigen IT-Systeme</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0" w:name="__RefHeading___it-outsourcing_und_cloud_"/>
      <w:bookmarkStart w:id="201" w:name="it-outsourcing_und_cloud_computing"/>
      <w:bookmarkEnd w:id="200"/>
      <w:r>
        <w:rPr/>
        <w:t>14 IT-Outsourcing und Cloud Computing</w:t>
      </w:r>
      <w:ins w:id="89" w:author="Mark Semmler" w:date="2024-08-26T12:56:11Z">
        <w:bookmarkEnd w:id="201"/>
        <w:r>
          <w:rPr/>
          <w:t xml:space="preserve"> (Sicherheit in der Lieferkette)</w:t>
        </w:r>
      </w:ins>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w:t>
            </w:r>
            <w:del w:id="90" w:author="Mark Semmler" w:date="2024-08-26T14:07:48Z">
              <w:r>
                <w:rPr>
                  <w:rFonts w:eastAsia="Bitstream Vera Sans" w:cs="Bitstream Vera Sans"/>
                  <w:color w:val="auto"/>
                  <w:kern w:val="0"/>
                  <w:sz w:val="20"/>
                  <w:szCs w:val="24"/>
                  <w:lang w:val="de-DE" w:eastAsia="en-US" w:bidi="en-US"/>
                </w:rPr>
                <w:delText>1</w:delText>
              </w:r>
            </w:del>
            <w:ins w:id="91" w:author="Mark Semmler" w:date="2024-08-26T14:07:48Z">
              <w:r>
                <w:rPr>
                  <w:rFonts w:eastAsia="Bitstream Vera Sans" w:cs="Bitstream Vera Sans"/>
                  <w:color w:val="auto"/>
                  <w:kern w:val="0"/>
                  <w:sz w:val="20"/>
                  <w:szCs w:val="24"/>
                  <w:lang w:val="de-DE" w:eastAsia="en-US" w:bidi="en-US"/>
                </w:rPr>
                <w:t>2</w:t>
              </w:r>
            </w:ins>
            <w:r>
              <w:rPr>
                <w:rFonts w:eastAsia="Bitstream Vera Sans" w:cs="Bitstream Vera Sans"/>
                <w:color w:val="auto"/>
                <w:kern w:val="0"/>
                <w:sz w:val="20"/>
                <w:szCs w:val="24"/>
                <w:lang w:val="de-DE" w:eastAsia="en-US" w:bidi="en-US"/>
              </w:rPr>
              <w:t>: ToDo:</w:t>
            </w:r>
          </w:p>
          <w:p>
            <w:pPr>
              <w:pStyle w:val="TableContents"/>
              <w:numPr>
                <w:ilvl w:val="0"/>
                <w:numId w:val="1"/>
              </w:numPr>
              <w:bidi w:val="0"/>
              <w:jc w:val="start"/>
              <w:rPr>
                <w:rFonts w:eastAsia="Bitstream Vera Sans" w:cs="Bitstream Vera Sans"/>
                <w:color w:val="auto"/>
                <w:sz w:val="20"/>
                <w:szCs w:val="24"/>
                <w:lang w:val="de-DE" w:eastAsia="en-US" w:bidi="en-US"/>
              </w:rPr>
            </w:pPr>
            <w:ins w:id="92" w:author="Mark Semmler" w:date="2024-08-26T14:07:58Z">
              <w:r>
                <w:rPr>
                  <w:rFonts w:eastAsia="Bitstream Vera Sans" w:cs="Bitstream Vera Sans"/>
                  <w:color w:val="auto"/>
                  <w:kern w:val="0"/>
                  <w:sz w:val="20"/>
                  <w:szCs w:val="24"/>
                  <w:lang w:val="de-DE" w:eastAsia="en-US" w:bidi="en-US"/>
                </w:rPr>
                <w:t>Begriff „Lieferkette“ in Kapitel 3 aufnehmen.</w:t>
              </w:r>
            </w:ins>
            <w:del w:id="93" w:author="Mark Semmler" w:date="2024-08-26T14:07:53Z">
              <w:r>
                <w:rPr>
                  <w:rFonts w:eastAsia="Bitstream Vera Sans" w:cs="Bitstream Vera Sans"/>
                  <w:color w:val="auto"/>
                  <w:kern w:val="0"/>
                  <w:sz w:val="20"/>
                  <w:szCs w:val="24"/>
                  <w:lang w:val="de-DE" w:eastAsia="en-US" w:bidi="en-US"/>
                </w:rPr>
                <w:delText>In dieses Kapitel werden wir die Maßnahmen für die Absicherung der Lieferkette unterbringen.</w:delText>
              </w:r>
            </w:del>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2" w:name="__RefHeading___is-richtlinie_98"/>
      <w:bookmarkStart w:id="203" w:name="is-richtlinie2"/>
      <w:bookmarkEnd w:id="202"/>
      <w:r>
        <w:rPr/>
        <w:t>14.1 IS-Richtlinie</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4" w:name="__RefHeading___vorbereitung_99"/>
      <w:bookmarkStart w:id="205" w:name="vorbereitung"/>
      <w:bookmarkEnd w:id="204"/>
      <w:r>
        <w:rPr/>
        <w:t>14.2 Vorbereitung</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6" w:name="__RefHeading___vertragsgestaltung_100"/>
      <w:bookmarkStart w:id="207" w:name="vertragsgestaltung"/>
      <w:bookmarkEnd w:id="206"/>
      <w:r>
        <w:rPr/>
        <w:t>14.3 Vertragsgestaltung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08" w:name="__RefHeading___zusaetzliche_massnahmen_5"/>
      <w:bookmarkStart w:id="209" w:name="zusaetzliche_massnahmen_fuer_kritische_3"/>
      <w:bookmarkEnd w:id="208"/>
      <w:r>
        <w:rPr/>
        <w:t>14.4 Zusätzliche Maßnahmen für wichtige IT-Ressourcen</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0" w:name="__RefHeading___zugaenge_und_zugriffsrech"/>
      <w:bookmarkStart w:id="211" w:name="zugaenge_und_zugriffsrechte"/>
      <w:bookmarkEnd w:id="210"/>
      <w:r>
        <w:rPr/>
        <w:t>15 Zugänge und Zugriffsrechte</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2" w:name="__RefHeading___verwaltung_103"/>
      <w:bookmarkStart w:id="213" w:name="verwaltung"/>
      <w:bookmarkEnd w:id="212"/>
      <w:r>
        <w:rPr/>
        <w:t>15.1 Verwaltung</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4" w:name="__RefHeading___zusaetzliche_massnahmen_6"/>
      <w:bookmarkStart w:id="215" w:name="zusaetzliche_massnahmen_fuer_kritische_4"/>
      <w:bookmarkEnd w:id="214"/>
      <w:r>
        <w:rPr/>
        <w:t>15.2 Zusätzliche Maßnahmen für besonders schützenswerte IT-Systeme und Informationen</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6" w:name="__RefHeading___datensicherung_und_archiv"/>
      <w:bookmarkStart w:id="217" w:name="datensicherung_und_archivierung"/>
      <w:bookmarkEnd w:id="216"/>
      <w:r>
        <w:rPr/>
        <w:t>16 Datensicherung und Archivierung</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18" w:name="__RefHeading___is-richtlinie_106"/>
      <w:bookmarkStart w:id="219" w:name="is-richtlinie3"/>
      <w:bookmarkEnd w:id="218"/>
      <w:r>
        <w:rPr/>
        <w:t>16.1 IS-Richtlinie</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0" w:name="__RefHeading___archivierung_107"/>
      <w:bookmarkStart w:id="221" w:name="archivierung"/>
      <w:bookmarkEnd w:id="220"/>
      <w:r>
        <w:rPr/>
        <w:t>16.2 Archivierung</w:t>
      </w:r>
      <w:bookmarkEnd w:id="2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2" w:name="__RefHeading___verfahren_108"/>
      <w:bookmarkStart w:id="223" w:name="verfahren"/>
      <w:bookmarkEnd w:id="222"/>
      <w:r>
        <w:rPr/>
        <w:t>16.3 Verfahren</w:t>
      </w:r>
      <w:bookmarkEnd w:id="2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Die mögliche Anzahl der Verfahren sollte gering gehalten werden (da 1/3 der Verfahren jährlich geprüft werden müssen), allerdings sollten die Vorgehensweisen für die Datensicherung und -wiederherstellung einem KVP unterliegen.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- 0.3.5: Gleiche Lösung wie bei den Wiederanlaufplänen?! Das wäre eine gute Lösung!</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0.4.1 – ToDo: verbessern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24" w:name="__RefHeading___weiterentwicklung_112"/>
      <w:bookmarkStart w:id="225" w:name="weiterentwicklung"/>
      <w:bookmarkEnd w:id="224"/>
      <w:r>
        <w:rPr/>
        <w:t>16.4 Weiterentwicklung</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6" w:name="__RefHeading___basisschutz_113"/>
      <w:bookmarkStart w:id="227" w:name="basisschutz2"/>
      <w:bookmarkEnd w:id="226"/>
      <w:r>
        <w:rPr/>
        <w:t>16.5 Basisschutz</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28" w:name="__RefHeading___is-richtlinie_106_Copy_1_"/>
      <w:bookmarkStart w:id="229" w:name="is-richtlinie3_Copy_1"/>
      <w:bookmarkEnd w:id="228"/>
      <w:r>
        <w:rPr/>
        <w:t>16.5.n1 I</w:t>
      </w:r>
      <w:bookmarkEnd w:id="229"/>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9"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0" w:name="__RefHeading___speicherorte_114"/>
      <w:bookmarkStart w:id="231" w:name="speicherorte"/>
      <w:bookmarkEnd w:id="230"/>
      <w:r>
        <w:rPr/>
        <w:t>16.5.1 Speicherorte</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2" w:name="__RefHeading___server_115"/>
      <w:bookmarkStart w:id="233" w:name="server"/>
      <w:bookmarkEnd w:id="232"/>
      <w:r>
        <w:rPr/>
        <w:t>16.5.2 Server</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4" w:name="__RefHeading___aktive_netzwerkkomponent1"/>
      <w:bookmarkStart w:id="235" w:name="aktive_netzwerkkomponenten1"/>
      <w:bookmarkEnd w:id="234"/>
      <w:r>
        <w:rPr/>
        <w:t>16.5.3 Aktive Netzwerkkomponenten</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6" w:name="__RefHeading___mobile_it-systeme_117"/>
      <w:bookmarkStart w:id="237" w:name="mobile_it-systeme"/>
      <w:bookmarkEnd w:id="236"/>
      <w:r>
        <w:rPr/>
        <w:t>16.5.4 Mobile IT-Systeme</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38" w:name="__RefHeading___zusaetzliche_massnahmen_7"/>
      <w:bookmarkStart w:id="239" w:name="zusaetzliche_massnahmen_fuer_kritische_5"/>
      <w:bookmarkEnd w:id="238"/>
      <w:r>
        <w:rPr/>
        <w:t>16.6 Zusätzliche Maßnahmen für wichtige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0" w:name="__RefHeading___risikoanalyse_119"/>
      <w:bookmarkStart w:id="241" w:name="risikoanalyse"/>
      <w:bookmarkEnd w:id="240"/>
      <w:r>
        <w:rPr/>
        <w:t>16.6.1 Risikoanalyse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2" w:name="__RefHeading___verfahren_120"/>
      <w:bookmarkStart w:id="243" w:name="verfahren1"/>
      <w:bookmarkEnd w:id="242"/>
      <w:r>
        <w:rPr/>
        <w:t>16.6.2 Verfahren</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4" w:name="__RefHeading___stoerungen_und_ausfaelle_"/>
      <w:bookmarkStart w:id="245" w:name="stoerungen_und_ausfaelle"/>
      <w:bookmarkEnd w:id="244"/>
      <w:r>
        <w:rPr/>
        <w:t xml:space="preserve">17 </w:t>
      </w:r>
      <w:bookmarkEnd w:id="245"/>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0"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6" w:name="__RefHeading___is-richtlinie_122"/>
      <w:bookmarkStart w:id="247" w:name="is-richtlinie4"/>
      <w:bookmarkEnd w:id="246"/>
      <w:r>
        <w:rPr/>
        <w:t>17.1 IS-Richtlinie</w:t>
      </w:r>
      <w:bookmarkEnd w:id="2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ins w:id="94" w:author="Mark Semmler" w:date="2024-08-26T11:35:15Z"/>
              </w:rPr>
            </w:pPr>
            <w:r>
              <w:rPr/>
              <w:t>- Redundant zu G1.1 (siehe oben) – streichen?!</w:t>
            </w:r>
          </w:p>
          <w:p>
            <w:pPr>
              <w:pStyle w:val="TableContents"/>
              <w:bidi w:val="0"/>
              <w:jc w:val="start"/>
              <w:rPr>
                <w:ins w:id="96" w:author="Mark Semmler" w:date="2024-08-26T11:35:15Z"/>
              </w:rPr>
            </w:pPr>
            <w:ins w:id="95" w:author="Mark Semmler" w:date="2024-08-26T11:35:15Z">
              <w:r>
                <w:rPr/>
              </w:r>
            </w:ins>
          </w:p>
          <w:p>
            <w:pPr>
              <w:pStyle w:val="TableContents"/>
              <w:bidi w:val="0"/>
              <w:jc w:val="start"/>
              <w:rPr/>
            </w:pPr>
            <w:ins w:id="97" w:author="Mark Semmler" w:date="2024-08-26T11:35:15Z">
              <w:r>
                <w:rPr/>
                <w:t>0.4.2: gestrichen</w:t>
              </w:r>
            </w:ins>
          </w:p>
        </w:tc>
        <w:tc>
          <w:tcPr>
            <w:tcW w:w="4712"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color w:val="auto"/>
                <w:kern w:val="0"/>
                <w:sz w:val="20"/>
                <w:szCs w:val="24"/>
                <w:lang w:val="de-DE" w:eastAsia="en-US" w:bidi="en-US"/>
              </w:rPr>
            </w:pPr>
            <w:del w:id="98" w:author="Mark Semmler" w:date="2024-08-26T11:35:27Z">
              <w:r>
                <w:rPr/>
                <w:delText xml:space="preserve">6. Es wird definiert, ab wann ein Sicherheitsvorfall als </w:delText>
              </w:r>
            </w:del>
            <w:del w:id="99" w:author="Mark Semmler" w:date="2024-08-26T11:35:27Z">
              <w:r>
                <w:rPr>
                  <w:rFonts w:eastAsia="Bitstream Vera Sans" w:cs="Bitstream Vera Sans"/>
                  <w:color w:val="auto"/>
                  <w:kern w:val="0"/>
                  <w:sz w:val="20"/>
                  <w:szCs w:val="24"/>
                  <w:lang w:val="de-DE" w:eastAsia="en-US" w:bidi="en-US"/>
                </w:rPr>
                <w:delText>ein erheblicher Sicherheitsvorfall eingestuft wird.</w:delText>
              </w:r>
            </w:del>
          </w:p>
        </w:tc>
      </w:tr>
    </w:tbl>
    <w:p>
      <w:pPr>
        <w:pStyle w:val="Heading2"/>
        <w:numPr>
          <w:ilvl w:val="1"/>
          <w:numId w:val="1"/>
        </w:numPr>
        <w:tabs>
          <w:tab w:val="clear" w:pos="709"/>
          <w:tab w:val="left" w:pos="0" w:leader="none"/>
        </w:tabs>
        <w:bidi w:val="0"/>
        <w:ind w:hanging="0" w:start="0"/>
        <w:jc w:val="start"/>
        <w:rPr/>
      </w:pPr>
      <w:bookmarkStart w:id="248" w:name="__RefHeading___erkennen_129_Copy_1"/>
      <w:bookmarkStart w:id="249" w:name="erkennen_Copy_1"/>
      <w:bookmarkEnd w:id="248"/>
      <w:r>
        <w:rPr/>
        <w:t>17.2 Erkennen</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p>
            <w:pPr>
              <w:pStyle w:val="TableContents"/>
              <w:numPr>
                <w:ilvl w:val="0"/>
                <w:numId w:val="1"/>
              </w:numPr>
              <w:bidi w:val="0"/>
              <w:jc w:val="start"/>
              <w:rPr/>
            </w:pPr>
            <w:r>
              <w:rPr/>
            </w:r>
          </w:p>
          <w:p>
            <w:pPr>
              <w:pStyle w:val="TableContents"/>
              <w:bidi w:val="0"/>
              <w:jc w:val="start"/>
              <w:rPr/>
            </w:pPr>
            <w:r>
              <w:rPr/>
              <w:t>Netzwerküberwachung mittels Intrusion Detection System (IDS)</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ins w:id="100" w:author="Mark Semmler" w:date="2024-08-26T11:37:01Z"/>
              </w:rPr>
            </w:pPr>
            <w:r>
              <w:rPr/>
              <w:t>- MDR (Managed Detection and Response) aufnehmen?</w:t>
            </w:r>
          </w:p>
          <w:p>
            <w:pPr>
              <w:pStyle w:val="TableContents"/>
              <w:bidi w:val="0"/>
              <w:jc w:val="start"/>
              <w:rPr>
                <w:ins w:id="102" w:author="Mark Semmler" w:date="2024-08-26T11:37:01Z"/>
              </w:rPr>
            </w:pPr>
            <w:ins w:id="101" w:author="Mark Semmler" w:date="2024-08-26T11:37:01Z">
              <w:r>
                <w:rPr/>
              </w:r>
            </w:ins>
          </w:p>
          <w:p>
            <w:pPr>
              <w:pStyle w:val="TableContents"/>
              <w:bidi w:val="0"/>
              <w:jc w:val="start"/>
              <w:rPr/>
            </w:pPr>
            <w:ins w:id="103" w:author="Mark Semmler" w:date="2024-08-26T11:37:01Z">
              <w:r>
                <w:rPr/>
                <w:t>0.4.2: gestrichen</w:t>
              </w:r>
            </w:ins>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0" w:name="__RefHeading___reaktion_123"/>
      <w:bookmarkStart w:id="251" w:name="reaktion"/>
      <w:bookmarkEnd w:id="250"/>
      <w:r>
        <w:rPr/>
        <w:t>17.3 Reaktion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w:t>
            </w:r>
            <w:del w:id="104" w:author="Mark Semmler" w:date="2024-08-26T12:30:21Z">
              <w:r>
                <w:rPr/>
                <w:delText>b</w:delText>
              </w:r>
            </w:del>
            <w:r>
              <w:rPr/>
              <w:t>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w:t>
            </w:r>
            <w:del w:id="105" w:author="Mark Semmler" w:date="2024-08-26T11:38:59Z">
              <w:r>
                <w:rPr/>
                <w:delText>bh</w:delText>
              </w:r>
            </w:del>
            <w:ins w:id="106" w:author="Mark Semmler" w:date="2024-08-26T11:39:03Z">
              <w:r>
                <w:rPr/>
                <w:t>h</w:t>
              </w:r>
            </w:ins>
            <w:r>
              <w:rPr/>
              <w:t>bereitung statt, bei der die Ursachen ermittelt und konkrete Verbesserungen erarbeitet werden; insbesondere werden dabei betroffene Verfahren (siehe Anhang A 1) und Risikoanalysen (siehe Anhang A 2)</w:t>
            </w:r>
            <w:ins w:id="107" w:author="Mark Semmler" w:date="2024-08-26T11:39:17Z">
              <w:r>
                <w:rPr/>
                <w:t xml:space="preserve"> </w:t>
              </w:r>
            </w:ins>
            <w:r>
              <w:rPr/>
              <w:t>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ins w:id="108" w:author="Mark Semmler" w:date="2024-08-26T12:31:08Z"/>
        </w:trPr>
        <w:tc>
          <w:tcPr>
            <w:tcW w:w="846" w:type="dxa"/>
            <w:tcBorders>
              <w:start w:val="single" w:sz="2" w:space="0" w:color="000000"/>
              <w:bottom w:val="single" w:sz="2" w:space="0" w:color="000000"/>
              <w:end w:val="single" w:sz="2" w:space="0" w:color="000000"/>
            </w:tcBorders>
          </w:tcPr>
          <w:p>
            <w:pPr>
              <w:pStyle w:val="TableContents"/>
              <w:bidi w:val="0"/>
              <w:jc w:val="start"/>
              <w:rPr/>
            </w:pPr>
            <w:ins w:id="109" w:author="Mark Semmler" w:date="2024-08-26T12:31:08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110" w:author="Mark Semmler" w:date="2024-08-26T12:33:33Z">
              <w:r>
                <w:rPr/>
                <w:t>0.4.2: aufgenommen.</w:t>
              </w:r>
            </w:ins>
          </w:p>
        </w:tc>
        <w:tc>
          <w:tcPr>
            <w:tcW w:w="4712" w:type="dxa"/>
            <w:tcBorders>
              <w:start w:val="single" w:sz="2" w:space="0" w:color="000000"/>
              <w:bottom w:val="single" w:sz="2" w:space="0" w:color="000000"/>
              <w:end w:val="single" w:sz="2" w:space="0" w:color="000000"/>
            </w:tcBorders>
          </w:tcPr>
          <w:p>
            <w:pPr>
              <w:pStyle w:val="TableContents"/>
              <w:bidi w:val="0"/>
              <w:jc w:val="start"/>
              <w:rPr/>
            </w:pPr>
            <w:ins w:id="111" w:author="Mark Semmler" w:date="2024-08-26T12:31:11Z">
              <w:r>
                <w:rPr/>
                <w:t>n1. Es stehen autarke Kommunikationswege für die interne und externe Kommunikation</w:t>
              </w:r>
            </w:ins>
            <w:ins w:id="112" w:author="Mark Semmler" w:date="2024-08-26T12:32:19Z">
              <w:r>
                <w:rPr/>
                <w:t xml:space="preserve"> zur Verfügung</w:t>
              </w:r>
            </w:ins>
            <w:moveTo w:id="113" w:author="Mark Semmler" w:date="2024-08-26T12:31:11Z">
              <w:r>
                <w:rPr/>
                <w:t>, die auch bei einer Störung oder einem Ausfall der IT-Infrastruktur genutzt werden können.</w:t>
              </w:r>
            </w:moveTo>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del w:id="114" w:author="Mark Semmler" w:date="2024-08-26T11:40:37Z"/>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moveFrom w:id="115" w:author="Mark Semmler" w:date="2024-08-26T12:31:43Z">
              <w:r>
                <w:rPr/>
                <w:t>, die auch bei einer Störung oder einem Ausfall der IT-Infrastruktur genutzt werden können.</w:t>
              </w:r>
            </w:moveFrom>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Change w:id="0" w:author="Mark Semmler" w:date="2024-08-26T11:42:40Z">
                  <w:rPr>
                    <w:sz w:val="20"/>
                    <w:kern w:val="0"/>
                    <w:szCs w:val="24"/>
                  </w:rPr>
                </w:rPrChange>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2" w:name="__RefHeading___zusaetzliche_massnahmen_a"/>
      <w:bookmarkStart w:id="253" w:name="zusaetzliche_massnahmen_fuer_kritische_7"/>
      <w:bookmarkEnd w:id="252"/>
      <w:r>
        <w:rPr/>
        <w:t>17.4 Zusätzliche Maßnahmen für wichtige IT-Systeme</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4" w:name="__RefHeading___wiederanlaufplaene_125"/>
      <w:bookmarkStart w:id="255" w:name="wiederanlaufplaene"/>
      <w:bookmarkEnd w:id="254"/>
      <w:r>
        <w:rPr/>
        <w:t>17.4.1 Wiederanlaufpläne</w:t>
      </w:r>
      <w:bookmarkEnd w:id="25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1"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Copy 1 Copy 1 Copy 1 Copy 2 Copy 1 Copy 1 Copy 1 Copy 2 Copy 2"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ins w:id="117" w:author="Mark Semmler" w:date="2024-08-26T12:07:34Z">
              <w:r>
                <w:rPr>
                  <w:rFonts w:eastAsia="Bitstream Vera Sans" w:cs="Bitstream Vera Sans"/>
                  <w:color w:val="auto"/>
                  <w:kern w:val="0"/>
                  <w:sz w:val="20"/>
                  <w:szCs w:val="24"/>
                  <w:lang w:val="de-DE" w:eastAsia="en-US" w:bidi="en-US"/>
                </w:rPr>
                <w:t xml:space="preserve"> – wieder aufgenommen.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ins w:id="118" w:author="Mark Semmler" w:date="2024-08-26T12:07:29Z">
              <w:r>
                <w:rPr/>
                <w:t xml:space="preserve">wichtige </w:t>
              </w:r>
            </w:ins>
            <w:r>
              <w:rPr/>
              <w:t>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DISKUSSION::</w:t>
              <w:br/>
              <w:t xml:space="preserve">Diesen Aspekt haben wir bisher nicht berücksichtigt. Punkt 3 spricht nur von einer </w:t>
            </w:r>
            <w:del w:id="119" w:author="Mark Semmler" w:date="2024-08-26T12:09:18Z">
              <w:r>
                <w:rPr/>
                <w:delText>Auftsellung</w:delText>
              </w:r>
            </w:del>
            <w:ins w:id="120" w:author="Mark Semmler" w:date="2024-08-26T12:09:18Z">
              <w:r>
                <w:rPr/>
                <w:t>Aufstellung</w:t>
              </w:r>
            </w:ins>
            <w:r>
              <w:rPr/>
              <w:t xml:space="preserve"> der zwingend benötigten Ressourcen. Im </w:t>
            </w:r>
            <w:ins w:id="121" w:author="Mark Semmler" w:date="2024-08-26T12:09:26Z">
              <w:r>
                <w:rPr/>
                <w:t>F</w:t>
              </w:r>
            </w:ins>
            <w:del w:id="122" w:author="Mark Semmler" w:date="2024-08-26T12:09:25Z">
              <w:r>
                <w:rPr/>
                <w:delText>f</w:delText>
              </w:r>
            </w:del>
            <w:r>
              <w:rPr/>
              <w:t>alle eines Falles nutzt die Aufstellung aber ggf. wenig. Es muss vielmeh</w:t>
            </w:r>
            <w:del w:id="123" w:author="Mark Semmler" w:date="2024-08-26T12:09:31Z">
              <w:r>
                <w:rPr/>
                <w:delText>j</w:delText>
              </w:r>
            </w:del>
            <w:r>
              <w:rPr/>
              <w:t>r sichergestellt sein, dass die benötigten Dinge auch wirklich vorhanden sind...</w:t>
            </w:r>
          </w:p>
          <w:p>
            <w:pPr>
              <w:pStyle w:val="TableContents"/>
              <w:bidi w:val="0"/>
              <w:jc w:val="start"/>
              <w:rPr/>
            </w:pPr>
            <w:r>
              <w:rPr/>
            </w:r>
          </w:p>
          <w:p>
            <w:pPr>
              <w:pStyle w:val="TableContents"/>
              <w:bidi w:val="0"/>
              <w:jc w:val="start"/>
              <w:rPr>
                <w:ins w:id="124" w:author="Mark Semmler" w:date="2024-08-26T12:11:56Z"/>
              </w:rPr>
            </w:pPr>
            <w:r>
              <w:rPr/>
              <w:t>0.3.3: In die VdS 10k übernehmen?!</w:t>
            </w:r>
          </w:p>
          <w:p>
            <w:pPr>
              <w:pStyle w:val="TableContents"/>
              <w:bidi w:val="0"/>
              <w:jc w:val="start"/>
              <w:rPr>
                <w:ins w:id="126" w:author="Mark Semmler" w:date="2024-08-26T12:11:56Z"/>
              </w:rPr>
            </w:pPr>
            <w:ins w:id="125" w:author="Mark Semmler" w:date="2024-08-26T12:11:56Z">
              <w:r>
                <w:rPr/>
              </w:r>
            </w:ins>
          </w:p>
          <w:p>
            <w:pPr>
              <w:pStyle w:val="TableContents"/>
              <w:bidi w:val="0"/>
              <w:jc w:val="start"/>
              <w:rPr/>
            </w:pPr>
            <w:ins w:id="127" w:author="Mark Semmler" w:date="2024-08-26T12:11:56Z">
              <w:r>
                <w:rPr/>
                <w:t>0.4.2: streichen. Das ist Beratungsleistung.</w:t>
              </w:r>
            </w:ins>
          </w:p>
        </w:tc>
        <w:tc>
          <w:tcPr>
            <w:tcW w:w="4712" w:type="dxa"/>
            <w:tcBorders>
              <w:start w:val="single" w:sz="2" w:space="0" w:color="000000"/>
              <w:bottom w:val="single" w:sz="2" w:space="0" w:color="000000"/>
              <w:end w:val="single" w:sz="2" w:space="0" w:color="000000"/>
            </w:tcBorders>
          </w:tcPr>
          <w:p>
            <w:pPr>
              <w:pStyle w:val="TableContents"/>
              <w:bidi w:val="0"/>
              <w:jc w:val="start"/>
              <w:rPr/>
            </w:pPr>
            <w:del w:id="128" w:author="Mark Semmler" w:date="2024-08-26T12:12:08Z">
              <w:r>
                <w:rPr/>
                <w:delText>n1. Er stellt sicher, dass im Falle eines Wiederanlaufs alle benötigten Informationen wie Authentifizierungsmerkmale, kryptografische Schlüssel oder Lizenzinformationen zur Verfügung stehen.</w:delText>
              </w:r>
            </w:del>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del w:id="130" w:author="Mark Semmler" w:date="2024-08-26T12:14:05Z"/>
              </w:rPr>
            </w:pPr>
            <w:del w:id="129" w:author="Mark Semmler" w:date="2024-08-26T12:14:05Z">
              <w:r>
                <w:rPr/>
                <w:delText>0.3.3 ToDo:</w:delText>
              </w:r>
            </w:del>
          </w:p>
          <w:p>
            <w:pPr>
              <w:pStyle w:val="TableContents"/>
              <w:bidi w:val="0"/>
              <w:jc w:val="start"/>
              <w:rPr/>
            </w:pPr>
            <w:del w:id="131" w:author="Mark Semmler" w:date="2024-08-26T12:14:05Z">
              <w:r>
                <w:rPr/>
                <w:delText xml:space="preserve">Um die Anzahl der Verfahren zu begrenzen müssen Wiederanlaufpläne und Verfahren logisch getrennt werden. Ein Verfahren kann mehrere Wiederanlaufpläne </w:delText>
              </w:r>
            </w:del>
            <w:del w:id="132" w:author="Mark Semmler" w:date="2024-08-26T12:14:05Z">
              <w:r>
                <w:rPr>
                  <w:rFonts w:eastAsia="Bitstream Vera Sans" w:cs="Bitstream Vera Sans"/>
                  <w:color w:val="auto"/>
                  <w:kern w:val="0"/>
                  <w:sz w:val="20"/>
                  <w:szCs w:val="24"/>
                  <w:lang w:val="de-DE" w:eastAsia="en-US" w:bidi="en-US"/>
                </w:rPr>
                <w:delText>„</w:delText>
              </w:r>
            </w:del>
            <w:del w:id="133" w:author="Mark Semmler" w:date="2024-08-26T12:14:05Z">
              <w:r>
                <w:rPr/>
                <w:delText>steuern</w:delText>
              </w:r>
            </w:del>
            <w:del w:id="134" w:author="Mark Semmler" w:date="2024-08-26T12:14:05Z">
              <w:r>
                <w:rPr>
                  <w:rFonts w:eastAsia="Bitstream Vera Sans" w:cs="Bitstream Vera Sans"/>
                  <w:color w:val="auto"/>
                  <w:kern w:val="0"/>
                  <w:sz w:val="20"/>
                  <w:szCs w:val="24"/>
                  <w:lang w:val="de-DE" w:eastAsia="en-US" w:bidi="en-US"/>
                </w:rPr>
                <w:delText>“ bzw. mehrere Wiederanlaufpläne beinhalten</w:delText>
              </w:r>
            </w:del>
            <w:del w:id="135" w:author="Mark Semmler" w:date="2024-08-26T12:14:05Z">
              <w:r>
                <w:rPr/>
                <w:delText>. Die Prüfung des Verfahrens kann dann mithilfe einer Stichprobe durchgeführt werden. Ein Verfahren kann für mehrere Wiederanlaufpläne gelten.</w:delText>
              </w:r>
            </w:del>
          </w:p>
        </w:tc>
        <w:tc>
          <w:tcPr>
            <w:tcW w:w="4712" w:type="dxa"/>
            <w:tcBorders>
              <w:start w:val="single" w:sz="2" w:space="0" w:color="000000"/>
              <w:bottom w:val="single" w:sz="2" w:space="0" w:color="000000"/>
              <w:end w:val="single" w:sz="2" w:space="0" w:color="000000"/>
            </w:tcBorders>
          </w:tcPr>
          <w:p>
            <w:pPr>
              <w:pStyle w:val="TableContents"/>
              <w:bidi w:val="0"/>
              <w:jc w:val="start"/>
              <w:rPr/>
            </w:pPr>
            <w:del w:id="136" w:author="Mark Semmler" w:date="2024-08-26T12:13:40Z">
              <w:r>
                <w:rPr/>
                <w:delText>Es KÖNNEN mehrere Wiederanlaufpläne in</w:delText>
              </w:r>
            </w:del>
            <w:ins w:id="137" w:author="Mark Semmler" w:date="2024-08-26T12:13:40Z">
              <w:r>
                <w:rPr/>
                <w:t xml:space="preserve">Es </w:t>
              </w:r>
            </w:ins>
            <w:ins w:id="138" w:author="Mark Semmler" w:date="2024-08-26T12:13:40Z">
              <w:r>
                <w:rPr>
                  <w:i/>
                  <w:iCs/>
                </w:rPr>
                <w:t>KÖNNEN mehrere Wiederanlaufpläne in einem übergeordneten Verfahren zusammengefasst werden, wenn die betroffenen IT-Systeme ähnliche Wiederherstellungsprozesse erfordern oder logisch zusammengefasst werden können.</w:t>
              </w:r>
            </w:ins>
          </w:p>
        </w:tc>
      </w:tr>
    </w:tbl>
    <w:p>
      <w:pPr>
        <w:pStyle w:val="Heading3"/>
        <w:numPr>
          <w:ilvl w:val="2"/>
          <w:numId w:val="1"/>
        </w:numPr>
        <w:tabs>
          <w:tab w:val="clear" w:pos="709"/>
          <w:tab w:val="left" w:pos="0" w:leader="none"/>
        </w:tabs>
        <w:bidi w:val="0"/>
        <w:ind w:hanging="0" w:start="0"/>
        <w:jc w:val="start"/>
        <w:rPr/>
      </w:pPr>
      <w:bookmarkStart w:id="256" w:name="__RefHeading___abhaengigkeiten_126"/>
      <w:bookmarkStart w:id="257" w:name="abhaengigkeiten"/>
      <w:bookmarkEnd w:id="256"/>
      <w:r>
        <w:rPr/>
        <w:t>17.4.2 Abhängigkeiten</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MÜSSEN die Abhängigkeiten der </w:t>
            </w:r>
            <w:del w:id="139" w:author="Mark Semmler" w:date="2024-08-26T12:14:38Z">
              <w:r>
                <w:rPr/>
                <w:delText>besonders schützenswerten</w:delText>
              </w:r>
            </w:del>
            <w:ins w:id="140" w:author="Mark Semmler" w:date="2024-08-26T12:14:38Z">
              <w:r>
                <w:rPr/>
                <w:t>wichtigen</w:t>
              </w:r>
            </w:ins>
            <w:r>
              <w:rPr/>
              <w:t xml:space="preserve">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Abhängigkeiten der wichtigen IT-Systeme von sämtlichen wichtigen </w:t>
            </w:r>
            <w:del w:id="141" w:author="Mark Semmler" w:date="2024-08-26T12:14:53Z">
              <w:r>
                <w:rPr>
                  <w:rStyle w:val="Emphasis"/>
                </w:rPr>
                <w:delText xml:space="preserve">und besonders schützenswerten </w:delText>
              </w:r>
            </w:del>
            <w:r>
              <w:rPr>
                <w:rStyle w:val="Emphasis"/>
              </w:rPr>
              <w:t>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58" w:name="__RefHeading___anhang_a_131"/>
      <w:bookmarkStart w:id="259" w:name="anhang_a"/>
      <w:bookmarkEnd w:id="258"/>
      <w:r>
        <w:rPr/>
        <w:t>Anhang A</w:t>
      </w:r>
      <w:bookmarkEnd w:id="259"/>
    </w:p>
    <w:p>
      <w:pPr>
        <w:pStyle w:val="Heading2"/>
        <w:numPr>
          <w:ilvl w:val="1"/>
          <w:numId w:val="1"/>
        </w:numPr>
        <w:tabs>
          <w:tab w:val="clear" w:pos="709"/>
          <w:tab w:val="left" w:pos="0" w:leader="none"/>
        </w:tabs>
        <w:bidi w:val="0"/>
        <w:ind w:hanging="0" w:start="0"/>
        <w:jc w:val="start"/>
        <w:rPr/>
      </w:pPr>
      <w:bookmarkStart w:id="260" w:name="__RefHeading___a_1_verfahren_132"/>
      <w:bookmarkStart w:id="261" w:name="a_1_verfahren"/>
      <w:bookmarkEnd w:id="260"/>
      <w:r>
        <w:rPr/>
        <w:t>A 1 Verfahren</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2" w:name="__RefHeading___a_2_risikoanalyse_und_-be"/>
      <w:bookmarkStart w:id="263" w:name="a_2_risikoanalyse_und_-behandlung"/>
      <w:bookmarkEnd w:id="262"/>
      <w:r>
        <w:rPr/>
        <w:t>A 2 Risiko</w:t>
      </w:r>
      <w:bookmarkEnd w:id="263"/>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4" w:name="__RefHeading___a_2.1_risikoanalyse_134_C"/>
      <w:bookmarkStart w:id="265" w:name="a_2.1_risikoanalyse_Copy_1"/>
      <w:bookmarkEnd w:id="264"/>
      <w:r>
        <w:rPr/>
        <w:t xml:space="preserve">A 2.1 </w:t>
      </w:r>
      <w:bookmarkEnd w:id="265"/>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6" w:name="__RefHeading___a_2.1_risikoanalyse_134"/>
      <w:bookmarkStart w:id="267" w:name="a_2.1_risikoanalyse"/>
      <w:bookmarkEnd w:id="266"/>
      <w:r>
        <w:rPr/>
        <w:t>A 2.2 Risikoanalyse</w:t>
      </w:r>
      <w:bookmarkEnd w:id="2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w:t>
            </w:r>
            <w:ins w:id="142" w:author="Mark Semmler" w:date="2024-08-26T10:40:00Z">
              <w:r>
                <w:rPr/>
                <w:t>n</w:t>
              </w:r>
            </w:ins>
            <w:r>
              <w:rPr/>
              <w:t xml:space="preserv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68" w:name="__RefHeading___a_2.2_risikobehandlung_13"/>
      <w:bookmarkStart w:id="269" w:name="a_2.2_risikobehandlung"/>
      <w:bookmarkEnd w:id="268"/>
      <w:r>
        <w:rPr/>
        <w:t>A 2.3 Risikobehandlung</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ins w:id="143" w:author="Mark Semmler" w:date="2024-08-26T11:25:01Z"/>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ins w:id="145" w:author="Mark Semmler" w:date="2024-08-26T11:25:01Z"/>
              </w:rPr>
            </w:pPr>
            <w:ins w:id="144" w:author="Mark Semmler" w:date="2024-08-26T11:25:01Z">
              <w:r>
                <w:rPr>
                  <w:rFonts w:eastAsia="Bitstream Vera Sans" w:cs="Bitstream Vera Sans"/>
                  <w:color w:val="auto"/>
                  <w:kern w:val="0"/>
                  <w:sz w:val="20"/>
                  <w:szCs w:val="24"/>
                  <w:lang w:val="de-DE" w:eastAsia="en-US" w:bidi="en-US"/>
                </w:rPr>
              </w:r>
            </w:ins>
          </w:p>
          <w:p>
            <w:pPr>
              <w:pStyle w:val="TableContents"/>
              <w:bidi w:val="0"/>
              <w:jc w:val="start"/>
              <w:rPr>
                <w:rFonts w:eastAsia="Bitstream Vera Sans" w:cs="Bitstream Vera Sans"/>
                <w:color w:val="auto"/>
                <w:kern w:val="0"/>
                <w:sz w:val="20"/>
                <w:szCs w:val="24"/>
                <w:lang w:val="de-DE" w:eastAsia="en-US" w:bidi="en-US"/>
              </w:rPr>
            </w:pPr>
            <w:ins w:id="146" w:author="Mark Semmler" w:date="2024-08-26T11:25:01Z">
              <w:r>
                <w:rPr>
                  <w:rFonts w:eastAsia="Bitstream Vera Sans" w:cs="Bitstream Vera Sans"/>
                  <w:color w:val="auto"/>
                  <w:kern w:val="0"/>
                  <w:sz w:val="20"/>
                  <w:szCs w:val="24"/>
                  <w:lang w:val="de-DE" w:eastAsia="en-US" w:bidi="en-US"/>
                </w:rPr>
                <w:t xml:space="preserve">ToDo 0.4.2: Formulierung zu </w:t>
              </w:r>
            </w:ins>
            <w:ins w:id="147" w:author="Mark Semmler" w:date="2024-08-26T11:27:13Z">
              <w:r>
                <w:rPr>
                  <w:rFonts w:eastAsia="Bitstream Vera Sans" w:cs="Bitstream Vera Sans"/>
                  <w:color w:val="auto"/>
                  <w:kern w:val="0"/>
                  <w:sz w:val="20"/>
                  <w:szCs w:val="24"/>
                  <w:lang w:val="de-DE" w:eastAsia="en-US" w:bidi="en-US"/>
                </w:rPr>
                <w:t>proaktiven und reaktiven Maßnahmen aufnehmen. Satz in Unterpunkte aufdröseln.</w:t>
              </w:r>
            </w:ins>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del w:id="148" w:author="Mark Semmler" w:date="2024-08-26T10:50:59Z">
              <w:r>
                <w:rPr/>
                <w:delText>Identifizierte organisatorische Maßnahmen SOLLTEN in IS Richtlinien (siehe Kapitel 6) oder in Verfahren (siehe Anhang A 2.1) aufgenommen werden.</w:delText>
              </w:r>
            </w:del>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ins w:id="149" w:author="Mark Semmler" w:date="2024-08-26T10:50:41Z"/>
              </w:rPr>
            </w:pPr>
            <w:r>
              <w:rPr/>
              <w:t>Kann in die VdS 10k als SOLLTE aufgenommen werden.</w:t>
            </w:r>
          </w:p>
          <w:p>
            <w:pPr>
              <w:pStyle w:val="TableContents"/>
              <w:bidi w:val="0"/>
              <w:jc w:val="start"/>
              <w:rPr>
                <w:ins w:id="151" w:author="Mark Semmler" w:date="2024-08-26T10:50:41Z"/>
              </w:rPr>
            </w:pPr>
            <w:ins w:id="150" w:author="Mark Semmler" w:date="2024-08-26T10:50:41Z">
              <w:r>
                <w:rPr/>
              </w:r>
            </w:ins>
          </w:p>
          <w:p>
            <w:pPr>
              <w:pStyle w:val="TableContents"/>
              <w:bidi w:val="0"/>
              <w:jc w:val="start"/>
              <w:rPr/>
            </w:pPr>
            <w:ins w:id="152" w:author="Mark Semmler" w:date="2024-08-26T10:50:41Z">
              <w:r>
                <w:rPr/>
                <w:t>0.4.2: Streichen, da in der Praxis redundant.</w:t>
              </w:r>
            </w:ins>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del w:id="153" w:author="Mark Semmler" w:date="2024-08-26T10:51:04Z">
              <w:r>
                <w:rPr>
                  <w:i/>
                  <w:iCs/>
                </w:rPr>
                <w:delText>Identifizierte organisatorische Maßnahmen SOLLTEN in IS-Richtlinien (siehe Kapitel 6) oder in Verfahren (siehe Anhang A 2.1) aufgenommen werden.</w:delText>
              </w:r>
            </w:del>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0" w:name="__RefHeading___a_2.3_wiederholung_und_an"/>
      <w:bookmarkStart w:id="271" w:name="a_2.3_wiederholung_und_anpassung"/>
      <w:bookmarkEnd w:id="270"/>
      <w:r>
        <w:rPr/>
        <w:t>A 2.4 Wiederholung und Anpassung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ins w:id="154" w:author="Mark Semmler" w:date="2024-08-26T15:09:21Z"/>
        </w:rPr>
      </w:pPr>
      <w:bookmarkStart w:id="272" w:name="__RefHeading___a_2.3_wiederholung_und_a1"/>
      <w:bookmarkStart w:id="273" w:name="a_2.3_wiederholung_und_anpassung_Copy_1_"/>
      <w:bookmarkEnd w:id="272"/>
      <w:r>
        <w:rPr/>
        <w:t xml:space="preserve">A 2.5 </w:t>
      </w:r>
      <w:bookmarkEnd w:id="273"/>
      <w:r>
        <w:rPr/>
        <w:t>Überwachung</w:t>
      </w:r>
    </w:p>
    <w:p>
      <w:pPr>
        <w:pStyle w:val="BodyText"/>
        <w:tabs>
          <w:tab w:val="clear" w:pos="709"/>
          <w:tab w:val="left" w:pos="0" w:leader="none"/>
        </w:tabs>
        <w:bidi w:val="0"/>
        <w:ind w:hanging="0" w:start="0"/>
        <w:jc w:val="start"/>
        <w:rPr/>
      </w:pPr>
      <w:ins w:id="155" w:author="Mark Semmler" w:date="2024-08-26T15:09:21Z">
        <w:r>
          <w:rPr/>
          <w:t>0.4.2 ToDo: Konzepte und Verfahren für die Bewertung der Wirksamkeit der Maßnahmen.</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del w:id="157" w:author="Mark Semmler" w:date="2024-09-02T13:45:46Z"/>
              </w:rPr>
            </w:pPr>
            <w:del w:id="156" w:author="Mark Semmler" w:date="2024-09-02T13:45:46Z">
              <w:r>
                <w:rPr/>
                <w:delText>neu</w:delText>
              </w:r>
            </w:del>
          </w:p>
          <w:p>
            <w:pPr>
              <w:pStyle w:val="TableContents"/>
              <w:numPr>
                <w:ilvl w:val="0"/>
                <w:numId w:val="1"/>
              </w:numPr>
              <w:bidi w:val="0"/>
              <w:jc w:val="start"/>
              <w:rPr>
                <w:del w:id="159" w:author="Mark Semmler" w:date="2024-09-02T13:45:46Z"/>
              </w:rPr>
            </w:pPr>
            <w:del w:id="158" w:author="Mark Semmler" w:date="2024-09-02T13:45:46Z">
              <w:r>
                <w:rPr/>
              </w:r>
            </w:del>
          </w:p>
          <w:p>
            <w:pPr>
              <w:pStyle w:val="TableContents"/>
              <w:numPr>
                <w:ilvl w:val="0"/>
                <w:numId w:val="1"/>
              </w:numPr>
              <w:bidi w:val="0"/>
              <w:jc w:val="start"/>
              <w:rPr>
                <w:ins w:id="162" w:author="Mark Semmler" w:date="2024-08-26T11:10:18Z"/>
              </w:rPr>
            </w:pPr>
            <w:ins w:id="160" w:author="Mark Semmler" w:date="2024-09-02T13:19:42Z">
              <w:r>
                <w:rPr/>
                <w:t xml:space="preserve">§ 38 </w:t>
              </w:r>
            </w:ins>
            <w:r>
              <w:rPr/>
              <w:t>‍</w:t>
            </w:r>
            <w:ins w:id="161" w:author="Mark Semmler" w:date="2024-09-02T13:19:34Z">
              <w:r>
                <w:rPr/>
                <w:t>(1) Geschäftsleitungen besonders wichtiger Einrichtungen und wichtiger Einrichtungen sind verpflichtet, die von diesen Einrichtungen nach § 30 zu ergreifenden Risikomanagementmaßnahmen umzusetzen und ihre Umsetzung zu überwachen.</w:t>
              </w:r>
            </w:ins>
          </w:p>
          <w:p>
            <w:pPr>
              <w:pStyle w:val="TableContents"/>
              <w:bidi w:val="0"/>
              <w:jc w:val="start"/>
              <w:rPr>
                <w:ins w:id="164" w:author="Mark Semmler" w:date="2024-08-26T11:10:18Z"/>
              </w:rPr>
            </w:pPr>
            <w:ins w:id="163" w:author="Mark Semmler" w:date="2024-08-26T11:10:18Z">
              <w:r>
                <w:rPr/>
              </w:r>
            </w:ins>
          </w:p>
          <w:p>
            <w:pPr>
              <w:pStyle w:val="TableContents"/>
              <w:bidi w:val="0"/>
              <w:jc w:val="start"/>
              <w:rPr>
                <w:ins w:id="167" w:author="Mark Semmler" w:date="2024-08-26T11:17:33Z"/>
              </w:rPr>
            </w:pPr>
            <w:ins w:id="165" w:author="Mark Semmler" w:date="2024-08-26T11:10:18Z">
              <w:r>
                <w:rPr/>
                <w:t>ToDo 0.4.2: gemäß Absatz 4.2 aufbauen (Übernahme der Gesamtverantwortung)</w:t>
              </w:r>
            </w:ins>
            <w:ins w:id="166" w:author="Mark Semmler" w:date="2024-08-26T11:13:23Z">
              <w:r>
                <w:rPr/>
                <w:t>. 4.2 NICHT komplett übernehmen.</w:t>
              </w:r>
            </w:ins>
          </w:p>
          <w:p>
            <w:pPr>
              <w:pStyle w:val="TableContents"/>
              <w:bidi w:val="0"/>
              <w:jc w:val="start"/>
              <w:rPr>
                <w:ins w:id="169" w:author="Mark Semmler" w:date="2024-08-26T11:17:33Z"/>
              </w:rPr>
            </w:pPr>
            <w:ins w:id="168" w:author="Mark Semmler" w:date="2024-08-26T11:17:33Z">
              <w:r>
                <w:rPr/>
              </w:r>
            </w:ins>
          </w:p>
          <w:p>
            <w:pPr>
              <w:pStyle w:val="TableContents"/>
              <w:bidi w:val="0"/>
              <w:jc w:val="start"/>
              <w:rPr>
                <w:ins w:id="171" w:author="Mark Semmler" w:date="2024-08-26T11:12:04Z"/>
              </w:rPr>
            </w:pPr>
            <w:ins w:id="170" w:author="Mark Semmler" w:date="2024-08-26T11:17:33Z">
              <w:r>
                <w:rPr/>
                <w:t>4.2 G1 und G1.1 zusammenfassen.</w:t>
              </w:r>
            </w:ins>
          </w:p>
          <w:p>
            <w:pPr>
              <w:pStyle w:val="TableContents"/>
              <w:bidi w:val="0"/>
              <w:jc w:val="start"/>
              <w:rPr>
                <w:ins w:id="173" w:author="Mark Semmler" w:date="2024-08-26T11:12:04Z"/>
              </w:rPr>
            </w:pPr>
            <w:ins w:id="172" w:author="Mark Semmler" w:date="2024-08-26T11:12:04Z">
              <w:r>
                <w:rPr/>
              </w:r>
            </w:ins>
          </w:p>
          <w:p>
            <w:pPr>
              <w:pStyle w:val="TableContents"/>
              <w:bidi w:val="0"/>
              <w:jc w:val="start"/>
              <w:rPr/>
            </w:pPr>
            <w:ins w:id="174" w:author="Mark Semmler" w:date="2024-08-26T11:12:04Z">
              <w:r>
                <w:rPr/>
                <w:t>In die VdS 10k aufnehmen: Hierbei SOLLTE das Risikomanagement berücksichtigt werden (Anhang A.2)</w:t>
              </w:r>
            </w:ins>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3"/>
      <w:headerReference w:type="default" r:id="rId24"/>
      <w:headerReference w:type="first" r:id="rId25"/>
      <w:footerReference w:type="even" r:id="rId26"/>
      <w:footerReference w:type="default" r:id="rId27"/>
      <w:footerReference w:type="first" r:id="rId28"/>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38</w:t>
    </w:r>
    <w:r>
      <w:rPr/>
      <w:fldChar w:fldCharType="end"/>
    </w:r>
    <w:r>
      <w:rPr/>
      <w:t xml:space="preserve"> von </w:t>
    </w:r>
    <w:r>
      <w:rPr/>
      <w:fldChar w:fldCharType="begin"/>
    </w:r>
    <w:r>
      <w:rPr/>
      <w:instrText xml:space="preserve"> NUMPAGES </w:instrText>
    </w:r>
    <w:r>
      <w:rPr/>
      <w:fldChar w:fldCharType="separate"/>
    </w:r>
    <w:r>
      <w:rPr/>
      <w:t>95</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38</w:t>
    </w:r>
    <w:r>
      <w:rPr/>
      <w:fldChar w:fldCharType="end"/>
    </w:r>
    <w:r>
      <w:rPr/>
      <w:t xml:space="preserve"> von </w:t>
    </w:r>
    <w:r>
      <w:rPr/>
      <w:fldChar w:fldCharType="begin"/>
    </w:r>
    <w:r>
      <w:rPr/>
      <w:instrText xml:space="preserve"> NUMPAGES </w:instrText>
    </w:r>
    <w:r>
      <w:rPr/>
      <w:fldChar w:fldCharType="separate"/>
    </w:r>
    <w:r>
      <w:rPr/>
      <w:t>95</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ins w:id="175" w:author="Mark Semmler" w:date="2024-08-26T11:22:31Z">
      <w:r>
        <w:rPr>
          <w:u w:val="single"/>
        </w:rPr>
        <w:t>2</w:t>
      </w:r>
    </w:ins>
    <w:del w:id="176" w:author="Mark Semmler" w:date="2024-08-26T11:22:31Z">
      <w:r>
        <w:rPr>
          <w:u w:val="single"/>
        </w:rPr>
        <w:delText>1</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ins w:id="177" w:author="Mark Semmler" w:date="2024-08-26T11:22:31Z">
      <w:r>
        <w:rPr>
          <w:u w:val="single"/>
        </w:rPr>
        <w:t>2</w:t>
      </w:r>
    </w:ins>
    <w:del w:id="178" w:author="Mark Semmler" w:date="2024-08-26T11:22:31Z">
      <w:r>
        <w:rPr>
          <w:u w:val="single"/>
        </w:rPr>
        <w:delText>1</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12124</TotalTime>
  <Application>LibreOffice/24.2.5.2$Linux_X86_64 LibreOffice_project/bffef4ea93e59bebbeaf7f431bb02b1a39ee8a59</Application>
  <AppVersion>15.0000</AppVersion>
  <Pages>95</Pages>
  <Words>25274</Words>
  <Characters>172165</Characters>
  <CharactersWithSpaces>193816</CharactersWithSpaces>
  <Paragraphs>3647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2024-08-13T12:01:05Z</cp:lastPrinted>
  <dcterms:modified xsi:type="dcterms:W3CDTF">2024-09-02T16:23:32Z</dcterms:modified>
  <cp:revision>268</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