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0.4.1 vom xx.08.2024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0.4.1 vom xx.08.2024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Anschaffung</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w:t>
            </w:r>
            <w:r>
              <w:rPr>
                <w:rFonts w:eastAsia="Bitstream Vera Sans" w:cs="Bitstream Vera Sans"/>
                <w:b w:val="false"/>
                <w:bCs w:val="false"/>
                <w:color w:val="auto"/>
                <w:kern w:val="0"/>
                <w:sz w:val="20"/>
                <w:szCs w:val="24"/>
                <w:lang w:val="de-DE" w:eastAsia="en-US" w:bidi="en-US"/>
              </w:rPr>
              <w:t>.4.1 DISKUSSION:</w:t>
            </w:r>
          </w:p>
          <w:p>
            <w:pPr>
              <w:pStyle w:val="Normal"/>
              <w:bidi w:val="0"/>
              <w:jc w:val="start"/>
              <w:rPr>
                <w:b w:val="false"/>
                <w:bCs w:val="false"/>
              </w:rPr>
            </w:pPr>
            <w:r>
              <w:rPr>
                <w:b w:val="false"/>
                <w:bCs w:val="false"/>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p>
          <w:p>
            <w:pPr>
              <w:pStyle w:val="Normal"/>
              <w:bidi w:val="0"/>
              <w:jc w:val="start"/>
              <w:rPr>
                <w:b w:val="false"/>
                <w:bCs w:val="false"/>
              </w:rPr>
            </w:pPr>
            <w:r>
              <w:rPr>
                <w:b w:val="false"/>
                <w:bCs w:val="false"/>
              </w:rPr>
            </w:r>
          </w:p>
          <w:p>
            <w:pPr>
              <w:pStyle w:val="Normal"/>
              <w:numPr>
                <w:ilvl w:val="0"/>
                <w:numId w:val="1"/>
              </w:numPr>
              <w:bidi w:val="0"/>
              <w:jc w:val="start"/>
              <w:rPr>
                <w:b w:val="false"/>
                <w:bCs w:val="false"/>
              </w:rPr>
            </w:pPr>
            <w:r>
              <w:rPr>
                <w:rFonts w:eastAsia="Bitstream Vera Sans" w:cs="Bitstream Vera Sans"/>
                <w:b w:val="false"/>
                <w:bCs w:val="false"/>
                <w:color w:val="auto"/>
                <w:kern w:val="0"/>
                <w:sz w:val="20"/>
                <w:szCs w:val="24"/>
                <w:lang w:val="de-DE" w:eastAsia="en-US" w:bidi="en-US"/>
              </w:rPr>
              <w:t>„</w:t>
            </w:r>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0.4.1 – 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Wir können die eingefügte Klammer wieder entfernen, wenn wir die IT-Ressourcen anders definieren (siehe Anfang des Kapitels)</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(so lange sie sich im Verantwortungsbereich der Organisation befinden)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0.4.1 Diskussion/ToDo:</w:t>
            </w:r>
          </w:p>
          <w:p>
            <w:pPr>
              <w:pStyle w:val="TableContents"/>
              <w:bidi w:val="0"/>
              <w:jc w:val="start"/>
              <w:rPr/>
            </w:pPr>
            <w:r>
              <w:rPr/>
              <w:t>- kürzen und auf 9.3 verweisen</w:t>
            </w:r>
          </w:p>
          <w:p>
            <w:pPr>
              <w:pStyle w:val="TableContents"/>
              <w:bidi w:val="0"/>
              <w:jc w:val="start"/>
              <w:rPr/>
            </w:pPr>
            <w:r>
              <w:rPr/>
              <w:t>- Empfehlung: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0.4.x:</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dokumentation_74_Copy_1"/>
      <w:bookmarkStart w:id="143" w:name="dokumentation_Copy_1"/>
      <w:bookmarkEnd w:id="142"/>
      <w:r>
        <w:rPr/>
        <w:t>10.n1.1 Dokumentation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4" w:name="__RefHeading___datensicherung_75_Copy_1"/>
      <w:bookmarkStart w:id="145" w:name="datensicherung_Copy_1"/>
      <w:bookmarkEnd w:id="144"/>
      <w:r>
        <w:rPr/>
        <w:t>10.n1.2 Datensicherung</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6" w:name="__RefHeading___ueberwachung_76_Copy_1"/>
      <w:bookmarkStart w:id="147" w:name="ueberwachung_Copy_1"/>
      <w:bookmarkEnd w:id="146"/>
      <w:r>
        <w:rPr/>
        <w:t>10.n1.3 Überwachung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0" w:name="__RefHeading___notbetriebsniveau_70"/>
      <w:bookmarkStart w:id="151" w:name="notbetriebsniveau"/>
      <w:bookmarkEnd w:id="150"/>
      <w:r>
        <w:rPr/>
        <w:t>10.5.1 Notbetriebsniveau</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2" w:name="__RefHeading___robustheit_71"/>
      <w:bookmarkStart w:id="153" w:name="robustheit"/>
      <w:bookmarkEnd w:id="152"/>
      <w:r>
        <w:rPr/>
        <w:t>10.5.2 Robustheit</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robustheit_71_Copy_1"/>
      <w:bookmarkStart w:id="155" w:name="robustheit_Copy_1"/>
      <w:bookmarkEnd w:id="154"/>
      <w:r>
        <w:rPr/>
        <w:t xml:space="preserve">10.5.n1 </w:t>
      </w:r>
      <w:bookmarkEnd w:id="155"/>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Entscheidung Team-Meeting am 29.07.2024:</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10.5.3 Externe Schnittstellen und Laufwerke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10.5.4 Änderungsmanagement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0" w:name="__RefHeading___ersatzsysteme_und_-verfah"/>
      <w:bookmarkStart w:id="161" w:name="ersatzsysteme_und_-verfahren"/>
      <w:bookmarkEnd w:id="160"/>
      <w:r>
        <w:rPr/>
        <w:t>10.5.5 Ersatzsysteme und -verfahren</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2" w:name="__RefHeading___kritische_individualsoftw"/>
      <w:bookmarkStart w:id="163" w:name="kritische_individualsoftware"/>
      <w:bookmarkEnd w:id="162"/>
      <w:r>
        <w:rPr/>
        <w:t>10.5.6 Besonders schützenswerte Individualsoftware</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4" w:name="__RefHeading___netzwerke_und_verbindung1"/>
      <w:bookmarkStart w:id="165" w:name="netzwerke_und_verbindungen"/>
      <w:bookmarkEnd w:id="164"/>
      <w:r>
        <w:rPr/>
        <w:t>11 Netzwerke und Verbindungen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6" w:name="__RefHeading___netzwerkplan_80"/>
      <w:bookmarkStart w:id="167" w:name="netzwerkplan"/>
      <w:bookmarkEnd w:id="166"/>
      <w:r>
        <w:rPr/>
        <w:t>11.1 Netzwerkplan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8" w:name="__RefHeading___aktive_netzwerkkomponente"/>
      <w:bookmarkStart w:id="169" w:name="aktive_netzwerkkomponenten"/>
      <w:bookmarkEnd w:id="168"/>
      <w:r>
        <w:rPr/>
        <w:t>11.2 Aktive Netzwerkkomponenten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0" w:name="__RefHeading___netzuebergaenge_82"/>
      <w:bookmarkStart w:id="171" w:name="netzuebergaenge"/>
      <w:bookmarkEnd w:id="170"/>
      <w:r>
        <w:rPr/>
        <w:t>11.3 Netzübergänge</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2" w:name="__RefHeading___basisschutz_83"/>
      <w:bookmarkStart w:id="173" w:name="basisschutz1"/>
      <w:bookmarkEnd w:id="172"/>
      <w:r>
        <w:rPr/>
        <w:t>11.4 Basisschutz</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4" w:name="__RefHeading___netzwerkanschluesse_84"/>
      <w:bookmarkStart w:id="175" w:name="netzwerkanschluesse"/>
      <w:bookmarkEnd w:id="174"/>
      <w:r>
        <w:rPr/>
        <w:t>11.4.1 Netzwerkanschlüsse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6" w:name="__RefHeading___segmentierung_85"/>
      <w:bookmarkStart w:id="177" w:name="segmentierung"/>
      <w:bookmarkEnd w:id="176"/>
      <w:r>
        <w:rPr/>
        <w:t>11.4.2 Segmentierung</w:t>
      </w:r>
      <w:bookmarkEnd w:id="177"/>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8" w:name="__RefHeading___fernzugang_86"/>
      <w:bookmarkStart w:id="179" w:name="fernzugang"/>
      <w:bookmarkEnd w:id="178"/>
      <w:r>
        <w:rPr/>
        <w:t>11.4.3 Fernzugang</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0" w:name="__RefHeading___netzwerkkopplung_87"/>
      <w:bookmarkStart w:id="181" w:name="netzwerkkopplung"/>
      <w:bookmarkEnd w:id="180"/>
      <w:r>
        <w:rPr/>
        <w:t>11.4.4 Netzwerkkopplung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2" w:name="__RefHeading___zusaetzliche_massnahmen_9"/>
      <w:bookmarkStart w:id="183" w:name="zusaetzliche_massnahmen_fuer_kritische_v"/>
      <w:bookmarkEnd w:id="182"/>
      <w:r>
        <w:rPr/>
        <w:t>11.5 Zusätzliche Maßnahmen für wichtige Verbindungen</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4" w:name="__RefHeading___mobile_datentraeger_89"/>
      <w:bookmarkStart w:id="185" w:name="mobile_datentraeger"/>
      <w:bookmarkEnd w:id="184"/>
      <w:r>
        <w:rPr/>
        <w:t>12 Mobile Datenträger</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6" w:name="__RefHeading___is-richtlinie_90"/>
      <w:bookmarkStart w:id="187" w:name="is-richtlinie1"/>
      <w:bookmarkEnd w:id="186"/>
      <w:r>
        <w:rPr/>
        <w:t>12.1 IS-Richtlinie</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8" w:name="__RefHeading___schutz_der_informationen1"/>
      <w:bookmarkStart w:id="189" w:name="schutz_der_informationen1"/>
      <w:bookmarkEnd w:id="188"/>
      <w:r>
        <w:rPr/>
        <w:t>12.2 Schutz der Informationen</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0" w:name="__RefHeading___zusaetzliche_massnahmen_3"/>
      <w:bookmarkStart w:id="191" w:name="zusaetzliche_massnahmen_fuer_kritische_m"/>
      <w:bookmarkEnd w:id="190"/>
      <w:r>
        <w:rPr/>
        <w:t>12.3 Zusätzliche Maßnahmen für wichtige mobile Datenträger</w:t>
      </w:r>
      <w:bookmarkEnd w:id="19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numPr>
                <w:ilvl w:val="0"/>
                <w:numId w:val="0"/>
              </w:numPr>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2" w:name="__RefHeading___umgebung_93"/>
      <w:bookmarkStart w:id="193" w:name="umgebung"/>
      <w:bookmarkEnd w:id="192"/>
      <w:r>
        <w:rPr/>
        <w:t>13 Umgebung</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4" w:name="__RefHeading___server_aktive_netzwerkkom"/>
      <w:bookmarkStart w:id="195" w:name="server_aktive_netzwerkkomponenten_und_ne"/>
      <w:bookmarkEnd w:id="194"/>
      <w:r>
        <w:rPr/>
        <w:t>13.1 Server, aktive Netzwerkkomponenten und Netzwerkverteilstellen</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6" w:name="__RefHeading___datenleitungen_95"/>
      <w:bookmarkStart w:id="197" w:name="datenleitungen"/>
      <w:bookmarkEnd w:id="196"/>
      <w:r>
        <w:rPr/>
        <w:t>13.2 Datenleitungen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4"/>
      <w:bookmarkStart w:id="199" w:name="zusaetzliche_massnahmen_fuer_kritische_2"/>
      <w:bookmarkEnd w:id="198"/>
      <w:r>
        <w:rPr/>
        <w:t>13.3 Zusätzliche Maßnahmen für wichtigen IT-Systeme</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0" w:name="__RefHeading___it-outsourcing_und_cloud_"/>
      <w:bookmarkStart w:id="201" w:name="it-outsourcing_und_cloud_computing"/>
      <w:bookmarkEnd w:id="200"/>
      <w:r>
        <w:rPr/>
        <w:t>14 IT-Outsourcing und Cloud Computing</w:t>
      </w:r>
      <w:bookmarkEnd w:id="20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werden wir die Maßnahmen für die Absicherung der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2" w:name="__RefHeading___is-richtlinie_98"/>
      <w:bookmarkStart w:id="203" w:name="is-richtlinie2"/>
      <w:bookmarkEnd w:id="202"/>
      <w:r>
        <w:rPr/>
        <w:t>14.1 IS-Richtlinie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4" w:name="__RefHeading___vorbereitung_99"/>
      <w:bookmarkStart w:id="205" w:name="vorbereitung"/>
      <w:bookmarkEnd w:id="204"/>
      <w:r>
        <w:rPr/>
        <w:t>14.2 Vorbereitung</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6" w:name="__RefHeading___vertragsgestaltung_100"/>
      <w:bookmarkStart w:id="207" w:name="vertragsgestaltung"/>
      <w:bookmarkEnd w:id="206"/>
      <w:r>
        <w:rPr/>
        <w:t>14.3 Vertragsgestaltung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8" w:name="__RefHeading___zusaetzliche_massnahmen_5"/>
      <w:bookmarkStart w:id="209" w:name="zusaetzliche_massnahmen_fuer_kritische_3"/>
      <w:bookmarkEnd w:id="208"/>
      <w:r>
        <w:rPr/>
        <w:t>14.4 Zusätzliche Maßnahmen für wichtige IT-Ressourcen</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0" w:name="__RefHeading___zugaenge_und_zugriffsrech"/>
      <w:bookmarkStart w:id="211" w:name="zugaenge_und_zugriffsrechte"/>
      <w:bookmarkEnd w:id="210"/>
      <w:r>
        <w:rPr/>
        <w:t>15 Zugänge und Zugriffsrechte</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2" w:name="__RefHeading___verwaltung_103"/>
      <w:bookmarkStart w:id="213" w:name="verwaltung"/>
      <w:bookmarkEnd w:id="212"/>
      <w:r>
        <w:rPr/>
        <w:t>15.1 Verwaltung</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6"/>
      <w:bookmarkStart w:id="215" w:name="zusaetzliche_massnahmen_fuer_kritische_4"/>
      <w:bookmarkEnd w:id="214"/>
      <w:r>
        <w:rPr/>
        <w:t>15.2 Zusätzliche Maßnahmen für besonders schützenswerte IT-Systeme und Informationen</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6" w:name="__RefHeading___datensicherung_und_archiv"/>
      <w:bookmarkStart w:id="217" w:name="datensicherung_und_archivierung"/>
      <w:bookmarkEnd w:id="216"/>
      <w:r>
        <w:rPr/>
        <w:t>16 Datensicherung und Archivierung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8" w:name="__RefHeading___is-richtlinie_106"/>
      <w:bookmarkStart w:id="219" w:name="is-richtlinie3"/>
      <w:bookmarkEnd w:id="218"/>
      <w:r>
        <w:rPr/>
        <w:t>16.1 IS-Richtlinie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0" w:name="__RefHeading___archivierung_107"/>
      <w:bookmarkStart w:id="221" w:name="archivierung"/>
      <w:bookmarkEnd w:id="220"/>
      <w:r>
        <w:rPr/>
        <w:t>16.2 Archivierung</w:t>
      </w:r>
      <w:bookmarkEnd w:id="2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2" w:name="__RefHeading___verfahren_108"/>
      <w:bookmarkStart w:id="223" w:name="verfahren"/>
      <w:bookmarkEnd w:id="222"/>
      <w:r>
        <w:rPr/>
        <w:t>16.3 Verfahren</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0.4.1 – ToDo: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4" w:name="__RefHeading___weiterentwicklung_112"/>
      <w:bookmarkStart w:id="225" w:name="weiterentwicklung"/>
      <w:bookmarkEnd w:id="224"/>
      <w:r>
        <w:rPr/>
        <w:t>16.4 Weiterentwicklung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6" w:name="__RefHeading___basisschutz_113"/>
      <w:bookmarkStart w:id="227" w:name="basisschutz2"/>
      <w:bookmarkEnd w:id="226"/>
      <w:r>
        <w:rPr/>
        <w:t>16.5 Basisschutz</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8" w:name="__RefHeading___is-richtlinie_106_Copy_1_"/>
      <w:bookmarkStart w:id="229" w:name="is-richtlinie3_Copy_1"/>
      <w:bookmarkEnd w:id="228"/>
      <w:r>
        <w:rPr/>
        <w:t>16.5.n1 I</w:t>
      </w:r>
      <w:bookmarkEnd w:id="229"/>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0" w:name="__RefHeading___speicherorte_114"/>
      <w:bookmarkStart w:id="231" w:name="speicherorte"/>
      <w:bookmarkEnd w:id="230"/>
      <w:r>
        <w:rPr/>
        <w:t>16.5.1 Speicherorte</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2" w:name="__RefHeading___server_115"/>
      <w:bookmarkStart w:id="233" w:name="server"/>
      <w:bookmarkEnd w:id="232"/>
      <w:r>
        <w:rPr/>
        <w:t>16.5.2 Server</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aktive_netzwerkkomponent1"/>
      <w:bookmarkStart w:id="235" w:name="aktive_netzwerkkomponenten1"/>
      <w:bookmarkEnd w:id="234"/>
      <w:r>
        <w:rPr/>
        <w:t>16.5.3 Aktive Netzwerkkomponenten</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6" w:name="__RefHeading___mobile_it-systeme_117"/>
      <w:bookmarkStart w:id="237" w:name="mobile_it-systeme"/>
      <w:bookmarkEnd w:id="236"/>
      <w:r>
        <w:rPr/>
        <w:t>16.5.4 Mobile IT-Systeme</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8" w:name="__RefHeading___zusaetzliche_massnahmen_7"/>
      <w:bookmarkStart w:id="239" w:name="zusaetzliche_massnahmen_fuer_kritische_5"/>
      <w:bookmarkEnd w:id="238"/>
      <w:r>
        <w:rPr/>
        <w:t>16.6 Zusätzliche Maßnahmen für wichtige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0" w:name="__RefHeading___risikoanalyse_119"/>
      <w:bookmarkStart w:id="241" w:name="risikoanalyse"/>
      <w:bookmarkEnd w:id="240"/>
      <w:r>
        <w:rPr/>
        <w:t>16.6.1 Risikoanalyse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2" w:name="__RefHeading___verfahren_120"/>
      <w:bookmarkStart w:id="243" w:name="verfahren1"/>
      <w:bookmarkEnd w:id="242"/>
      <w:r>
        <w:rPr/>
        <w:t>16.6.2 Verfahren</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4" w:name="__RefHeading___stoerungen_und_ausfaelle_"/>
      <w:bookmarkStart w:id="245" w:name="stoerungen_und_ausfaelle"/>
      <w:bookmarkEnd w:id="244"/>
      <w:r>
        <w:rPr/>
        <w:t xml:space="preserve">17 </w:t>
      </w:r>
      <w:bookmarkEnd w:id="245"/>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6" w:name="__RefHeading___is-richtlinie_122"/>
      <w:bookmarkStart w:id="247" w:name="is-richtlinie4"/>
      <w:bookmarkEnd w:id="246"/>
      <w:r>
        <w:rPr/>
        <w:t>17.1 IS-Richtlinie</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48" w:name="__RefHeading___erkennen_129_Copy_1"/>
      <w:bookmarkStart w:id="249" w:name="erkennen_Copy_1"/>
      <w:bookmarkEnd w:id="248"/>
      <w:r>
        <w:rPr/>
        <w:t>17.2 Erkennen</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0" w:name="__RefHeading___reaktion_123"/>
      <w:bookmarkStart w:id="251" w:name="reaktion"/>
      <w:bookmarkEnd w:id="250"/>
      <w:r>
        <w:rPr/>
        <w:t>17.3 Reaktion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2" w:name="__RefHeading___zusaetzliche_massnahmen_a"/>
      <w:bookmarkStart w:id="253" w:name="zusaetzliche_massnahmen_fuer_kritische_7"/>
      <w:bookmarkEnd w:id="252"/>
      <w:r>
        <w:rPr/>
        <w:t>17.4 Zusätzliche Maßnahmen für wichtige IT-Systeme</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4" w:name="__RefHeading___wiederanlaufplaene_125"/>
      <w:bookmarkStart w:id="255" w:name="wiederanlaufplaene"/>
      <w:bookmarkEnd w:id="254"/>
      <w:r>
        <w:rPr/>
        <w:t>17.4.1 Wiederanlaufpläne</w:t>
      </w:r>
      <w:bookmarkEnd w:id="25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56" w:name="__RefHeading___abhaengigkeiten_126"/>
      <w:bookmarkStart w:id="257" w:name="abhaengigkeiten"/>
      <w:bookmarkEnd w:id="256"/>
      <w:r>
        <w:rPr/>
        <w:t>17.4.2 Abhängigkeiten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8" w:name="__RefHeading___anhang_a_131"/>
      <w:bookmarkStart w:id="259" w:name="anhang_a"/>
      <w:bookmarkEnd w:id="258"/>
      <w:r>
        <w:rPr/>
        <w:t>Anhang A</w:t>
      </w:r>
      <w:bookmarkEnd w:id="259"/>
    </w:p>
    <w:p>
      <w:pPr>
        <w:pStyle w:val="Heading2"/>
        <w:numPr>
          <w:ilvl w:val="1"/>
          <w:numId w:val="1"/>
        </w:numPr>
        <w:tabs>
          <w:tab w:val="clear" w:pos="709"/>
          <w:tab w:val="left" w:pos="0" w:leader="none"/>
        </w:tabs>
        <w:bidi w:val="0"/>
        <w:ind w:hanging="0" w:start="0"/>
        <w:jc w:val="start"/>
        <w:rPr/>
      </w:pPr>
      <w:bookmarkStart w:id="260" w:name="__RefHeading___a_1_verfahren_132"/>
      <w:bookmarkStart w:id="261" w:name="a_1_verfahren"/>
      <w:bookmarkEnd w:id="260"/>
      <w:r>
        <w:rPr/>
        <w:t>A 1 Verfahren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2" w:name="__RefHeading___a_2_risikoanalyse_und_-be"/>
      <w:bookmarkStart w:id="263" w:name="a_2_risikoanalyse_und_-behandlung"/>
      <w:bookmarkEnd w:id="262"/>
      <w:r>
        <w:rPr/>
        <w:t>A 2 Risiko</w:t>
      </w:r>
      <w:bookmarkEnd w:id="26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4" w:name="__RefHeading___a_2.1_risikoanalyse_134_C"/>
      <w:bookmarkStart w:id="265" w:name="a_2.1_risikoanalyse_Copy_1"/>
      <w:bookmarkEnd w:id="264"/>
      <w:r>
        <w:rPr/>
        <w:t xml:space="preserve">A 2.1 </w:t>
      </w:r>
      <w:bookmarkEnd w:id="26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
      <w:bookmarkStart w:id="267" w:name="a_2.1_risikoanalyse"/>
      <w:bookmarkEnd w:id="266"/>
      <w:r>
        <w:rPr/>
        <w:t>A 2.2 Risikoanalyse</w:t>
      </w:r>
      <w:bookmarkEnd w:id="2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8" w:name="__RefHeading___a_2.2_risikobehandlung_13"/>
      <w:bookmarkStart w:id="269" w:name="a_2.2_risikobehandlung"/>
      <w:bookmarkEnd w:id="268"/>
      <w:r>
        <w:rPr/>
        <w:t>A 2.3 Risikobehandlung</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0" w:name="__RefHeading___a_2.3_wiederholung_und_an"/>
      <w:bookmarkStart w:id="271" w:name="a_2.3_wiederholung_und_anpassung"/>
      <w:bookmarkEnd w:id="270"/>
      <w:r>
        <w:rPr/>
        <w:t>A 2.4 Wiederholung und Anpassung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1"/>
      <w:bookmarkStart w:id="273" w:name="a_2.3_wiederholung_und_anpassung_Copy_1_"/>
      <w:bookmarkEnd w:id="272"/>
      <w:r>
        <w:rPr/>
        <w:t xml:space="preserve">A 2.5 </w:t>
      </w:r>
      <w:bookmarkEnd w:id="27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0.4.1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0.4.1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11116</TotalTime>
  <Application>LibreOffice/24.2.5.2$Linux_X86_64 LibreOffice_project/bffef4ea93e59bebbeaf7f431bb02b1a39ee8a59</Application>
  <AppVersion>15.0000</AppVersion>
  <Pages>93</Pages>
  <Words>25025</Words>
  <Characters>170206</Characters>
  <CharactersWithSpaces>191628</CharactersWithSpaces>
  <Paragraphs>3614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2024-08-05T10:24:51Z</cp:lastPrinted>
  <dcterms:modified xsi:type="dcterms:W3CDTF">2024-08-13T12:00:58Z</dcterms:modified>
  <cp:revision>249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