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r>
        <w:rPr/>
        <w:t>5</w:t>
      </w:r>
      <w:r>
        <w:rPr/>
        <w:t xml:space="preserve"> vom </w:t>
      </w:r>
      <w:r>
        <w:rPr/>
        <w:t>29</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0.3.5 vom 29.07.2024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86</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89</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90</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strike/>
        </w:rPr>
      </w:pPr>
      <w:bookmarkStart w:id="102" w:name="__RefHeading___it-systeme_50_Copy_1"/>
      <w:bookmarkEnd w:id="102"/>
      <w:r>
        <w:rPr>
          <w:strike/>
        </w:rPr>
        <w:t>N</w:t>
      </w:r>
      <w:bookmarkStart w:id="103" w:name="it-systeme_Copy_1"/>
      <w:r>
        <w:rPr>
          <w:strike/>
        </w:rPr>
        <w:t xml:space="preserve">10 </w:t>
      </w:r>
      <w:bookmarkEnd w:id="103"/>
      <w:r>
        <w:rPr>
          <w:strike/>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 Dieses Kapitel wäre ansonsten ziemlich schnell eine Übererfüllung von NIS-2.</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TableContents"/>
              <w:numPr>
                <w:ilvl w:val="0"/>
                <w:numId w:val="1"/>
              </w:numPr>
              <w:bidi w:val="0"/>
              <w:ind w:hanging="0" w:start="0"/>
              <w:jc w:val="start"/>
              <w:rPr/>
            </w:pPr>
            <w:r>
              <w:rPr>
                <w:rFonts w:eastAsia="Bitstream Vera Sans" w:cs="Bitstream Vera Sans"/>
                <w:color w:val="auto"/>
                <w:kern w:val="0"/>
                <w:sz w:val="20"/>
                <w:szCs w:val="24"/>
                <w:lang w:val="de-DE" w:eastAsia="en-US" w:bidi="en-US"/>
              </w:rPr>
              <w:t>- besonders schützenswert, weil besonders vertraulich →</w:t>
            </w:r>
            <w:r>
              <w:rPr/>
              <w:t xml:space="preserve"> Kryptografie</w:t>
            </w:r>
          </w:p>
          <w:p>
            <w:pPr>
              <w:pStyle w:val="TableContents"/>
              <w:numPr>
                <w:ilvl w:val="0"/>
                <w:numId w:val="1"/>
              </w:numPr>
              <w:bidi w:val="0"/>
              <w:ind w:hanging="0" w:start="0"/>
              <w:jc w:val="start"/>
              <w:rPr/>
            </w:pPr>
            <w:r>
              <w:rPr/>
              <w:t xml:space="preserve">- besonders schützenswert, weil besondere Ansprüche an die Integrität </w:t>
            </w:r>
            <w:r>
              <w:rPr>
                <w:rFonts w:eastAsia="Bitstream Vera Sans" w:cs="Bitstream Vera Sans"/>
                <w:color w:val="auto"/>
                <w:kern w:val="0"/>
                <w:sz w:val="20"/>
                <w:szCs w:val="24"/>
                <w:lang w:val="de-DE" w:eastAsia="en-US" w:bidi="en-US"/>
              </w:rPr>
              <w:t>→</w:t>
            </w:r>
            <w:r>
              <w:rPr/>
              <w:t xml:space="preserve"> Hashing</w:t>
            </w:r>
          </w:p>
          <w:p>
            <w:pPr>
              <w:pStyle w:val="TableContents"/>
              <w:numPr>
                <w:ilvl w:val="0"/>
                <w:numId w:val="1"/>
              </w:numPr>
              <w:bidi w:val="0"/>
              <w:ind w:hanging="0" w:start="0"/>
              <w:jc w:val="start"/>
              <w:rPr/>
            </w:pPr>
            <w:r>
              <w:rPr>
                <w:rFonts w:eastAsia="Bitstream Vera Sans" w:cs="Bitstream Vera Sans"/>
                <w:b/>
                <w:bCs/>
                <w:color w:val="auto"/>
                <w:kern w:val="0"/>
                <w:sz w:val="20"/>
                <w:szCs w:val="24"/>
                <w:lang w:val="de-DE" w:eastAsia="en-US" w:bidi="en-US"/>
              </w:rPr>
              <w:t>- besonders schützenswert, weil besondere Ansprüche an die Verfügbarkeit → Redundanz (?)</w:t>
            </w:r>
          </w:p>
        </w:tc>
      </w:tr>
    </w:tbl>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pPr>
      <w:r>
        <w:rPr/>
      </w:r>
    </w:p>
    <w:p>
      <w:pPr>
        <w:pStyle w:val="Heading1"/>
        <w:numPr>
          <w:ilvl w:val="0"/>
          <w:numId w:val="1"/>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xml:space="preserve">§ 30 ist </w:t>
            </w:r>
            <w:r>
              <w:rPr>
                <w:rFonts w:eastAsia="Bitstream Vera Sans" w:cs="Bitstream Vera Sans"/>
                <w:color w:val="auto"/>
                <w:sz w:val="20"/>
                <w:szCs w:val="24"/>
                <w:lang w:val="de-DE" w:eastAsia="en-US" w:bidi="en-US"/>
              </w:rPr>
              <w:t xml:space="preserve">und bleibt sehr wahrscheinlich ein gruseliges </w:t>
            </w:r>
            <w:r>
              <w:rPr>
                <w:rFonts w:eastAsia="Bitstream Vera Sans" w:cs="Bitstream Vera Sans"/>
                <w:color w:val="auto"/>
                <w:sz w:val="20"/>
                <w:szCs w:val="24"/>
                <w:lang w:val="de-DE" w:eastAsia="en-US" w:bidi="en-US"/>
              </w:rPr>
              <w:t>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Können wir nicht </w:t>
            </w:r>
            <w:r>
              <w:rPr/>
              <w:t xml:space="preserve">in die VdS 10100 </w:t>
            </w:r>
            <w:r>
              <w:rPr/>
              <w:t>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w:t>
            </w:r>
            <w:r>
              <w:rPr/>
              <w:t>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 xml:space="preserve">„Du MUSST eine Risikoanalyse </w:t>
            </w:r>
            <w:r>
              <w:rPr>
                <w:rFonts w:eastAsia="Bitstream Vera Sans" w:cs="Bitstream Vera Sans"/>
                <w:color w:val="auto"/>
                <w:kern w:val="0"/>
                <w:sz w:val="20"/>
                <w:szCs w:val="24"/>
                <w:lang w:val="de-DE" w:eastAsia="en-US" w:bidi="en-US"/>
              </w:rPr>
              <w:t xml:space="preserve">in Sachen Kryptografie </w:t>
            </w:r>
            <w:r>
              <w:rPr>
                <w:rFonts w:eastAsia="Bitstream Vera Sans" w:cs="Bitstream Vera Sans"/>
                <w:color w:val="auto"/>
                <w:kern w:val="0"/>
                <w:sz w:val="20"/>
                <w:szCs w:val="24"/>
                <w:lang w:val="de-DE" w:eastAsia="en-US" w:bidi="en-US"/>
              </w:rPr>
              <w:t>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robustheit_71_Copy_1"/>
      <w:bookmarkStart w:id="157" w:name="robustheit_Copy_1"/>
      <w:bookmarkEnd w:id="156"/>
      <w:r>
        <w:rPr/>
        <w:t>10.5.</w:t>
      </w:r>
      <w:r>
        <w:rPr/>
        <w:t>n1</w:t>
      </w:r>
      <w:r>
        <w:rPr/>
        <w:t xml:space="preserve">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Im Zuge der </w:t>
            </w:r>
            <w:r>
              <w:rPr>
                <w:rStyle w:val="Emphasis"/>
                <w:i w:val="false"/>
                <w:iCs w:val="false"/>
              </w:rPr>
              <w:t xml:space="preserve">Risikoanalyse und -behandlung (siehe </w:t>
            </w:r>
            <w:r>
              <w:rPr>
                <w:rStyle w:val="Emphasis"/>
                <w:i w:val="false"/>
                <w:iCs w:val="false"/>
              </w:rPr>
              <w:t xml:space="preserve">Abschnitt </w:t>
            </w:r>
            <w:r>
              <w:rPr>
                <w:rStyle w:val="Emphasis"/>
                <w:i w:val="false"/>
                <w:iCs w:val="false"/>
              </w:rPr>
              <w:t xml:space="preserve">10.n1) </w:t>
            </w:r>
            <w:r>
              <w:rPr>
                <w:rStyle w:val="Emphasis"/>
                <w:i w:val="false"/>
                <w:iCs w:val="false"/>
              </w:rPr>
              <w:t xml:space="preserve">MUSS </w:t>
            </w:r>
            <w:r>
              <w:rPr>
                <w:rStyle w:val="Emphasis"/>
                <w:i w:val="false"/>
                <w:iCs w:val="false"/>
              </w:rPr>
              <w:t xml:space="preserve">festgelegt werden, welche Informationen auf </w:t>
            </w:r>
            <w:r>
              <w:rPr>
                <w:rStyle w:val="Emphasis"/>
                <w:i w:val="false"/>
                <w:iCs w:val="false"/>
              </w:rPr>
              <w:t>den IT-Systemen</w:t>
            </w:r>
            <w:r>
              <w:rPr>
                <w:rStyle w:val="Emphasis"/>
                <w:i w:val="false"/>
                <w:iCs w:val="false"/>
              </w:rPr>
              <w:t xml:space="preserve">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r>
        <w:rPr>
          <w:rFonts w:eastAsia="Bitstream Vera Sans" w:cs="Bitstream Vera Sans"/>
          <w:color w:val="auto"/>
          <w:kern w:val="0"/>
          <w:sz w:val="20"/>
          <w:szCs w:val="24"/>
          <w:lang w:val="de-DE" w:eastAsia="en-US" w:bidi="en-US"/>
        </w:rPr>
        <w:t xml:space="preserve">0.3.5 DISKUSSION: Wir definieren </w:t>
      </w:r>
      <w:r>
        <w:rPr>
          <w:rFonts w:eastAsia="Bitstream Vera Sans" w:cs="Bitstream Vera Sans"/>
          <w:color w:val="auto"/>
          <w:kern w:val="0"/>
          <w:sz w:val="20"/>
          <w:szCs w:val="24"/>
          <w:lang w:val="de-DE" w:eastAsia="en-US" w:bidi="en-US"/>
        </w:rPr>
        <w:t>„Segmentierung“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MÜSSEN Kriterien definiert werden, anhand derer die Netzwerke der Organisation in einzelne </w:t>
            </w:r>
            <w:r>
              <w:rPr/>
              <w:t>Sicherheitszonen</w:t>
            </w:r>
            <w:r>
              <w:rPr/>
              <w:t xml:space="preserve"> unterteilt werden </w:t>
            </w:r>
            <w:r>
              <w:rPr/>
              <w:t>(Segmentierung)</w:t>
            </w:r>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 xml:space="preserve">Diese Anforderung sollten wir verschärfen, weil </w:t>
            </w:r>
            <w:r>
              <w:rPr/>
              <w:t>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w:t>
            </w:r>
            <w:r>
              <w:rPr>
                <w:rStyle w:val="Emphasis"/>
                <w:i w:val="false"/>
                <w:iCs w:val="false"/>
              </w:rPr>
              <w:t>.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w:t>
            </w:r>
            <w:r>
              <w:rPr>
                <w:rStyle w:val="Emphasis"/>
                <w:i w:val="false"/>
                <w:iCs w:val="false"/>
              </w:rPr>
              <w:t>.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0.3.5 - </w:t>
            </w:r>
            <w:r>
              <w:rPr>
                <w:rFonts w:eastAsia="Bitstream Vera Sans" w:cs="Bitstream Vera Sans"/>
                <w:color w:val="auto"/>
                <w:kern w:val="0"/>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Wenn in einer Organisation wichtige mobile Datenträger vorhanden sind, sollten wir sicherstellen, dass bei einem Ausfall/Verlust eines solchen Datenträgers die Prozesse wieder ans Laufen kommen – </w:t>
            </w:r>
            <w:r>
              <w:rPr>
                <w:rFonts w:eastAsia="Bitstream Vera Sans" w:cs="Bitstream Vera Sans"/>
                <w:color w:val="auto"/>
                <w:kern w:val="0"/>
                <w:sz w:val="20"/>
                <w:szCs w:val="24"/>
                <w:lang w:val="de-DE" w:eastAsia="en-US" w:bidi="en-US"/>
              </w:rPr>
              <w:t>„Wiederanlaufpläne“ für wichtige mobile Datenträger?!</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0.3.1: </w:t>
            </w: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0.3.5: Gleiche Lösung wie bei den Wiederanlaufplänen?! </w:t>
            </w:r>
            <w:r>
              <w:rPr>
                <w:rFonts w:eastAsia="Bitstream Vera Sans" w:cs="Bitstream Vera Sans"/>
                <w:color w:val="auto"/>
                <w:kern w:val="0"/>
                <w:sz w:val="20"/>
                <w:szCs w:val="24"/>
                <w:lang w:val="de-DE" w:eastAsia="en-US" w:bidi="en-US"/>
              </w:rPr>
              <w:t>Das wäre eine gute Lösung!</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11010</TotalTime>
  <Application>LibreOffice/24.2.4.2$Linux_X86_64 LibreOffice_project/51a6219feb6075d9a4c46691dcfe0cd9c4fff3c2</Application>
  <AppVersion>15.0000</AppVersion>
  <Pages>93</Pages>
  <Words>24951</Words>
  <Characters>169702</Characters>
  <CharactersWithSpaces>191051</CharactersWithSpaces>
  <Paragraphs>3606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2024-07-29T16:55:23Z</cp:lastPrinted>
  <dcterms:modified xsi:type="dcterms:W3CDTF">2024-07-29T18:44:14Z</dcterms:modified>
  <cp:revision>238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