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w:t>
      </w:r>
      <w:r>
        <w:rPr/>
        <w:t>4</w:t>
      </w:r>
      <w:r>
        <w:rPr/>
        <w:t xml:space="preserve"> vom </w:t>
      </w:r>
      <w:r>
        <w:rPr/>
        <w:t>29</w:t>
      </w:r>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0.3.4 vom 29.07.2024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58</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robustheit_71_Copy_1">
            <w:r>
              <w:rPr>
                <w:rStyle w:val="IndexLink"/>
              </w:rPr>
              <w:t>10.5.n1 Kryptografie</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68</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72</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75</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76</w:t>
            </w:r>
          </w:hyperlink>
        </w:p>
        <w:p>
          <w:pPr>
            <w:pStyle w:val="TOC2"/>
            <w:rPr/>
          </w:pPr>
          <w:hyperlink w:anchor="__RefHeading___weiterentwicklung_112">
            <w:r>
              <w:rPr>
                <w:rStyle w:val="IndexLink"/>
              </w:rPr>
              <w:t>16.4 Weiterentwicklung</w:t>
              <w:tab/>
              <w:t>78</w:t>
            </w:r>
          </w:hyperlink>
        </w:p>
        <w:p>
          <w:pPr>
            <w:pStyle w:val="TOC2"/>
            <w:rPr/>
          </w:pPr>
          <w:hyperlink w:anchor="__RefHeading___basisschutz_113">
            <w:r>
              <w:rPr>
                <w:rStyle w:val="IndexLink"/>
              </w:rPr>
              <w:t>16.5 Basisschutz</w:t>
              <w:tab/>
              <w:t>78</w:t>
            </w:r>
          </w:hyperlink>
        </w:p>
        <w:p>
          <w:pPr>
            <w:pStyle w:val="TOC3"/>
            <w:rPr/>
          </w:pPr>
          <w:hyperlink w:anchor="__RefHeading___is-richtlinie_106_Copy_1_">
            <w:r>
              <w:rPr>
                <w:rStyle w:val="IndexLink"/>
              </w:rPr>
              <w:t>16.5.n1 IT-Systeme für die Datensicherung und -wiederherstellung</w:t>
              <w:tab/>
              <w:t>79</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80</w:t>
            </w:r>
          </w:hyperlink>
        </w:p>
        <w:p>
          <w:pPr>
            <w:pStyle w:val="TOC3"/>
            <w:rPr/>
          </w:pPr>
          <w:hyperlink w:anchor="__RefHeading___aktive_netzwerkkomponent1">
            <w:r>
              <w:rPr>
                <w:rStyle w:val="IndexLink"/>
              </w:rPr>
              <w:t>16.5.3 Aktive Netzwerkkomponenten</w:t>
              <w:tab/>
              <w:t>80</w:t>
            </w:r>
          </w:hyperlink>
        </w:p>
        <w:p>
          <w:pPr>
            <w:pStyle w:val="TOC3"/>
            <w:rPr/>
          </w:pPr>
          <w:hyperlink w:anchor="__RefHeading___mobile_it-systeme_117">
            <w:r>
              <w:rPr>
                <w:rStyle w:val="IndexLink"/>
              </w:rPr>
              <w:t>16.5.4 Mobile IT-Systeme</w:t>
              <w:tab/>
              <w:t>80</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81</w:t>
            </w:r>
          </w:hyperlink>
        </w:p>
        <w:p>
          <w:pPr>
            <w:pStyle w:val="TOC1"/>
            <w:rPr/>
          </w:pPr>
          <w:hyperlink w:anchor="__RefHeading___stoerungen_und_ausfaelle_">
            <w:r>
              <w:rPr>
                <w:rStyle w:val="IndexLink"/>
              </w:rPr>
              <w:t>17 Sicherheitsvorfälle</w:t>
              <w:tab/>
              <w:t>81</w:t>
            </w:r>
          </w:hyperlink>
        </w:p>
        <w:p>
          <w:pPr>
            <w:pStyle w:val="TOC2"/>
            <w:rPr/>
          </w:pPr>
          <w:hyperlink w:anchor="__RefHeading___is-richtlinie_122">
            <w:r>
              <w:rPr>
                <w:rStyle w:val="IndexLink"/>
              </w:rPr>
              <w:t>17.1 IS-Richtlinie</w:t>
              <w:tab/>
              <w:t>82</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84</w:t>
            </w:r>
          </w:hyperlink>
        </w:p>
        <w:p>
          <w:pPr>
            <w:pStyle w:val="TOC2"/>
            <w:rPr/>
          </w:pPr>
          <w:hyperlink w:anchor="__RefHeading___zusaetzliche_massnahmen_a">
            <w:r>
              <w:rPr>
                <w:rStyle w:val="IndexLink"/>
              </w:rPr>
              <w:t>17.4 Zusätzliche Maßnahmen für wichtige IT-Systeme</w:t>
              <w:tab/>
              <w:t>86</w:t>
            </w:r>
          </w:hyperlink>
        </w:p>
        <w:p>
          <w:pPr>
            <w:pStyle w:val="TOC3"/>
            <w:rPr/>
          </w:pPr>
          <w:hyperlink w:anchor="__RefHeading___wiederanlaufplaene_125">
            <w:r>
              <w:rPr>
                <w:rStyle w:val="IndexLink"/>
              </w:rPr>
              <w:t>17.4.1 Wiederanlaufpläne</w:t>
              <w:tab/>
              <w:t>86</w:t>
            </w:r>
          </w:hyperlink>
        </w:p>
        <w:p>
          <w:pPr>
            <w:pStyle w:val="TOC3"/>
            <w:rPr/>
          </w:pPr>
          <w:hyperlink w:anchor="__RefHeading___abhaengigkeiten_126">
            <w:r>
              <w:rPr>
                <w:rStyle w:val="IndexLink"/>
              </w:rPr>
              <w:t>17.4.2 Abhängigkeiten</w:t>
              <w:tab/>
              <w:t>87</w:t>
            </w:r>
          </w:hyperlink>
        </w:p>
        <w:p>
          <w:pPr>
            <w:pStyle w:val="TOC1"/>
            <w:rPr/>
          </w:pPr>
          <w:hyperlink w:anchor="__RefHeading___anhang_a_131">
            <w:r>
              <w:rPr>
                <w:rStyle w:val="IndexLink"/>
              </w:rPr>
              <w:t>Anhang A</w:t>
              <w:tab/>
              <w:t>88</w:t>
            </w:r>
          </w:hyperlink>
        </w:p>
        <w:p>
          <w:pPr>
            <w:pStyle w:val="TOC2"/>
            <w:rPr/>
          </w:pPr>
          <w:hyperlink w:anchor="__RefHeading___a_1_verfahren_132">
            <w:r>
              <w:rPr>
                <w:rStyle w:val="IndexLink"/>
              </w:rPr>
              <w:t>A 1 Verfahren</w:t>
              <w:tab/>
              <w:t>88</w:t>
            </w:r>
          </w:hyperlink>
        </w:p>
        <w:p>
          <w:pPr>
            <w:pStyle w:val="TOC2"/>
            <w:rPr/>
          </w:pPr>
          <w:hyperlink w:anchor="__RefHeading___a_2_risikoanalyse_und_-be">
            <w:r>
              <w:rPr>
                <w:rStyle w:val="IndexLink"/>
              </w:rPr>
              <w:t>A 2 Risikomanagement</w:t>
              <w:tab/>
              <w:t>89</w:t>
            </w:r>
          </w:hyperlink>
        </w:p>
        <w:p>
          <w:pPr>
            <w:pStyle w:val="TOC3"/>
            <w:rPr/>
          </w:pPr>
          <w:hyperlink w:anchor="__RefHeading___a_2.1_risikoanalyse_134_C">
            <w:r>
              <w:rPr>
                <w:rStyle w:val="IndexLink"/>
              </w:rPr>
              <w:t>A 2.1 Methodik</w:t>
              <w:tab/>
              <w:t>89</w:t>
            </w:r>
          </w:hyperlink>
        </w:p>
        <w:p>
          <w:pPr>
            <w:pStyle w:val="TOC3"/>
            <w:rPr/>
          </w:pPr>
          <w:hyperlink w:anchor="__RefHeading___a_2.1_risikoanalyse_134">
            <w:r>
              <w:rPr>
                <w:rStyle w:val="IndexLink"/>
              </w:rPr>
              <w:t>A 2.2 Risikoanalyse</w:t>
              <w:tab/>
              <w:t>90</w:t>
            </w:r>
          </w:hyperlink>
        </w:p>
        <w:p>
          <w:pPr>
            <w:pStyle w:val="TOC3"/>
            <w:rPr/>
          </w:pPr>
          <w:hyperlink w:anchor="__RefHeading___a_2.2_risikobehandlung_13">
            <w:r>
              <w:rPr>
                <w:rStyle w:val="IndexLink"/>
              </w:rPr>
              <w:t>A 2.3 Risikobehandlung</w:t>
              <w:tab/>
              <w:t>91</w:t>
            </w:r>
          </w:hyperlink>
        </w:p>
        <w:p>
          <w:pPr>
            <w:pStyle w:val="TOC3"/>
            <w:rPr/>
          </w:pPr>
          <w:hyperlink w:anchor="__RefHeading___a_2.3_wiederholung_und_an">
            <w:r>
              <w:rPr>
                <w:rStyle w:val="IndexLink"/>
              </w:rPr>
              <w:t>A 2.4 Wiederholung und Anpassung</w:t>
              <w:tab/>
              <w:t>92</w:t>
            </w:r>
          </w:hyperlink>
        </w:p>
        <w:p>
          <w:pPr>
            <w:pStyle w:val="TOC3"/>
            <w:rPr/>
          </w:pPr>
          <w:hyperlink w:anchor="__RefHeading___a_2.3_wiederholung_und_a1">
            <w:r>
              <w:rPr>
                <w:rStyle w:val="IndexLink"/>
              </w:rPr>
              <w:t>A 2.5 Überwachung</w:t>
              <w:tab/>
              <w:t>92</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strike/>
        </w:rPr>
      </w:pPr>
      <w:bookmarkStart w:id="102" w:name="__RefHeading___it-systeme_50_Copy_1"/>
      <w:bookmarkEnd w:id="102"/>
      <w:r>
        <w:rPr>
          <w:strike/>
        </w:rPr>
        <w:t>N</w:t>
      </w:r>
      <w:bookmarkStart w:id="103" w:name="it-systeme_Copy_1"/>
      <w:r>
        <w:rPr>
          <w:strike/>
        </w:rPr>
        <w:t xml:space="preserve">10 </w:t>
      </w:r>
      <w:bookmarkEnd w:id="103"/>
      <w:r>
        <w:rPr>
          <w:strike/>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Entscheidung </w:t>
            </w:r>
            <w:r>
              <w:rPr>
                <w:rFonts w:eastAsia="Bitstream Vera Sans" w:cs="Bitstream Vera Sans"/>
                <w:b/>
                <w:bCs/>
                <w:color w:val="auto"/>
                <w:kern w:val="0"/>
                <w:sz w:val="20"/>
                <w:szCs w:val="24"/>
                <w:lang w:val="de-DE" w:eastAsia="en-US" w:bidi="en-US"/>
              </w:rPr>
              <w:t>Team-Meeting am 29.07.2024</w:t>
            </w:r>
            <w:r>
              <w:rPr>
                <w:rFonts w:eastAsia="Bitstream Vera Sans" w:cs="Bitstream Vera Sans"/>
                <w:b/>
                <w:bCs/>
                <w:color w:val="auto"/>
                <w:kern w:val="0"/>
                <w:sz w:val="20"/>
                <w:szCs w:val="24"/>
                <w:lang w:val="de-DE" w:eastAsia="en-US" w:bidi="en-US"/>
              </w:rPr>
              <w:t>:</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Die </w:t>
            </w:r>
            <w:r>
              <w:rPr>
                <w:rFonts w:eastAsia="Bitstream Vera Sans" w:cs="Bitstream Vera Sans"/>
                <w:b/>
                <w:bCs/>
                <w:color w:val="auto"/>
                <w:kern w:val="0"/>
                <w:sz w:val="20"/>
                <w:szCs w:val="24"/>
                <w:lang w:val="de-DE" w:eastAsia="en-US" w:bidi="en-US"/>
              </w:rPr>
              <w:t xml:space="preserve">in NIS-2 geforderten </w:t>
            </w:r>
            <w:r>
              <w:rPr>
                <w:rFonts w:eastAsia="Bitstream Vera Sans" w:cs="Bitstream Vera Sans"/>
                <w:b/>
                <w:bCs/>
                <w:color w:val="auto"/>
                <w:kern w:val="0"/>
                <w:sz w:val="20"/>
                <w:szCs w:val="24"/>
                <w:lang w:val="de-DE" w:eastAsia="en-US" w:bidi="en-US"/>
              </w:rPr>
              <w:t xml:space="preserve">„Konzepte und Verfahren zum Einsatz von Kryptografie und Verschlüsselung“ </w:t>
            </w:r>
            <w:r>
              <w:rPr>
                <w:rFonts w:eastAsia="Bitstream Vera Sans" w:cs="Bitstream Vera Sans"/>
                <w:b/>
                <w:bCs/>
                <w:color w:val="auto"/>
                <w:kern w:val="0"/>
                <w:sz w:val="20"/>
                <w:szCs w:val="24"/>
                <w:lang w:val="de-DE" w:eastAsia="en-US" w:bidi="en-US"/>
              </w:rPr>
              <w:t>werden wir in Kapitel 10 und 11 aufnehmen. Dieses Kapitel wäre ansonsten ziemlich schnell eine Übererfüllung von NIS-2.</w:t>
            </w:r>
          </w:p>
          <w:p>
            <w:pPr>
              <w:pStyle w:val="Normal"/>
              <w:bidi w:val="0"/>
              <w:jc w:val="start"/>
              <w:rPr>
                <w:rFonts w:ascii="Arial" w:hAnsi="Arial" w:eastAsia="Bitstream Vera Sans" w:cs="Bitstream Vera Sans"/>
                <w:color w:val="auto"/>
                <w:kern w:val="0"/>
                <w:sz w:val="20"/>
                <w:szCs w:val="24"/>
                <w:lang w:val="de-DE" w:eastAsia="en-US" w:bidi="en-US"/>
              </w:rPr>
            </w:pPr>
            <w:r>
              <w:rPr/>
            </w:r>
          </w:p>
          <w:p>
            <w:pPr>
              <w:pStyle w:val="TableContents"/>
              <w:numPr>
                <w:ilvl w:val="0"/>
                <w:numId w:val="1"/>
              </w:numPr>
              <w:bidi w:val="0"/>
              <w:ind w:hanging="0" w:start="0"/>
              <w:jc w:val="start"/>
              <w:rPr/>
            </w:pPr>
            <w:r>
              <w:rPr>
                <w:rFonts w:eastAsia="Bitstream Vera Sans" w:cs="Bitstream Vera Sans"/>
                <w:color w:val="auto"/>
                <w:kern w:val="0"/>
                <w:sz w:val="20"/>
                <w:szCs w:val="24"/>
                <w:lang w:val="de-DE" w:eastAsia="en-US" w:bidi="en-US"/>
              </w:rPr>
              <w:t>- besonders schützenswert, weil besonders vertraulich →</w:t>
            </w:r>
            <w:r>
              <w:rPr/>
              <w:t xml:space="preserve"> Kryptografie</w:t>
            </w:r>
          </w:p>
          <w:p>
            <w:pPr>
              <w:pStyle w:val="TableContents"/>
              <w:numPr>
                <w:ilvl w:val="0"/>
                <w:numId w:val="1"/>
              </w:numPr>
              <w:bidi w:val="0"/>
              <w:ind w:hanging="0" w:start="0"/>
              <w:jc w:val="start"/>
              <w:rPr/>
            </w:pPr>
            <w:r>
              <w:rPr/>
              <w:t xml:space="preserve">- besonders schützenswert, weil besondere Ansprüche an die Integrität </w:t>
            </w:r>
            <w:r>
              <w:rPr>
                <w:rFonts w:eastAsia="Bitstream Vera Sans" w:cs="Bitstream Vera Sans"/>
                <w:color w:val="auto"/>
                <w:kern w:val="0"/>
                <w:sz w:val="20"/>
                <w:szCs w:val="24"/>
                <w:lang w:val="de-DE" w:eastAsia="en-US" w:bidi="en-US"/>
              </w:rPr>
              <w:t>→</w:t>
            </w:r>
            <w:r>
              <w:rPr/>
              <w:t xml:space="preserve"> Hashing</w:t>
            </w:r>
          </w:p>
          <w:p>
            <w:pPr>
              <w:pStyle w:val="TableContents"/>
              <w:numPr>
                <w:ilvl w:val="0"/>
                <w:numId w:val="1"/>
              </w:numPr>
              <w:bidi w:val="0"/>
              <w:ind w:hanging="0" w:start="0"/>
              <w:jc w:val="start"/>
              <w:rPr/>
            </w:pPr>
            <w:r>
              <w:rPr>
                <w:rFonts w:eastAsia="Bitstream Vera Sans" w:cs="Bitstream Vera Sans"/>
                <w:b/>
                <w:bCs/>
                <w:color w:val="auto"/>
                <w:kern w:val="0"/>
                <w:sz w:val="20"/>
                <w:szCs w:val="24"/>
                <w:lang w:val="de-DE" w:eastAsia="en-US" w:bidi="en-US"/>
              </w:rPr>
              <w:t>- besonders schützenswert, weil besondere Ansprüche an die Verfügbarkeit → Redundanz (?)</w:t>
            </w:r>
          </w:p>
        </w:tc>
      </w:tr>
    </w:tbl>
    <w:p>
      <w:pPr>
        <w:pStyle w:val="Heading2"/>
        <w:keepNext w:val="true"/>
        <w:widowControl w:val="false"/>
        <w:numPr>
          <w:ilvl w:val="1"/>
          <w:numId w:val="1"/>
        </w:numPr>
        <w:tabs>
          <w:tab w:val="clear" w:pos="709"/>
          <w:tab w:val="left" w:pos="0" w:leader="none"/>
        </w:tabs>
        <w:suppressAutoHyphens w:val="true"/>
        <w:overflowPunct w:val="false"/>
        <w:bidi w:val="0"/>
        <w:spacing w:before="240" w:after="120"/>
        <w:ind w:hanging="0" w:start="0"/>
        <w:jc w:val="start"/>
        <w:rPr/>
      </w:pPr>
      <w:r>
        <w:rPr/>
      </w:r>
    </w:p>
    <w:p>
      <w:pPr>
        <w:pStyle w:val="Heading1"/>
        <w:numPr>
          <w:ilvl w:val="0"/>
          <w:numId w:val="1"/>
        </w:numPr>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 xml:space="preserve">10.2.n1 </w:t>
      </w:r>
      <w:bookmarkEnd w:id="111"/>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1"/>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10.n1 Zusätzliche Maßnahmen für wichtige IT-Systeme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4" w:name="__RefHeading___dokumentation_74_Copy_1"/>
      <w:bookmarkStart w:id="145" w:name="dokumentation_Copy_1"/>
      <w:bookmarkEnd w:id="144"/>
      <w:r>
        <w:rPr/>
        <w:t>10.n1.1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_Copy_1"/>
      <w:bookmarkStart w:id="147" w:name="datensicherung_Copy_1"/>
      <w:bookmarkEnd w:id="146"/>
      <w:r>
        <w:rPr/>
        <w:t>10.n1.2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_Copy_1"/>
      <w:bookmarkStart w:id="149" w:name="ueberwachung_Copy_1"/>
      <w:bookmarkEnd w:id="148"/>
      <w:r>
        <w:rPr/>
        <w:t>10.n1.3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0" w:name="__RefHeading___zusaetzliche_massnahmen_2"/>
      <w:bookmarkStart w:id="151" w:name="zusaetzliche_massnahmen_fuer_kritische_1"/>
      <w:bookmarkEnd w:id="150"/>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2" w:name="__RefHeading___notbetriebsniveau_70"/>
      <w:bookmarkStart w:id="153" w:name="notbetriebsniveau"/>
      <w:bookmarkEnd w:id="152"/>
      <w:r>
        <w:rPr/>
        <w:t>10.5.1 Notbetriebsniveau</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4" w:name="__RefHeading___robustheit_71"/>
      <w:bookmarkStart w:id="155" w:name="robustheit"/>
      <w:bookmarkEnd w:id="154"/>
      <w:r>
        <w:rPr/>
        <w:t>10.5.2 Robustheit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robustheit_71_Copy_1"/>
      <w:bookmarkStart w:id="157" w:name="robustheit_Copy_1"/>
      <w:bookmarkEnd w:id="156"/>
      <w:r>
        <w:rPr/>
        <w:t>10.5.</w:t>
      </w:r>
      <w:r>
        <w:rPr/>
        <w:t>n1</w:t>
      </w:r>
      <w:r>
        <w:rPr/>
        <w:t xml:space="preserve"> </w:t>
      </w:r>
      <w:bookmarkEnd w:id="157"/>
      <w:r>
        <w:rPr/>
        <w:t>Kryptografie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2 Copy 1 Copy 2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Entscheidung </w:t>
            </w:r>
            <w:r>
              <w:rPr>
                <w:rFonts w:eastAsia="Bitstream Vera Sans" w:cs="Bitstream Vera Sans"/>
                <w:b/>
                <w:bCs/>
                <w:color w:val="auto"/>
                <w:kern w:val="0"/>
                <w:sz w:val="20"/>
                <w:szCs w:val="24"/>
                <w:lang w:val="de-DE" w:eastAsia="en-US" w:bidi="en-US"/>
              </w:rPr>
              <w:t>Team-Meeting am 29.07.2024</w:t>
            </w:r>
            <w:r>
              <w:rPr>
                <w:rFonts w:eastAsia="Bitstream Vera Sans" w:cs="Bitstream Vera Sans"/>
                <w:b/>
                <w:bCs/>
                <w:color w:val="auto"/>
                <w:kern w:val="0"/>
                <w:sz w:val="20"/>
                <w:szCs w:val="24"/>
                <w:lang w:val="de-DE" w:eastAsia="en-US" w:bidi="en-US"/>
              </w:rPr>
              <w:t>:</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 xml:space="preserve">Die </w:t>
            </w:r>
            <w:r>
              <w:rPr>
                <w:rFonts w:eastAsia="Bitstream Vera Sans" w:cs="Bitstream Vera Sans"/>
                <w:b/>
                <w:bCs/>
                <w:color w:val="auto"/>
                <w:kern w:val="0"/>
                <w:sz w:val="20"/>
                <w:szCs w:val="24"/>
                <w:lang w:val="de-DE" w:eastAsia="en-US" w:bidi="en-US"/>
              </w:rPr>
              <w:t xml:space="preserve">in NIS-2 geforderten </w:t>
            </w:r>
            <w:r>
              <w:rPr>
                <w:rFonts w:eastAsia="Bitstream Vera Sans" w:cs="Bitstream Vera Sans"/>
                <w:b/>
                <w:bCs/>
                <w:color w:val="auto"/>
                <w:kern w:val="0"/>
                <w:sz w:val="20"/>
                <w:szCs w:val="24"/>
                <w:lang w:val="de-DE" w:eastAsia="en-US" w:bidi="en-US"/>
              </w:rPr>
              <w:t xml:space="preserve">„Konzepte und Verfahren zum Einsatz von Kryptografie und Verschlüsselung“ </w:t>
            </w:r>
            <w:r>
              <w:rPr>
                <w:rFonts w:eastAsia="Bitstream Vera Sans" w:cs="Bitstream Vera Sans"/>
                <w:b/>
                <w:bCs/>
                <w:color w:val="auto"/>
                <w:kern w:val="0"/>
                <w:sz w:val="20"/>
                <w:szCs w:val="24"/>
                <w:lang w:val="de-DE" w:eastAsia="en-US" w:bidi="en-US"/>
              </w:rPr>
              <w:t>werden wir in Kapitel 10 und 11 aufnehmen.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 xml:space="preserve">Im Zuge der </w:t>
            </w:r>
            <w:r>
              <w:rPr>
                <w:rStyle w:val="Emphasis"/>
                <w:i w:val="false"/>
                <w:iCs w:val="false"/>
              </w:rPr>
              <w:t xml:space="preserve">Risikoanalyse und -behandlung (siehe </w:t>
            </w:r>
            <w:r>
              <w:rPr>
                <w:rStyle w:val="Emphasis"/>
                <w:i w:val="false"/>
                <w:iCs w:val="false"/>
              </w:rPr>
              <w:t xml:space="preserve">Abschnitt </w:t>
            </w:r>
            <w:r>
              <w:rPr>
                <w:rStyle w:val="Emphasis"/>
                <w:i w:val="false"/>
                <w:iCs w:val="false"/>
              </w:rPr>
              <w:t xml:space="preserve">10.n1) </w:t>
            </w:r>
            <w:r>
              <w:rPr>
                <w:rStyle w:val="Emphasis"/>
                <w:i w:val="false"/>
                <w:iCs w:val="false"/>
              </w:rPr>
              <w:t xml:space="preserve">MUSS </w:t>
            </w:r>
            <w:r>
              <w:rPr>
                <w:rStyle w:val="Emphasis"/>
                <w:i w:val="false"/>
                <w:iCs w:val="false"/>
              </w:rPr>
              <w:t xml:space="preserve">festgelegt werden, welche Informationen auf </w:t>
            </w:r>
            <w:r>
              <w:rPr>
                <w:rStyle w:val="Emphasis"/>
                <w:i w:val="false"/>
                <w:iCs w:val="false"/>
              </w:rPr>
              <w:t>den IT-Systemen</w:t>
            </w:r>
            <w:r>
              <w:rPr>
                <w:rStyle w:val="Emphasis"/>
                <w:i w:val="false"/>
                <w:iCs w:val="false"/>
              </w:rPr>
              <w:t xml:space="preserve">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1"/>
        </w:numPr>
        <w:tabs>
          <w:tab w:val="clear" w:pos="709"/>
          <w:tab w:val="left" w:pos="0" w:leader="none"/>
        </w:tabs>
        <w:bidi w:val="0"/>
        <w:ind w:hanging="0" w:start="0"/>
        <w:jc w:val="start"/>
        <w:rPr/>
      </w:pPr>
      <w:bookmarkStart w:id="158" w:name="__RefHeading___externe_schnittstellen_u1"/>
      <w:bookmarkStart w:id="159" w:name="externe_schnittstellen_und_laufwerke1"/>
      <w:bookmarkEnd w:id="158"/>
      <w:r>
        <w:rPr/>
        <w:t>10.5.3 Externe Schnittstellen und Laufwerke</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aenderungsmanagement_73"/>
      <w:bookmarkStart w:id="161" w:name="aenderungsmanagement"/>
      <w:bookmarkEnd w:id="160"/>
      <w:r>
        <w:rPr/>
        <w:t>10.5.4 Änderungsmanagement</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10.5.5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10.5.6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6" w:name="__RefHeading___netzwerke_und_verbindung1"/>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Diese Anforderung sollten wir verschärfen, weil F</w:t>
            </w:r>
            <w:r>
              <w:rPr>
                <w:rFonts w:eastAsia="Bitstream Vera Sans" w:cs="Bitstream Vera Sans"/>
                <w:color w:val="auto"/>
                <w:kern w:val="0"/>
                <w:sz w:val="20"/>
                <w:szCs w:val="24"/>
                <w:lang w:val="de-DE" w:eastAsia="en-US" w:bidi="en-US"/>
              </w:rPr>
              <w:t>r</w:t>
            </w:r>
            <w:r>
              <w:rPr/>
              <w:t>emote-Zugriffe sich in den letzten Jahren immer wieder als ein großes Einfallstor erwiesen haben. Wir sollten E1 in ein MUSS umwandeln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MFA wird von NIS-2 umfassend gefordert. Hier sollten wir eher ein MUSS gestalten und die Maßnahmen durch eine RA abschwächen lassen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14.4 Zusätzliche Maßnahmen für wichtige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6"/>
      <w:bookmarkStart w:id="217" w:name="zusaetzliche_massnahmen_fuer_kritische_4"/>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0" w:name="__RefHeading___is-richtlinie_106_Copy_1_"/>
      <w:bookmarkStart w:id="231" w:name="is-richtlinie3_Copy_1"/>
      <w:bookmarkEnd w:id="230"/>
      <w:r>
        <w:rPr/>
        <w:t>16.5.n1 I</w:t>
      </w:r>
      <w:bookmarkEnd w:id="231"/>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7"/>
      <w:bookmarkStart w:id="241" w:name="zusaetzliche_massnahmen_fuer_kritische_5"/>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numPr>
                <w:ilvl w:val="0"/>
                <w:numId w:val="0"/>
              </w:numPr>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4" w:name="__RefHeading___zusaetzliche_massnahmen_a"/>
      <w:bookmarkStart w:id="255" w:name="zusaetzliche_massnahmen_fuer_kritische_7"/>
      <w:bookmarkEnd w:id="254"/>
      <w:r>
        <w:rPr/>
        <w:t>17.4 Zusätzliche Maßnahmen für wichtige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Copy 2 Copy 1 Copy 1 Copy 1 Copy 2 Copy 2"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Auftsellung der zwingend benötigten Ressourcen. Im falle eines Falles nutzt die Aufstellung aber ggf. wenig. Es muss vielmehjr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Er stellt sicher, dass im Falle eines Wiederanlaufs alle benötigten Informationen wie Authentifizierungsmerkmale, kryptografische Schlüssel oder Lizenzinformationen zur Verfügung 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ToDo:</w:t>
            </w:r>
          </w:p>
          <w:p>
            <w:pPr>
              <w:pStyle w:val="TableContents"/>
              <w:bidi w:val="0"/>
              <w:jc w:val="start"/>
              <w:rPr/>
            </w:pPr>
            <w:r>
              <w:rPr/>
              <w:t xml:space="preserve">Um die Anzahl der Verfahren zu begrenzen müssen Wiederanlaufpläne und Verfahren logisch getrennt werden. Ein Verfahren kann mehrere Wiederanlaufpläne </w:t>
            </w:r>
            <w:r>
              <w:rPr>
                <w:rFonts w:eastAsia="Bitstream Vera Sans" w:cs="Bitstream Vera Sans"/>
                <w:color w:val="auto"/>
                <w:kern w:val="0"/>
                <w:sz w:val="20"/>
                <w:szCs w:val="24"/>
                <w:lang w:val="de-DE" w:eastAsia="en-US" w:bidi="en-US"/>
              </w:rPr>
              <w:t>„</w:t>
            </w:r>
            <w:r>
              <w:rPr/>
              <w:t>steuern</w:t>
            </w:r>
            <w:r>
              <w:rPr>
                <w:rFonts w:eastAsia="Bitstream Vera Sans" w:cs="Bitstream Vera Sans"/>
                <w:color w:val="auto"/>
                <w:kern w:val="0"/>
                <w:sz w:val="20"/>
                <w:szCs w:val="24"/>
                <w:lang w:val="de-DE" w:eastAsia="en-US" w:bidi="en-US"/>
              </w:rPr>
              <w:t>“ bzw. mehrere Wiederanlaufpläne beinhalten</w:t>
            </w:r>
            <w:r>
              <w:rPr/>
              <w:t>. Die Prüfung des Verfahrens kann dann mithilfe einer Stichprobe durchgeführt werden. Ein Verfahren kann für mehrere Wiederanlaufpläne gelten.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Es KÖNNEN mehrere Wiederanlaufpläne in</w:t>
            </w:r>
          </w:p>
        </w:tc>
      </w:tr>
    </w:tbl>
    <w:p>
      <w:pPr>
        <w:pStyle w:val="Heading3"/>
        <w:numPr>
          <w:ilvl w:val="2"/>
          <w:numId w:val="1"/>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1"/>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2"/>
      <w:headerReference w:type="default" r:id="rId23"/>
      <w:headerReference w:type="first" r:id="rId24"/>
      <w:footerReference w:type="even" r:id="rId25"/>
      <w:footerReference w:type="default" r:id="rId26"/>
      <w:footerReference w:type="first" r:id="rId27"/>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92</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92</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10958</TotalTime>
  <Application>LibreOffice/24.2.4.2$Linux_X86_64 LibreOffice_project/51a6219feb6075d9a4c46691dcfe0cd9c4fff3c2</Application>
  <AppVersion>15.0000</AppVersion>
  <Pages>92</Pages>
  <Words>24776</Words>
  <Characters>168436</Characters>
  <CharactersWithSpaces>189619</CharactersWithSpaces>
  <Paragraphs>3592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2024-07-29T14:08:02Z</cp:lastPrinted>
  <dcterms:modified xsi:type="dcterms:W3CDTF">2024-07-29T16:55:19Z</dcterms:modified>
  <cp:revision>233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