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5" w:type="dxa"/>
        <w:tblLayout w:type="fixed"/>
        <w:tblCellMar>
          <w:top w:w="55" w:type="dxa"/>
          <w:start w:w="55" w:type="dxa"/>
          <w:bottom w:w="55" w:type="dxa"/>
          <w:end w:w="55" w:type="dxa"/>
        </w:tblCellMar>
      </w:tblPr>
      <w:tblGrid>
        <w:gridCol w:w="1874"/>
        <w:gridCol w:w="13829"/>
      </w:tblGrid>
      <w:tr>
        <w:trPr/>
        <w:tc>
          <w:tcPr>
            <w:tcW w:w="1874"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29"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4"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29"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4" w:type="dxa"/>
            <w:tcBorders>
              <w:start w:val="single" w:sz="4" w:space="0" w:color="000000"/>
              <w:bottom w:val="single" w:sz="4" w:space="0" w:color="000000"/>
            </w:tcBorders>
            <w:shd w:fill="FFFF99" w:val="clear"/>
          </w:tcPr>
          <w:p>
            <w:pPr>
              <w:pStyle w:val="TableContents"/>
              <w:jc w:val="center"/>
              <w:rPr/>
            </w:pPr>
            <w:r>
              <w:rPr/>
              <w:t>vermeidbar</w:t>
            </w:r>
          </w:p>
        </w:tc>
        <w:tc>
          <w:tcPr>
            <w:tcW w:w="13829"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10"/>
        <w:gridCol w:w="6472"/>
        <w:gridCol w:w="1414"/>
        <w:gridCol w:w="1351"/>
        <w:gridCol w:w="1649"/>
      </w:tblGrid>
      <w:tr>
        <w:trPr>
          <w:tblHeader w:val="true"/>
        </w:trPr>
        <w:tc>
          <w:tcPr>
            <w:tcW w:w="4810"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2"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10"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6472"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1"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49"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10" w:type="dxa"/>
            <w:tcBorders>
              <w:start w:val="single" w:sz="4" w:space="0" w:color="000000"/>
              <w:bottom w:val="single" w:sz="4" w:space="0" w:color="000000"/>
            </w:tcBorders>
          </w:tcPr>
          <w:p>
            <w:pPr>
              <w:pStyle w:val="TableContents"/>
              <w:rPr/>
            </w:pPr>
            <w:r>
              <w:rPr/>
              <w:t>10.1 IT-Systeme → Inventarisierung</w:t>
            </w:r>
          </w:p>
        </w:tc>
        <w:tc>
          <w:tcPr>
            <w:tcW w:w="6472"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10.3 IT-Systeme → Basisschutz</w:t>
            </w:r>
          </w:p>
        </w:tc>
        <w:tc>
          <w:tcPr>
            <w:tcW w:w="6472"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tcBorders>
              <w:start w:val="single" w:sz="4" w:space="0" w:color="000000"/>
              <w:bottom w:val="single" w:sz="4" w:space="0" w:color="000000"/>
            </w:tcBorders>
          </w:tcPr>
          <w:p>
            <w:pPr>
              <w:pStyle w:val="TableContents"/>
              <w:rPr/>
            </w:pPr>
            <w:r>
              <w:rPr/>
              <w:t>10.2.1 IT-Systeme → Inbetriebnahme und Änderung</w:t>
            </w:r>
          </w:p>
        </w:tc>
        <w:tc>
          <w:tcPr>
            <w:tcW w:w="6472"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2"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2"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2"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2"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2"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2"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2"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13.2 Umgebung → Datenleitungen</w:t>
            </w:r>
          </w:p>
        </w:tc>
        <w:tc>
          <w:tcPr>
            <w:tcW w:w="6472"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13.3 Umgebung → Zusätzliche Maßnahmen für wichtigen IT-Systeme</w:t>
            </w:r>
          </w:p>
        </w:tc>
        <w:tc>
          <w:tcPr>
            <w:tcW w:w="6472"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14.2 IT-Outsourcing und Cloud Computing → Vorbereitung</w:t>
            </w:r>
          </w:p>
        </w:tc>
        <w:tc>
          <w:tcPr>
            <w:tcW w:w="6472"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14.3 IT-Outsourcing und Cloud Computing → Vertragsgestaltung</w:t>
            </w:r>
          </w:p>
        </w:tc>
        <w:tc>
          <w:tcPr>
            <w:tcW w:w="6472"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2"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t>noch unklar</w:t>
            </w:r>
          </w:p>
        </w:tc>
        <w:tc>
          <w:tcPr>
            <w:tcW w:w="1649"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10" w:type="dxa"/>
            <w:tcBorders>
              <w:start w:val="single" w:sz="4" w:space="0" w:color="000000"/>
              <w:bottom w:val="single" w:sz="4" w:space="0" w:color="000000"/>
            </w:tcBorders>
          </w:tcPr>
          <w:p>
            <w:pPr>
              <w:pStyle w:val="TableContents"/>
              <w:rPr/>
            </w:pPr>
            <w:r>
              <w:rPr/>
              <w:t>15.1 Zugänge und Zugriffsrechte → Verwaltung</w:t>
            </w:r>
          </w:p>
        </w:tc>
        <w:tc>
          <w:tcPr>
            <w:tcW w:w="6472"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2"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restart"/>
            <w:tcBorders>
              <w:start w:val="single" w:sz="4" w:space="0" w:color="000000"/>
              <w:bottom w:val="single" w:sz="4" w:space="0" w:color="000000"/>
            </w:tcBorders>
          </w:tcPr>
          <w:p>
            <w:pPr>
              <w:pStyle w:val="TableContents"/>
              <w:rPr/>
            </w:pPr>
            <w:r>
              <w:rPr/>
              <w:t>16.5 Datensicherung → Basisschutz</w:t>
            </w:r>
          </w:p>
        </w:tc>
        <w:tc>
          <w:tcPr>
            <w:tcW w:w="6472"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2"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2"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w:t>
      </w:r>
      <w:r>
        <w:rPr/>
        <w:t>3.0</w:t>
      </w:r>
      <w:r>
        <w:rPr/>
        <w:t xml:space="preserve"> vom 10.07.2024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0.3.0 vom 10.07.2024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32</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37</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41</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46</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47</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48</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51</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54</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55</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56</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57</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58</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externe_schnittstellen_u1">
            <w:r>
              <w:rPr>
                <w:rStyle w:val="IndexLink"/>
              </w:rPr>
              <w:t>10.5.3 Externe Schnittstellen und Laufwerke</w:t>
              <w:tab/>
              <w:t>59</w:t>
            </w:r>
          </w:hyperlink>
        </w:p>
        <w:p>
          <w:pPr>
            <w:pStyle w:val="TOC3"/>
            <w:rPr/>
          </w:pPr>
          <w:hyperlink w:anchor="__RefHeading___aenderungsmanagement_73">
            <w:r>
              <w:rPr>
                <w:rStyle w:val="IndexLink"/>
              </w:rPr>
              <w:t>10.5.4 Änderungsmanagement</w:t>
              <w:tab/>
              <w:t>59</w:t>
            </w:r>
          </w:hyperlink>
        </w:p>
        <w:p>
          <w:pPr>
            <w:pStyle w:val="TOC3"/>
            <w:rPr/>
          </w:pPr>
          <w:hyperlink w:anchor="__RefHeading___ersatzsysteme_und_-verfah">
            <w:r>
              <w:rPr>
                <w:rStyle w:val="IndexLink"/>
              </w:rPr>
              <w:t>10.5.5 Ersatzsysteme und -verfahren</w:t>
              <w:tab/>
              <w:t>60</w:t>
            </w:r>
          </w:hyperlink>
        </w:p>
        <w:p>
          <w:pPr>
            <w:pStyle w:val="TOC3"/>
            <w:rPr/>
          </w:pPr>
          <w:hyperlink w:anchor="__RefHeading___kritische_individualsoftw">
            <w:r>
              <w:rPr>
                <w:rStyle w:val="IndexLink"/>
              </w:rPr>
              <w:t>10.5.6 Besonders schützenswerte Individualsoftware</w:t>
              <w:tab/>
              <w:t>60</w:t>
            </w:r>
          </w:hyperlink>
        </w:p>
        <w:p>
          <w:pPr>
            <w:pStyle w:val="TOC1"/>
            <w:rPr/>
          </w:pPr>
          <w:hyperlink w:anchor="__RefHeading___netzwerke_und_verbindung1">
            <w:r>
              <w:rPr>
                <w:rStyle w:val="IndexLink"/>
              </w:rPr>
              <w:t>11 Netzwerke und Verbindungen</w:t>
              <w:tab/>
              <w:t>60</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61</w:t>
            </w:r>
          </w:hyperlink>
        </w:p>
        <w:p>
          <w:pPr>
            <w:pStyle w:val="TOC2"/>
            <w:rPr/>
          </w:pPr>
          <w:hyperlink w:anchor="__RefHeading___netzuebergaenge_82">
            <w:r>
              <w:rPr>
                <w:rStyle w:val="IndexLink"/>
              </w:rPr>
              <w:t>11.3 Netzübergänge</w:t>
              <w:tab/>
              <w:t>61</w:t>
            </w:r>
          </w:hyperlink>
        </w:p>
        <w:p>
          <w:pPr>
            <w:pStyle w:val="TOC2"/>
            <w:rPr/>
          </w:pPr>
          <w:hyperlink w:anchor="__RefHeading___basisschutz_83">
            <w:r>
              <w:rPr>
                <w:rStyle w:val="IndexLink"/>
              </w:rPr>
              <w:t>11.4 Basisschutz</w:t>
              <w:tab/>
              <w:t>62</w:t>
            </w:r>
          </w:hyperlink>
        </w:p>
        <w:p>
          <w:pPr>
            <w:pStyle w:val="TOC3"/>
            <w:rPr/>
          </w:pPr>
          <w:hyperlink w:anchor="__RefHeading___netzwerkanschluesse_84">
            <w:r>
              <w:rPr>
                <w:rStyle w:val="IndexLink"/>
              </w:rPr>
              <w:t>11.4.1 Netzwerkanschlüsse</w:t>
              <w:tab/>
              <w:t>63</w:t>
            </w:r>
          </w:hyperlink>
        </w:p>
        <w:p>
          <w:pPr>
            <w:pStyle w:val="TOC3"/>
            <w:rPr/>
          </w:pPr>
          <w:hyperlink w:anchor="__RefHeading___segmentierung_85">
            <w:r>
              <w:rPr>
                <w:rStyle w:val="IndexLink"/>
              </w:rPr>
              <w:t>11.4.2 Segmentierung</w:t>
              <w:tab/>
              <w:t>63</w:t>
            </w:r>
          </w:hyperlink>
        </w:p>
        <w:p>
          <w:pPr>
            <w:pStyle w:val="TOC3"/>
            <w:rPr/>
          </w:pPr>
          <w:hyperlink w:anchor="__RefHeading___fernzugang_86">
            <w:r>
              <w:rPr>
                <w:rStyle w:val="IndexLink"/>
              </w:rPr>
              <w:t>11.4.3 Fernzugang</w:t>
              <w:tab/>
              <w:t>64</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65</w:t>
            </w:r>
          </w:hyperlink>
        </w:p>
        <w:p>
          <w:pPr>
            <w:pStyle w:val="TOC1"/>
            <w:rPr/>
          </w:pPr>
          <w:hyperlink w:anchor="__RefHeading___mobile_datentraeger_89">
            <w:r>
              <w:rPr>
                <w:rStyle w:val="IndexLink"/>
              </w:rPr>
              <w:t>12 Mobile Datenträger</w:t>
              <w:tab/>
              <w:t>65</w:t>
            </w:r>
          </w:hyperlink>
        </w:p>
        <w:p>
          <w:pPr>
            <w:pStyle w:val="TOC2"/>
            <w:rPr/>
          </w:pPr>
          <w:hyperlink w:anchor="__RefHeading___is-richtlinie_90">
            <w:r>
              <w:rPr>
                <w:rStyle w:val="IndexLink"/>
              </w:rPr>
              <w:t>12.1 IS-Richtlinie</w:t>
              <w:tab/>
              <w:t>65</w:t>
            </w:r>
          </w:hyperlink>
        </w:p>
        <w:p>
          <w:pPr>
            <w:pStyle w:val="TOC2"/>
            <w:rPr/>
          </w:pPr>
          <w:hyperlink w:anchor="__RefHeading___schutz_der_informationen1">
            <w:r>
              <w:rPr>
                <w:rStyle w:val="IndexLink"/>
              </w:rPr>
              <w:t>12.2 Schutz der Informationen</w:t>
              <w:tab/>
              <w:t>66</w:t>
            </w:r>
          </w:hyperlink>
        </w:p>
        <w:p>
          <w:pPr>
            <w:pStyle w:val="TOC2"/>
            <w:rPr/>
          </w:pPr>
          <w:hyperlink w:anchor="__RefHeading___zusaetzliche_massnahmen_3">
            <w:r>
              <w:rPr>
                <w:rStyle w:val="IndexLink"/>
              </w:rPr>
              <w:t>12.3 Zusätzliche Maßnahmen für wichtige mobile Datenträger</w:t>
              <w:tab/>
              <w:t>66</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67</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68</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69</w:t>
            </w:r>
          </w:hyperlink>
        </w:p>
        <w:p>
          <w:pPr>
            <w:pStyle w:val="TOC2"/>
            <w:rPr/>
          </w:pPr>
          <w:hyperlink w:anchor="__RefHeading___vorbereitung_99">
            <w:r>
              <w:rPr>
                <w:rStyle w:val="IndexLink"/>
              </w:rPr>
              <w:t>14.2 Vorbereitung</w:t>
              <w:tab/>
              <w:t>69</w:t>
            </w:r>
          </w:hyperlink>
        </w:p>
        <w:p>
          <w:pPr>
            <w:pStyle w:val="TOC2"/>
            <w:rPr/>
          </w:pPr>
          <w:hyperlink w:anchor="__RefHeading___vertragsgestaltung_100">
            <w:r>
              <w:rPr>
                <w:rStyle w:val="IndexLink"/>
              </w:rPr>
              <w:t>14.3 Vertragsgestaltung</w:t>
              <w:tab/>
              <w:t>70</w:t>
            </w:r>
          </w:hyperlink>
        </w:p>
        <w:p>
          <w:pPr>
            <w:pStyle w:val="TOC2"/>
            <w:rPr/>
          </w:pPr>
          <w:hyperlink w:anchor="__RefHeading___zusaetzliche_massnahmen_5">
            <w:r>
              <w:rPr>
                <w:rStyle w:val="IndexLink"/>
              </w:rPr>
              <w:t>14.4 Zusätzliche Maßnahmen für wichtige IT-Ressourcen</w:t>
              <w:tab/>
              <w:t>70</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72</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73</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74</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78</w:t>
            </w:r>
          </w:hyperlink>
        </w:p>
        <w:p>
          <w:pPr>
            <w:pStyle w:val="TOC3"/>
            <w:rPr/>
          </w:pPr>
          <w:hyperlink w:anchor="__RefHeading___server_115">
            <w:r>
              <w:rPr>
                <w:rStyle w:val="IndexLink"/>
              </w:rPr>
              <w:t>16.5.2 Server</w:t>
              <w:tab/>
              <w:t>78</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79</w:t>
            </w:r>
          </w:hyperlink>
        </w:p>
        <w:p>
          <w:pPr>
            <w:pStyle w:val="TOC3"/>
            <w:rPr/>
          </w:pPr>
          <w:hyperlink w:anchor="__RefHeading___risikoanalyse_119">
            <w:r>
              <w:rPr>
                <w:rStyle w:val="IndexLink"/>
              </w:rPr>
              <w:t>16.6.1 Risikoanalyse</w:t>
              <w:tab/>
              <w:t>79</w:t>
            </w:r>
          </w:hyperlink>
        </w:p>
        <w:p>
          <w:pPr>
            <w:pStyle w:val="TOC3"/>
            <w:rPr/>
          </w:pPr>
          <w:hyperlink w:anchor="__RefHeading___verfahren_120">
            <w:r>
              <w:rPr>
                <w:rStyle w:val="IndexLink"/>
              </w:rPr>
              <w:t>16.6.2 Verfahren</w:t>
              <w:tab/>
              <w:t>79</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80</w:t>
            </w:r>
          </w:hyperlink>
        </w:p>
        <w:p>
          <w:pPr>
            <w:pStyle w:val="TOC2"/>
            <w:rPr/>
          </w:pPr>
          <w:hyperlink w:anchor="__RefHeading___erkennen_129_Copy_1">
            <w:r>
              <w:rPr>
                <w:rStyle w:val="IndexLink"/>
              </w:rPr>
              <w:t>17.2 Erkennen</w:t>
              <w:tab/>
              <w:t>81</w:t>
            </w:r>
          </w:hyperlink>
        </w:p>
        <w:p>
          <w:pPr>
            <w:pStyle w:val="TOC2"/>
            <w:rPr/>
          </w:pPr>
          <w:hyperlink w:anchor="__RefHeading___reaktion_123">
            <w:r>
              <w:rPr>
                <w:rStyle w:val="IndexLink"/>
              </w:rPr>
              <w:t>17.3 Reaktion</w:t>
              <w:tab/>
              <w:t>82</w:t>
            </w:r>
          </w:hyperlink>
        </w:p>
        <w:p>
          <w:pPr>
            <w:pStyle w:val="TOC2"/>
            <w:rPr/>
          </w:pPr>
          <w:hyperlink w:anchor="__RefHeading___zusaetzliche_massnahmen_a">
            <w:r>
              <w:rPr>
                <w:rStyle w:val="IndexLink"/>
              </w:rPr>
              <w:t>17.4 Zusätzliche Maßnahmen für wichtige IT-Systeme</w:t>
              <w:tab/>
              <w:t>84</w:t>
            </w:r>
          </w:hyperlink>
        </w:p>
        <w:p>
          <w:pPr>
            <w:pStyle w:val="TOC3"/>
            <w:rPr/>
          </w:pPr>
          <w:hyperlink w:anchor="__RefHeading___wiederanlaufplaene_125">
            <w:r>
              <w:rPr>
                <w:rStyle w:val="IndexLink"/>
              </w:rPr>
              <w:t>17.4.1 Wiederanlaufpläne</w:t>
              <w:tab/>
              <w:t>84</w:t>
            </w:r>
          </w:hyperlink>
        </w:p>
        <w:p>
          <w:pPr>
            <w:pStyle w:val="TOC3"/>
            <w:rPr/>
          </w:pPr>
          <w:hyperlink w:anchor="__RefHeading___abhaengigkeiten_126">
            <w:r>
              <w:rPr>
                <w:rStyle w:val="IndexLink"/>
              </w:rPr>
              <w:t>17.4.2 Abhängigkeiten</w:t>
              <w:tab/>
              <w:t>85</w:t>
            </w:r>
          </w:hyperlink>
        </w:p>
        <w:p>
          <w:pPr>
            <w:pStyle w:val="TOC1"/>
            <w:rPr/>
          </w:pPr>
          <w:hyperlink w:anchor="__RefHeading___anhang_a_131">
            <w:r>
              <w:rPr>
                <w:rStyle w:val="IndexLink"/>
              </w:rPr>
              <w:t>Anhang A</w:t>
              <w:tab/>
              <w:t>86</w:t>
            </w:r>
          </w:hyperlink>
        </w:p>
        <w:p>
          <w:pPr>
            <w:pStyle w:val="TOC2"/>
            <w:rPr/>
          </w:pPr>
          <w:hyperlink w:anchor="__RefHeading___a_1_verfahren_132">
            <w:r>
              <w:rPr>
                <w:rStyle w:val="IndexLink"/>
              </w:rPr>
              <w:t>A 1 Verfahren</w:t>
              <w:tab/>
              <w:t>86</w:t>
            </w:r>
          </w:hyperlink>
        </w:p>
        <w:p>
          <w:pPr>
            <w:pStyle w:val="TOC2"/>
            <w:rPr/>
          </w:pPr>
          <w:hyperlink w:anchor="__RefHeading___a_2_risikoanalyse_und_-be">
            <w:r>
              <w:rPr>
                <w:rStyle w:val="IndexLink"/>
              </w:rPr>
              <w:t>A 2 Risikomanagement</w:t>
              <w:tab/>
              <w:t>87</w:t>
            </w:r>
          </w:hyperlink>
        </w:p>
        <w:p>
          <w:pPr>
            <w:pStyle w:val="TOC3"/>
            <w:rPr/>
          </w:pPr>
          <w:hyperlink w:anchor="__RefHeading___a_2.1_risikoanalyse_134_C">
            <w:r>
              <w:rPr>
                <w:rStyle w:val="IndexLink"/>
              </w:rPr>
              <w:t>A 2.1 Methodik</w:t>
              <w:tab/>
              <w:t>87</w:t>
            </w:r>
          </w:hyperlink>
        </w:p>
        <w:p>
          <w:pPr>
            <w:pStyle w:val="TOC3"/>
            <w:rPr/>
          </w:pPr>
          <w:hyperlink w:anchor="__RefHeading___a_2.1_risikoanalyse_134">
            <w:r>
              <w:rPr>
                <w:rStyle w:val="IndexLink"/>
              </w:rPr>
              <w:t>A 2.2 Risikoanalyse</w:t>
              <w:tab/>
              <w:t>88</w:t>
            </w:r>
          </w:hyperlink>
        </w:p>
        <w:p>
          <w:pPr>
            <w:pStyle w:val="TOC3"/>
            <w:rPr/>
          </w:pPr>
          <w:hyperlink w:anchor="__RefHeading___a_2.2_risikobehandlung_13">
            <w:r>
              <w:rPr>
                <w:rStyle w:val="IndexLink"/>
              </w:rPr>
              <w:t>A 2.3 Risikobehandlung</w:t>
              <w:tab/>
              <w:t>89</w:t>
            </w:r>
          </w:hyperlink>
        </w:p>
        <w:p>
          <w:pPr>
            <w:pStyle w:val="TOC3"/>
            <w:rPr/>
          </w:pPr>
          <w:hyperlink w:anchor="__RefHeading___a_2.3_wiederholung_und_an">
            <w:r>
              <w:rPr>
                <w:rStyle w:val="IndexLink"/>
              </w:rPr>
              <w:t>A 2.4 Wiederholung und Anpassung</w:t>
              <w:tab/>
              <w:t>90</w:t>
            </w:r>
          </w:hyperlink>
        </w:p>
        <w:p>
          <w:pPr>
            <w:pStyle w:val="TOC3"/>
            <w:rPr/>
          </w:pPr>
          <w:hyperlink w:anchor="__RefHeading___a_2.3_wiederholung_und_a1">
            <w:r>
              <w:rPr>
                <w:rStyle w:val="IndexLink"/>
              </w:rPr>
              <w:t>A 2.5 Überwachung</w:t>
              <w:tab/>
              <w:t>90</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w:t>
            </w:r>
            <w:r>
              <w:rPr/>
              <w:t>für 0.6</w:t>
            </w:r>
            <w:r>
              <w:rPr/>
              <w:t>: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für 0.6</w:t>
            </w:r>
            <w:r>
              <w:rPr/>
              <w:t>: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r>
              <w:rPr/>
              <w: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 xml:space="preserve">Dazu SOLLTE die entsprechende </w:t>
            </w:r>
            <w:r>
              <w:rPr/>
              <w:t xml:space="preserve">vom BSI zur Verfügung gestellte </w:t>
            </w:r>
            <w:r>
              <w:rPr/>
              <w:t>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4849"/>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4849"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4849"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ToDo für Version 0.8: überarbeiten/entscheiden</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w:t>
            </w:r>
            <w:r>
              <w:rPr/>
              <w:t>für 0.8</w:t>
            </w:r>
            <w:r>
              <w:rPr/>
              <w:t>: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ToDo </w:t>
            </w:r>
            <w:r>
              <w:rPr>
                <w:rFonts w:eastAsia="Bitstream Vera Sans" w:cs="Bitstream Vera Sans"/>
                <w:color w:val="auto"/>
                <w:sz w:val="20"/>
                <w:szCs w:val="24"/>
                <w:lang w:val="de-DE" w:eastAsia="en-US" w:bidi="en-US"/>
              </w:rPr>
              <w:t>für Version 0.4</w:t>
            </w:r>
            <w:r>
              <w:rPr>
                <w:rFonts w:eastAsia="Bitstream Vera Sans" w:cs="Bitstream Vera Sans"/>
                <w:color w:val="auto"/>
                <w:sz w:val="20"/>
                <w:szCs w:val="24"/>
                <w:lang w:val="de-DE" w:eastAsia="en-US" w:bidi="en-US"/>
              </w:rPr>
              <w:t>:</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w:t>
            </w:r>
            <w:r>
              <w:rPr/>
              <w:t>8</w:t>
            </w:r>
            <w:r>
              <w:rPr/>
              <w:t>: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ToDo für 0.4: Maßnahmen entwerfen.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für 0.4</w:t>
            </w:r>
            <w:r>
              <w:rPr/>
              <w:t>:</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w:t>
            </w:r>
            <w:r>
              <w:rPr>
                <w:i/>
                <w:iCs/>
                <w:strike w:val="false"/>
                <w:dstrike w:val="false"/>
              </w:rPr>
              <w:t>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Schutzklassen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w:t>
            </w:r>
            <w:r>
              <w:rPr/>
              <w:t>4</w:t>
            </w:r>
            <w:r>
              <w:rPr/>
              <w:t>:</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0"/>
              </w:numPr>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w:t>
            </w:r>
            <w:r>
              <w:rPr/>
              <w:t>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1. Der Sicherheitsvorfall wird </w:t>
            </w:r>
            <w:r>
              <w:rPr/>
              <w:t xml:space="preserve">von Beginn an </w:t>
            </w:r>
            <w:r>
              <w:rPr/>
              <w:t xml:space="preserve">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2. Entsprechende Stellen wie Versicherungen und Aufsichtsbehörden </w:t>
            </w:r>
            <w:r>
              <w:rPr/>
              <w:t>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xml:space="preserve">- </w:t>
            </w:r>
            <w:r>
              <w:rPr>
                <w:i w:val="false"/>
                <w:iCs w:val="false"/>
              </w:rPr>
              <w:t>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0"/>
      <w:headerReference w:type="default" r:id="rId21"/>
      <w:headerReference w:type="first" r:id="rId22"/>
      <w:footerReference w:type="even" r:id="rId23"/>
      <w:footerReference w:type="default" r:id="rId24"/>
      <w:footerReference w:type="first" r:id="rId25"/>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90</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90</w:t>
    </w:r>
    <w:r>
      <w:rPr/>
      <w:fldChar w:fldCharType="end"/>
    </w:r>
    <w:r>
      <w:rPr/>
      <w:t xml:space="preserve"> von </w:t>
    </w:r>
    <w:r>
      <w:rPr/>
      <w:fldChar w:fldCharType="begin"/>
    </w:r>
    <w:r>
      <w:rPr/>
      <w:instrText xml:space="preserve"> NUMPAGES </w:instrText>
    </w:r>
    <w:r>
      <w:rPr/>
      <w:fldChar w:fldCharType="separate"/>
    </w:r>
    <w:r>
      <w:rPr/>
      <w:t>90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90</w:t>
    </w:r>
    <w:r>
      <w:rPr/>
      <w:fldChar w:fldCharType="end"/>
    </w:r>
    <w:r>
      <w:rPr/>
      <w:t xml:space="preserve"> von </w:t>
    </w:r>
    <w:r>
      <w:rPr/>
      <w:fldChar w:fldCharType="begin"/>
    </w:r>
    <w:r>
      <w:rPr/>
      <w:instrText xml:space="preserve"> NUMPAGES </w:instrText>
    </w:r>
    <w:r>
      <w:rPr/>
      <w:fldChar w:fldCharType="separate"/>
    </w:r>
    <w:r>
      <w:rPr/>
      <w:t>90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3.0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3.0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9546</TotalTime>
  <Application>LibreOffice/24.2.4.2$Linux_X86_64 LibreOffice_project/51a6219feb6075d9a4c46691dcfe0cd9c4fff3c2</Application>
  <AppVersion>15.0000</AppVersion>
  <Pages>90</Pages>
  <Words>24193</Words>
  <Characters>164233</Characters>
  <CharactersWithSpaces>184901</CharactersWithSpaces>
  <Paragraphs>3521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2024-07-10T22:39:01Z</cp:lastPrinted>
  <dcterms:modified xsi:type="dcterms:W3CDTF">2024-07-10T22:44:32Z</dcterms:modified>
  <cp:revision>200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