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5" w:type="dxa"/>
        <w:tblLayout w:type="fixed"/>
        <w:tblCellMar>
          <w:top w:w="55" w:type="dxa"/>
          <w:start w:w="55" w:type="dxa"/>
          <w:bottom w:w="55" w:type="dxa"/>
          <w:end w:w="55" w:type="dxa"/>
        </w:tblCellMar>
      </w:tblPr>
      <w:tblGrid>
        <w:gridCol w:w="1874"/>
        <w:gridCol w:w="13829"/>
      </w:tblGrid>
      <w:tr>
        <w:trPr/>
        <w:tc>
          <w:tcPr>
            <w:tcW w:w="1874"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29"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4"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29"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4" w:type="dxa"/>
            <w:tcBorders>
              <w:start w:val="single" w:sz="4" w:space="0" w:color="000000"/>
              <w:bottom w:val="single" w:sz="4" w:space="0" w:color="000000"/>
            </w:tcBorders>
            <w:shd w:fill="FFFF99" w:val="clear"/>
          </w:tcPr>
          <w:p>
            <w:pPr>
              <w:pStyle w:val="TableContents"/>
              <w:jc w:val="center"/>
              <w:rPr/>
            </w:pPr>
            <w:r>
              <w:rPr/>
              <w:t>vermeidbar</w:t>
            </w:r>
          </w:p>
        </w:tc>
        <w:tc>
          <w:tcPr>
            <w:tcW w:w="13829"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10"/>
        <w:gridCol w:w="6472"/>
        <w:gridCol w:w="1414"/>
        <w:gridCol w:w="1351"/>
        <w:gridCol w:w="1649"/>
      </w:tblGrid>
      <w:tr>
        <w:trPr>
          <w:tblHeader w:val="true"/>
        </w:trPr>
        <w:tc>
          <w:tcPr>
            <w:tcW w:w="4810"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2"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10"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2"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1"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9"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0" w:type="dxa"/>
            <w:tcBorders>
              <w:start w:val="single" w:sz="4" w:space="0" w:color="000000"/>
              <w:bottom w:val="single" w:sz="4" w:space="0" w:color="000000"/>
            </w:tcBorders>
          </w:tcPr>
          <w:p>
            <w:pPr>
              <w:pStyle w:val="TableContents"/>
              <w:rPr/>
            </w:pPr>
            <w:r>
              <w:rPr/>
              <w:t>10.1 IT-Systeme → Inventarisierung</w:t>
            </w:r>
          </w:p>
        </w:tc>
        <w:tc>
          <w:tcPr>
            <w:tcW w:w="6472"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10.3 IT-Systeme → Basisschutz</w:t>
            </w:r>
          </w:p>
        </w:tc>
        <w:tc>
          <w:tcPr>
            <w:tcW w:w="6472"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10.2.1 IT-Systeme → Inbetriebnahme und Änderung</w:t>
            </w:r>
          </w:p>
        </w:tc>
        <w:tc>
          <w:tcPr>
            <w:tcW w:w="6472"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2"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2"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Normal"/>
              <w:rPr/>
            </w:pPr>
            <w:r>
              <w:rPr/>
            </w:r>
          </w:p>
        </w:tc>
        <w:tc>
          <w:tcPr>
            <w:tcW w:w="6472"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2"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2"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2"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2"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13.2 Umgebung → Datenleitungen</w:t>
            </w:r>
          </w:p>
        </w:tc>
        <w:tc>
          <w:tcPr>
            <w:tcW w:w="6472"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13.3 Umgebung → Zusätzliche Maßnahmen für wichtigen IT-Systeme</w:t>
            </w:r>
          </w:p>
        </w:tc>
        <w:tc>
          <w:tcPr>
            <w:tcW w:w="6472"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14.2 IT-Outsourcing und Cloud Computing → Vorbereitung</w:t>
            </w:r>
          </w:p>
        </w:tc>
        <w:tc>
          <w:tcPr>
            <w:tcW w:w="6472"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14.3 IT-Outsourcing und Cloud Computing → Vertragsgestaltung</w:t>
            </w:r>
          </w:p>
        </w:tc>
        <w:tc>
          <w:tcPr>
            <w:tcW w:w="6472"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2"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t>noch unklar</w:t>
            </w:r>
          </w:p>
        </w:tc>
        <w:tc>
          <w:tcPr>
            <w:tcW w:w="1649"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0" w:type="dxa"/>
            <w:tcBorders>
              <w:start w:val="single" w:sz="4" w:space="0" w:color="000000"/>
              <w:bottom w:val="single" w:sz="4" w:space="0" w:color="000000"/>
            </w:tcBorders>
          </w:tcPr>
          <w:p>
            <w:pPr>
              <w:pStyle w:val="TableContents"/>
              <w:rPr/>
            </w:pPr>
            <w:r>
              <w:rPr/>
              <w:t>15.1 Zugänge und Zugriffsrechte → Verwaltung</w:t>
            </w:r>
          </w:p>
        </w:tc>
        <w:tc>
          <w:tcPr>
            <w:tcW w:w="6472"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2"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tcPr>
          <w:p>
            <w:pPr>
              <w:pStyle w:val="TableContents"/>
              <w:jc w:val="center"/>
              <w:rPr/>
            </w:pPr>
            <w:r>
              <w:rPr/>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16.5 Datensicherung → Basisschutz</w:t>
            </w:r>
          </w:p>
        </w:tc>
        <w:tc>
          <w:tcPr>
            <w:tcW w:w="6472"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1" w:type="dxa"/>
            <w:tcBorders>
              <w:start w:val="single" w:sz="4" w:space="0" w:color="000000"/>
              <w:bottom w:val="single" w:sz="4" w:space="0" w:color="000000"/>
            </w:tcBorders>
            <w:shd w:fill="FFFF99" w:val="clear"/>
          </w:tcPr>
          <w:p>
            <w:pPr>
              <w:pStyle w:val="TableContents"/>
              <w:jc w:val="center"/>
              <w:rPr/>
            </w:pPr>
            <w:r>
              <w:rPr/>
              <w:t>vermeidbar</w:t>
            </w:r>
          </w:p>
        </w:tc>
        <w:tc>
          <w:tcPr>
            <w:tcW w:w="1649"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0"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2"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2"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0" w:type="dxa"/>
            <w:vMerge w:val="continue"/>
            <w:tcBorders>
              <w:start w:val="single" w:sz="4" w:space="0" w:color="000000"/>
              <w:bottom w:val="single" w:sz="4" w:space="0" w:color="000000"/>
            </w:tcBorders>
          </w:tcPr>
          <w:p>
            <w:pPr>
              <w:pStyle w:val="TableContents"/>
              <w:rPr/>
            </w:pPr>
            <w:r>
              <w:rPr/>
            </w:r>
          </w:p>
        </w:tc>
        <w:tc>
          <w:tcPr>
            <w:tcW w:w="6472"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1"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9"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r>
        <w:rPr/>
        <w:t>5</w:t>
      </w:r>
      <w:r>
        <w:rPr/>
        <w:t xml:space="preserve"> vom 10.07.2024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0.2.4 vom 10.07.2024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32</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37</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41</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46</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47</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48</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51</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54</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55</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externe_schnittstellen_u1">
            <w:r>
              <w:rPr>
                <w:rStyle w:val="IndexLink"/>
              </w:rPr>
              <w:t>10.5.3 Externe Schnittstellen und Laufwerke</w:t>
              <w:tab/>
              <w:t>59</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60</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a">
            <w:r>
              <w:rPr>
                <w:rStyle w:val="IndexLink"/>
              </w:rPr>
              <w:t>17.4 Zusätzliche Maßnahmen für wichtige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für 0.6</w:t>
            </w:r>
            <w:r>
              <w:rPr/>
              <w:t>: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für 0.6</w:t>
            </w:r>
            <w:r>
              <w:rPr/>
              <w:t>: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r>
              <w:rPr/>
              <w: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 xml:space="preserve">Dazu SOLLTE die entsprechende </w:t>
            </w:r>
            <w:r>
              <w:rPr/>
              <w:t xml:space="preserve">vom BSI zur Verfügung gestellte </w:t>
            </w:r>
            <w:r>
              <w:rPr/>
              <w:t>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für 0.8</w:t>
            </w:r>
            <w:r>
              <w:rPr/>
              <w:t>: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ToDo </w:t>
            </w:r>
            <w:r>
              <w:rPr>
                <w:rFonts w:eastAsia="Bitstream Vera Sans" w:cs="Bitstream Vera Sans"/>
                <w:color w:val="auto"/>
                <w:sz w:val="20"/>
                <w:szCs w:val="24"/>
                <w:lang w:val="de-DE" w:eastAsia="en-US" w:bidi="en-US"/>
              </w:rPr>
              <w:t>für Version 0.4</w:t>
            </w:r>
            <w:r>
              <w:rPr>
                <w:rFonts w:eastAsia="Bitstream Vera Sans" w:cs="Bitstream Vera Sans"/>
                <w:color w:val="auto"/>
                <w:sz w:val="20"/>
                <w:szCs w:val="24"/>
                <w:lang w:val="de-DE" w:eastAsia="en-US" w:bidi="en-US"/>
              </w:rPr>
              <w:t>:</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w:t>
            </w:r>
            <w:r>
              <w:rPr/>
              <w:t>8</w:t>
            </w:r>
            <w:r>
              <w:rPr/>
              <w:t>: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für 0.4</w:t>
            </w:r>
            <w:r>
              <w:rPr/>
              <w:t>:</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w:t>
            </w:r>
            <w:r>
              <w:rPr>
                <w:i/>
                <w:iCs/>
                <w:strike w:val="false"/>
                <w:dstrike w:val="false"/>
              </w:rPr>
              <w:t>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w:t>
            </w:r>
            <w:r>
              <w:rPr/>
              <w:t>4</w:t>
            </w:r>
            <w:r>
              <w:rPr/>
              <w:t>:</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w:t>
            </w:r>
            <w:r>
              <w:rPr/>
              <w:t>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1. Der Sicherheitsvorfall wird </w:t>
            </w:r>
            <w:r>
              <w:rPr/>
              <w:t xml:space="preserve">von Beginn an </w:t>
            </w:r>
            <w:r>
              <w:rPr/>
              <w:t xml:space="preserve">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2. Entsprechende Stellen wie Versicherungen und Aufsichtsbehörden </w:t>
            </w:r>
            <w:r>
              <w:rPr/>
              <w:t>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xml:space="preserve">- </w:t>
            </w:r>
            <w:r>
              <w:rPr>
                <w:i w:val="false"/>
                <w:iCs w:val="false"/>
              </w:rPr>
              <w:t>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90</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90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9540</TotalTime>
  <Application>LibreOffice/24.2.4.2$Linux_X86_64 LibreOffice_project/51a6219feb6075d9a4c46691dcfe0cd9c4fff3c2</Application>
  <AppVersion>15.0000</AppVersion>
  <Pages>90</Pages>
  <Words>24193</Words>
  <Characters>164233</Characters>
  <CharactersWithSpaces>184901</CharactersWithSpaces>
  <Paragraphs>3521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2024-07-10T17:26:07Z</cp:lastPrinted>
  <dcterms:modified xsi:type="dcterms:W3CDTF">2024-07-10T22:38:52Z</dcterms:modified>
  <cp:revision>199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