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Klasse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2974_1742933099"/>
      <w:bookmarkEnd w:id="2"/>
      <w:r>
        <w:rPr/>
        <w:t>Unterteilung der IT-Ressourcen</w:t>
      </w:r>
    </w:p>
    <w:p>
      <w:pPr>
        <w:pStyle w:val="BodyText"/>
        <w:rPr/>
      </w:pPr>
      <w:r>
        <w:rPr/>
        <w:t>Die VdS 10100 unterteilt aktuell die IT-Ressourcen in vier Klassen, wobei für die Einteilung allein die mögliche Schadenshöhe beim Eintritt eines Sicherheitsvorfalls (Bruch der Vertraulichkeit, Verfügbarkeit und/oder Integrität) verwendet wird:</w:t>
      </w:r>
    </w:p>
    <w:tbl>
      <w:tblPr>
        <w:tblW w:w="15700" w:type="dxa"/>
        <w:jc w:val="start"/>
        <w:tblInd w:w="55" w:type="dxa"/>
        <w:tblLayout w:type="fixed"/>
        <w:tblCellMar>
          <w:top w:w="55" w:type="dxa"/>
          <w:start w:w="55" w:type="dxa"/>
          <w:bottom w:w="55" w:type="dxa"/>
          <w:end w:w="55" w:type="dxa"/>
        </w:tblCellMar>
      </w:tblPr>
      <w:tblGrid>
        <w:gridCol w:w="1463"/>
        <w:gridCol w:w="3061"/>
        <w:gridCol w:w="1589"/>
        <w:gridCol w:w="1424"/>
        <w:gridCol w:w="1013"/>
        <w:gridCol w:w="7149"/>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klasse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49"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3061"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1589"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4"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49" w:type="dxa"/>
            <w:vMerge w:val="continue"/>
            <w:tcBorders/>
            <w:shd w:fill="DDDDDD" w:val="clear"/>
          </w:tcPr>
          <w:p>
            <w:pPr>
              <w:pStyle w:val="TableContents"/>
              <w:jc w:val="center"/>
              <w:rPr>
                <w:b/>
                <w:bCs/>
              </w:rPr>
            </w:pPr>
            <w:r>
              <w:rPr>
                <w:b/>
                <w:bCs/>
              </w:rPr>
            </w:r>
          </w:p>
        </w:tc>
      </w:tr>
      <w:tr>
        <w:trPr/>
        <w:tc>
          <w:tcPr>
            <w:tcW w:w="1463" w:type="dxa"/>
            <w:tcBorders>
              <w:start w:val="single" w:sz="4" w:space="0" w:color="000000"/>
              <w:bottom w:val="single" w:sz="4" w:space="0" w:color="000000"/>
            </w:tcBorders>
          </w:tcPr>
          <w:p>
            <w:pPr>
              <w:pStyle w:val="TableContents"/>
              <w:rPr/>
            </w:pPr>
            <w:r>
              <w:rPr>
                <w:lang w:val="de-DE" w:eastAsia="en-US" w:bidi="en-US"/>
              </w:rPr>
              <w:t>(1) unbenannt</w:t>
            </w:r>
          </w:p>
        </w:tc>
        <w:tc>
          <w:tcPr>
            <w:tcW w:w="3061" w:type="dxa"/>
            <w:tcBorders>
              <w:start w:val="single" w:sz="4" w:space="0" w:color="000000"/>
              <w:bottom w:val="single" w:sz="4" w:space="0" w:color="000000"/>
            </w:tcBorders>
          </w:tcPr>
          <w:p>
            <w:pPr>
              <w:pStyle w:val="TableContents"/>
              <w:rPr/>
            </w:pPr>
            <w:r>
              <w:rPr/>
              <w:t>IT-Ressource, bei der eine Verletzung ihrer Vertraulichkeit, Verfügbarkeit und Authentizität nur zu einem vernachlässigbaren Schaden führen kann (Risikoakzeptanzgrenze, siehe Anhang A 2) und die von der restlichen IT-Infrastruktur abgeschottet ist.</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(2) unbenannt</w:t>
            </w:r>
          </w:p>
        </w:tc>
        <w:tc>
          <w:tcPr>
            <w:tcW w:w="3061" w:type="dxa"/>
            <w:tcBorders>
              <w:start w:val="single" w:sz="4" w:space="0" w:color="000000"/>
              <w:bottom w:val="single" w:sz="4" w:space="0" w:color="000000"/>
            </w:tcBorders>
          </w:tcPr>
          <w:p>
            <w:pPr>
              <w:pStyle w:val="TableContents"/>
              <w:rPr/>
            </w:pPr>
            <w:r>
              <w:rPr/>
              <w:t>Die gesamte IT-Infrastruktur mit Ausnahme von (1).</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w:t>
            </w:r>
          </w:p>
        </w:tc>
        <w:tc>
          <w:tcPr>
            <w:tcW w:w="1013" w:type="dxa"/>
            <w:tcBorders>
              <w:start w:val="single" w:sz="4" w:space="0" w:color="000000"/>
              <w:bottom w:val="single" w:sz="4" w:space="0" w:color="000000"/>
              <w:end w:val="single" w:sz="4" w:space="0" w:color="000000"/>
            </w:tcBorders>
          </w:tcPr>
          <w:p>
            <w:pPr>
              <w:pStyle w:val="TableContents"/>
              <w:jc w:val="center"/>
              <w:rPr/>
            </w:pPr>
            <w:r>
              <w:rPr/>
              <w:t>-</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3061"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bl>
    <w:p>
      <w:pPr>
        <w:pStyle w:val="BodyText"/>
        <w:rPr/>
      </w:pPr>
      <w:r>
        <w:rPr/>
      </w:r>
    </w:p>
    <w:p>
      <w:pPr>
        <w:pStyle w:val="Normal"/>
        <w:bidi w:val="0"/>
        <w:jc w:val="center"/>
        <w:rPr/>
      </w:pPr>
      <w:r>
        <w:rPr/>
      </w:r>
      <w:r>
        <w:br w:type="page"/>
      </w:r>
    </w:p>
    <w:p>
      <w:pPr>
        <w:pStyle w:val="Heading2"/>
        <w:numPr>
          <w:ilvl w:val="1"/>
          <w:numId w:val="1"/>
        </w:numPr>
        <w:spacing w:before="0" w:after="120"/>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1"/>
        </w:numPr>
        <w:spacing w:before="0" w:after="120"/>
        <w:ind w:hanging="0" w:start="0"/>
        <w:rPr/>
      </w:pPr>
      <w:bookmarkStart w:id="4" w:name="__RefHeading___Toc13997_3036725206"/>
      <w:bookmarkEnd w:id="4"/>
      <w:r>
        <w:rPr/>
        <w:t xml:space="preserve">Übersicht: Welche </w:t>
      </w:r>
      <w:r>
        <w:rPr/>
        <w:t xml:space="preserve">(technischen) </w:t>
      </w:r>
      <w:r>
        <w:rPr/>
        <w:t xml:space="preserve">Maßnahmen für welche </w:t>
      </w:r>
      <w:r>
        <w:rPr/>
        <w:t>Schutzkategorien</w:t>
      </w:r>
      <w:r>
        <w:rPr/>
        <w:t>?</w:t>
      </w:r>
    </w:p>
    <w:tbl>
      <w:tblPr>
        <w:tblW w:w="5000" w:type="pct"/>
        <w:jc w:val="start"/>
        <w:tblInd w:w="55" w:type="dxa"/>
        <w:tblLayout w:type="fixed"/>
        <w:tblCellMar>
          <w:top w:w="55" w:type="dxa"/>
          <w:start w:w="55" w:type="dxa"/>
          <w:bottom w:w="55" w:type="dxa"/>
          <w:end w:w="55" w:type="dxa"/>
        </w:tblCellMar>
      </w:tblPr>
      <w:tblGrid>
        <w:gridCol w:w="1875"/>
        <w:gridCol w:w="13829"/>
      </w:tblGrid>
      <w:tr>
        <w:trPr/>
        <w:tc>
          <w:tcPr>
            <w:tcW w:w="1875"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29"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5" w:type="dxa"/>
            <w:tcBorders>
              <w:start w:val="single" w:sz="4" w:space="0" w:color="000000"/>
              <w:bottom w:val="single" w:sz="4" w:space="0" w:color="000000"/>
            </w:tcBorders>
            <w:shd w:fill="FFCC00"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29"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5" w:type="dxa"/>
            <w:tcBorders>
              <w:start w:val="single" w:sz="4" w:space="0" w:color="000000"/>
              <w:bottom w:val="single" w:sz="4" w:space="0" w:color="000000"/>
            </w:tcBorders>
            <w:shd w:fill="FFFF99" w:val="clear"/>
          </w:tcPr>
          <w:p>
            <w:pPr>
              <w:pStyle w:val="TableContents"/>
              <w:jc w:val="center"/>
              <w:rPr/>
            </w:pPr>
            <w:r>
              <w:rPr/>
              <w:t>vermeidbar</w:t>
            </w:r>
          </w:p>
        </w:tc>
        <w:tc>
          <w:tcPr>
            <w:tcW w:w="13829"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 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5" w:type="dxa"/>
        <w:tblLayout w:type="fixed"/>
        <w:tblCellMar>
          <w:top w:w="55" w:type="dxa"/>
          <w:start w:w="55" w:type="dxa"/>
          <w:bottom w:w="55" w:type="dxa"/>
          <w:end w:w="55" w:type="dxa"/>
        </w:tblCellMar>
      </w:tblPr>
      <w:tblGrid>
        <w:gridCol w:w="4811"/>
        <w:gridCol w:w="6471"/>
        <w:gridCol w:w="1414"/>
        <w:gridCol w:w="1352"/>
        <w:gridCol w:w="1648"/>
      </w:tblGrid>
      <w:tr>
        <w:trPr/>
        <w:tc>
          <w:tcPr>
            <w:tcW w:w="4811"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1"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c>
          <w:tcPr>
            <w:tcW w:w="4811" w:type="dxa"/>
            <w:vMerge w:val="continue"/>
            <w:tcBorders>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tc>
        <w:tc>
          <w:tcPr>
            <w:tcW w:w="6471" w:type="dxa"/>
            <w:vMerge w:val="continue"/>
            <w:tcBorders>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2"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48"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11" w:type="dxa"/>
            <w:tcBorders>
              <w:start w:val="single" w:sz="4" w:space="0" w:color="000000"/>
              <w:bottom w:val="single" w:sz="4" w:space="0" w:color="000000"/>
            </w:tcBorders>
          </w:tcPr>
          <w:p>
            <w:pPr>
              <w:pStyle w:val="TableContents"/>
              <w:rPr/>
            </w:pPr>
            <w:r>
              <w:rPr/>
              <w:t>10.1 IT-Systeme → Inventarisierung</w:t>
            </w:r>
          </w:p>
        </w:tc>
        <w:tc>
          <w:tcPr>
            <w:tcW w:w="6471"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2"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1" w:type="dxa"/>
            <w:tcBorders>
              <w:start w:val="single" w:sz="4" w:space="0" w:color="000000"/>
              <w:bottom w:val="single" w:sz="4" w:space="0" w:color="000000"/>
            </w:tcBorders>
          </w:tcPr>
          <w:p>
            <w:pPr>
              <w:pStyle w:val="TableContents"/>
              <w:rPr/>
            </w:pPr>
            <w:r>
              <w:rPr/>
              <w:t>10.3 IT-Systeme → Basisschutz</w:t>
            </w:r>
          </w:p>
        </w:tc>
        <w:tc>
          <w:tcPr>
            <w:tcW w:w="6471" w:type="dxa"/>
            <w:tcBorders>
              <w:start w:val="single" w:sz="4" w:space="0" w:color="000000"/>
              <w:bottom w:val="single" w:sz="4" w:space="0" w:color="000000"/>
            </w:tcBorders>
          </w:tcPr>
          <w:p>
            <w:pPr>
              <w:pStyle w:val="TableContents"/>
              <w:rPr/>
            </w:pPr>
            <w:r>
              <w:rPr/>
              <w:t>Basisschutz</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tcBorders>
              <w:start w:val="single" w:sz="4" w:space="0" w:color="000000"/>
              <w:bottom w:val="single" w:sz="4" w:space="0" w:color="000000"/>
            </w:tcBorders>
          </w:tcPr>
          <w:p>
            <w:pPr>
              <w:pStyle w:val="TableContents"/>
              <w:rPr/>
            </w:pPr>
            <w:r>
              <w:rPr/>
              <w:t>10.2.1 IT-Systeme → Inbetriebnahme und Änderung</w:t>
            </w:r>
          </w:p>
        </w:tc>
        <w:tc>
          <w:tcPr>
            <w:tcW w:w="6471"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2"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1"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1" w:type="dxa"/>
            <w:tcBorders>
              <w:start w:val="single" w:sz="4" w:space="0" w:color="000000"/>
              <w:bottom w:val="single" w:sz="4" w:space="0" w:color="000000"/>
            </w:tcBorders>
          </w:tcPr>
          <w:p>
            <w:pPr>
              <w:pStyle w:val="TableContents"/>
              <w:rPr/>
            </w:pPr>
            <w:r>
              <w:rPr/>
              <w:t xml:space="preserve">individuelle Risikoanalyse und -behandlung </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1" w:type="dxa"/>
            <w:vMerge w:val="continue"/>
            <w:tcBorders>
              <w:start w:val="single" w:sz="4" w:space="0" w:color="000000"/>
              <w:bottom w:val="single" w:sz="4" w:space="0" w:color="000000"/>
            </w:tcBorders>
          </w:tcPr>
          <w:p>
            <w:pPr>
              <w:pStyle w:val="TableContents"/>
              <w:rPr/>
            </w:pPr>
            <w:r>
              <w:rPr/>
            </w:r>
          </w:p>
        </w:tc>
        <w:tc>
          <w:tcPr>
            <w:tcW w:w="6471"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471"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471"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1"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Normal"/>
              <w:rPr/>
            </w:pPr>
            <w:r>
              <w:rPr/>
            </w:r>
          </w:p>
        </w:tc>
        <w:tc>
          <w:tcPr>
            <w:tcW w:w="6471"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Normal"/>
              <w:rPr/>
            </w:pPr>
            <w:r>
              <w:rPr/>
            </w:r>
          </w:p>
        </w:tc>
        <w:tc>
          <w:tcPr>
            <w:tcW w:w="6471"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Normal"/>
              <w:rPr/>
            </w:pPr>
            <w:r>
              <w:rPr/>
            </w:r>
          </w:p>
        </w:tc>
        <w:tc>
          <w:tcPr>
            <w:tcW w:w="6471"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Normal"/>
              <w:rPr/>
            </w:pPr>
            <w:r>
              <w:rPr/>
            </w:r>
          </w:p>
        </w:tc>
        <w:tc>
          <w:tcPr>
            <w:tcW w:w="6471"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Normal"/>
              <w:rPr/>
            </w:pPr>
            <w:r>
              <w:rPr/>
            </w:r>
          </w:p>
        </w:tc>
        <w:tc>
          <w:tcPr>
            <w:tcW w:w="6471"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Normal"/>
              <w:rPr/>
            </w:pPr>
            <w:r>
              <w:rPr/>
            </w:r>
          </w:p>
        </w:tc>
        <w:tc>
          <w:tcPr>
            <w:tcW w:w="6471"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restart"/>
            <w:tcBorders>
              <w:start w:val="single" w:sz="4" w:space="0" w:color="000000"/>
              <w:bottom w:val="single" w:sz="4" w:space="0" w:color="000000"/>
            </w:tcBorders>
          </w:tcPr>
          <w:p>
            <w:pPr>
              <w:pStyle w:val="TableContents"/>
              <w:rPr/>
            </w:pPr>
            <w:bookmarkStart w:id="5" w:name="__RefHeading___netzwerke_und_verbindunge"/>
            <w:bookmarkEnd w:id="5"/>
            <w:r>
              <w:rPr/>
              <w:t>11.4 Netzwerke und Verbindungen → Basisschutz</w:t>
            </w:r>
          </w:p>
        </w:tc>
        <w:tc>
          <w:tcPr>
            <w:tcW w:w="6471"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471"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471"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471"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1"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1" w:type="dxa"/>
            <w:tcBorders>
              <w:start w:val="single" w:sz="4" w:space="0" w:color="000000"/>
              <w:bottom w:val="single" w:sz="4" w:space="0" w:color="000000"/>
            </w:tcBorders>
          </w:tcPr>
          <w:p>
            <w:pPr>
              <w:pStyle w:val="TableContents"/>
              <w:rPr/>
            </w:pPr>
            <w:r>
              <w:rPr/>
              <w:t>‍</w:t>
            </w:r>
            <w:r>
              <w:rPr/>
              <w:t xml:space="preserve">12.2 </w:t>
            </w:r>
            <w:r>
              <w:rPr/>
              <w:t xml:space="preserve">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1"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2"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1"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1"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1"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1"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2"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1" w:type="dxa"/>
            <w:tcBorders>
              <w:start w:val="single" w:sz="4" w:space="0" w:color="000000"/>
              <w:bottom w:val="single" w:sz="4" w:space="0" w:color="000000"/>
            </w:tcBorders>
          </w:tcPr>
          <w:p>
            <w:pPr>
              <w:pStyle w:val="TableContents"/>
              <w:rPr/>
            </w:pPr>
            <w:r>
              <w:rPr/>
              <w:t>13.2 Umgebung → Datenleitungen</w:t>
            </w:r>
          </w:p>
        </w:tc>
        <w:tc>
          <w:tcPr>
            <w:tcW w:w="6471"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2"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1" w:type="dxa"/>
            <w:tcBorders>
              <w:start w:val="single" w:sz="4" w:space="0" w:color="000000"/>
              <w:bottom w:val="single" w:sz="4" w:space="0" w:color="000000"/>
            </w:tcBorders>
          </w:tcPr>
          <w:p>
            <w:pPr>
              <w:pStyle w:val="TableContents"/>
              <w:rPr/>
            </w:pPr>
            <w:r>
              <w:rPr/>
              <w:t>13.3 Umgebung → Zusätzliche Maßnahmen für wichtigen IT-Systeme</w:t>
            </w:r>
          </w:p>
        </w:tc>
        <w:tc>
          <w:tcPr>
            <w:tcW w:w="6471"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1" w:type="dxa"/>
            <w:tcBorders>
              <w:start w:val="single" w:sz="4" w:space="0" w:color="000000"/>
              <w:bottom w:val="single" w:sz="4" w:space="0" w:color="000000"/>
            </w:tcBorders>
          </w:tcPr>
          <w:p>
            <w:pPr>
              <w:pStyle w:val="TableContents"/>
              <w:rPr/>
            </w:pPr>
            <w:r>
              <w:rPr/>
              <w:t>14.2 IT-Outsourcing und Cloud Computing → Vorbereitung</w:t>
            </w:r>
          </w:p>
        </w:tc>
        <w:tc>
          <w:tcPr>
            <w:tcW w:w="6471"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2"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1" w:type="dxa"/>
            <w:tcBorders>
              <w:start w:val="single" w:sz="4" w:space="0" w:color="000000"/>
              <w:bottom w:val="single" w:sz="4" w:space="0" w:color="000000"/>
            </w:tcBorders>
          </w:tcPr>
          <w:p>
            <w:pPr>
              <w:pStyle w:val="TableContents"/>
              <w:rPr/>
            </w:pPr>
            <w:r>
              <w:rPr/>
              <w:t>14.3 IT-Outsourcing und Cloud Computing → Vertragsgestaltung</w:t>
            </w:r>
          </w:p>
        </w:tc>
        <w:tc>
          <w:tcPr>
            <w:tcW w:w="6471"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2"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1"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1"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t>noch unklar</w:t>
            </w:r>
          </w:p>
        </w:tc>
        <w:tc>
          <w:tcPr>
            <w:tcW w:w="1648"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11" w:type="dxa"/>
            <w:tcBorders>
              <w:start w:val="single" w:sz="4" w:space="0" w:color="000000"/>
              <w:bottom w:val="single" w:sz="4" w:space="0" w:color="000000"/>
            </w:tcBorders>
          </w:tcPr>
          <w:p>
            <w:pPr>
              <w:pStyle w:val="TableContents"/>
              <w:rPr/>
            </w:pPr>
            <w:r>
              <w:rPr/>
              <w:t>15.1 Zugänge und Zugriffsrechte → Verwaltung</w:t>
            </w:r>
          </w:p>
        </w:tc>
        <w:tc>
          <w:tcPr>
            <w:tcW w:w="6471"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2"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1"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1"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1" w:type="dxa"/>
            <w:vMerge w:val="restart"/>
            <w:tcBorders>
              <w:start w:val="single" w:sz="4" w:space="0" w:color="000000"/>
              <w:bottom w:val="single" w:sz="4" w:space="0" w:color="000000"/>
            </w:tcBorders>
          </w:tcPr>
          <w:p>
            <w:pPr>
              <w:pStyle w:val="TableContents"/>
              <w:rPr/>
            </w:pPr>
            <w:r>
              <w:rPr/>
              <w:t>16.5 Datensicherung → Basisschutz</w:t>
            </w:r>
          </w:p>
        </w:tc>
        <w:tc>
          <w:tcPr>
            <w:tcW w:w="6471"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471"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471"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471"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471"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1" w:type="dxa"/>
            <w:tcBorders>
              <w:start w:val="single" w:sz="4" w:space="0" w:color="000000"/>
              <w:bottom w:val="single" w:sz="4" w:space="0" w:color="000000"/>
            </w:tcBorders>
          </w:tcPr>
          <w:p>
            <w:pPr>
              <w:pStyle w:val="TableContents"/>
              <w:rPr/>
            </w:pPr>
            <w:r>
              <w:rPr/>
              <w:t>Risikoanalyse: Folgen eines Datenverlusts analysier</w:t>
            </w:r>
            <w:r>
              <w:rPr/>
              <w:t>en</w:t>
            </w:r>
            <w:r>
              <w:rPr/>
              <w:t xml:space="preserve"> und  MTD </w:t>
            </w:r>
            <w:r>
              <w:rPr/>
              <w:t>bestimmen</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1" w:type="dxa"/>
            <w:vMerge w:val="continue"/>
            <w:tcBorders>
              <w:start w:val="single" w:sz="4" w:space="0" w:color="000000"/>
              <w:bottom w:val="single" w:sz="4" w:space="0" w:color="000000"/>
            </w:tcBorders>
          </w:tcPr>
          <w:p>
            <w:pPr>
              <w:pStyle w:val="TableContents"/>
              <w:rPr/>
            </w:pPr>
            <w:r>
              <w:rPr/>
            </w:r>
          </w:p>
        </w:tc>
        <w:tc>
          <w:tcPr>
            <w:tcW w:w="6471"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1"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1"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1" w:type="dxa"/>
            <w:vMerge w:val="continue"/>
            <w:tcBorders>
              <w:start w:val="single" w:sz="4" w:space="0" w:color="000000"/>
              <w:bottom w:val="single" w:sz="4" w:space="0" w:color="000000"/>
            </w:tcBorders>
          </w:tcPr>
          <w:p>
            <w:pPr>
              <w:pStyle w:val="TableContents"/>
              <w:rPr/>
            </w:pPr>
            <w:r>
              <w:rPr/>
            </w:r>
          </w:p>
        </w:tc>
        <w:tc>
          <w:tcPr>
            <w:tcW w:w="6471"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bl>
    <w:p>
      <w:pPr>
        <w:pStyle w:val="BodyText"/>
        <w:rPr>
          <w:ins w:id="1" w:author="Mark Semmler" w:date="2024-07-10T17:13:50Z"/>
        </w:rPr>
      </w:pPr>
      <w:ins w:id="0" w:author="Mark Semmler" w:date="2024-07-10T17:13:50Z">
        <w:r>
          <w:rPr/>
        </w:r>
      </w:ins>
      <w:r>
        <w:br w:type="page"/>
      </w:r>
    </w:p>
    <w:p>
      <w:pPr>
        <w:pStyle w:val="Heading1"/>
        <w:numPr>
          <w:ilvl w:val="0"/>
          <w:numId w:val="0"/>
        </w:numPr>
        <w:tabs>
          <w:tab w:val="clear" w:pos="709"/>
          <w:tab w:val="left" w:pos="0" w:leader="none"/>
        </w:tabs>
        <w:bidi w:val="0"/>
        <w:spacing w:before="0" w:after="12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dS 10100, Version 0.2.</w:t>
      </w:r>
      <w:del w:id="2" w:author="Mark Semmler" w:date="2024-07-10T16:30:06Z">
        <w:r>
          <w:rPr/>
          <w:delText>3</w:delText>
        </w:r>
      </w:del>
      <w:ins w:id="3" w:author="Mark Semmler" w:date="2024-07-10T16:30:06Z">
        <w:r>
          <w:rPr/>
          <w:t>4</w:t>
        </w:r>
      </w:ins>
      <w:r>
        <w:rPr/>
        <w:t xml:space="preserve"> vom </w:t>
      </w:r>
      <w:r>
        <w:rPr/>
        <w:t>10</w:t>
      </w:r>
      <w:r>
        <w:rPr/>
        <w:t>.07.2024</w:t>
      </w:r>
    </w:p>
    <w:p>
      <w:pPr>
        <w:pStyle w:val="Heading4"/>
        <w:numPr>
          <w:ilvl w:val="0"/>
          <w:numId w:val="0"/>
        </w:numPr>
        <w:tabs>
          <w:tab w:val="clear" w:pos="709"/>
          <w:tab w:val="left" w:pos="0" w:leader="none"/>
        </w:tabs>
        <w:bidi w:val="0"/>
        <w:ind w:hanging="0" w:start="0"/>
        <w:jc w:val="start"/>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2974_1742933099">
            <w:r>
              <w:rPr>
                <w:rStyle w:val="IndexLink"/>
              </w:rPr>
              <w:t>Unterteilung der IT-Ressourcen</w:t>
              <w:tab/>
              <w:t>2</w:t>
            </w:r>
          </w:hyperlink>
        </w:p>
        <w:p>
          <w:pPr>
            <w:pStyle w:val="TOC2"/>
            <w:rPr/>
          </w:pPr>
          <w:hyperlink w:anchor="__RefHeading___Toc15925_1742933099">
            <w:r>
              <w:rPr>
                <w:rStyle w:val="IndexLink"/>
              </w:rPr>
              <w:t>Maßnahmen</w:t>
              <w:tab/>
              <w:t>3</w:t>
            </w:r>
          </w:hyperlink>
        </w:p>
        <w:p>
          <w:pPr>
            <w:pStyle w:val="TOC2"/>
            <w:rPr/>
          </w:pPr>
          <w:hyperlink w:anchor="__RefHeading___Toc13997_3036725206">
            <w:r>
              <w:rPr>
                <w:rStyle w:val="IndexLink"/>
              </w:rPr>
              <w:t>Übersicht: Welche (technischen) Maßnahmen für welche Schutzkategorien?</w:t>
              <w:tab/>
              <w:t>4</w:t>
            </w:r>
          </w:hyperlink>
        </w:p>
        <w:p>
          <w:pPr>
            <w:pStyle w:val="TOC1"/>
            <w:rPr/>
          </w:pPr>
          <w:hyperlink w:anchor="__RefHeading___vorlage_fuer_assessment_d">
            <w:r>
              <w:rPr>
                <w:rStyle w:val="IndexLink"/>
              </w:rPr>
              <w:t>VdS 10100, Version 0.2.4 vom 10.07.2024</w:t>
              <w:tab/>
              <w:t>6</w:t>
            </w:r>
          </w:hyperlink>
        </w:p>
        <w:p>
          <w:pPr>
            <w:pStyle w:val="TOC4"/>
            <w:rPr/>
          </w:pPr>
          <w:hyperlink w:anchor="__RefHeading___vds-richtlinien_fuer_die_">
            <w:r>
              <w:rPr>
                <w:rStyle w:val="IndexLink"/>
              </w:rPr>
              <w:t>0 VdS-Richtlinien für die Informationsverarbeitung</w:t>
              <w:tab/>
              <w:t>6</w:t>
            </w:r>
          </w:hyperlink>
        </w:p>
        <w:p>
          <w:pPr>
            <w:pStyle w:val="TOC1"/>
            <w:rPr/>
          </w:pPr>
          <w:hyperlink w:anchor="__RefHeading___informationssicherheitsma">
            <w:r>
              <w:rPr>
                <w:rStyle w:val="IndexLink"/>
              </w:rPr>
              <w:t>Strukturierte Informationssicherheit gemäß NIS2</w:t>
              <w:tab/>
              <w:t>6</w:t>
            </w:r>
          </w:hyperlink>
        </w:p>
        <w:p>
          <w:pPr>
            <w:pStyle w:val="TOC4"/>
            <w:rPr/>
          </w:pPr>
          <w:hyperlink w:anchor="__RefHeading___anforderungen_4">
            <w:r>
              <w:rPr>
                <w:rStyle w:val="IndexLink"/>
              </w:rPr>
              <w:t>Anforderungen</w:t>
              <w:tab/>
              <w:t>10</w:t>
            </w:r>
          </w:hyperlink>
        </w:p>
        <w:p>
          <w:pPr>
            <w:pStyle w:val="TOC1"/>
            <w:rPr/>
          </w:pPr>
          <w:hyperlink w:anchor="__RefHeading___allgemeines_5">
            <w:r>
              <w:rPr>
                <w:rStyle w:val="IndexLink"/>
              </w:rPr>
              <w:t>1 Allgemeines</w:t>
              <w:tab/>
              <w:t>10</w:t>
            </w:r>
          </w:hyperlink>
        </w:p>
        <w:p>
          <w:pPr>
            <w:pStyle w:val="TOC2"/>
            <w:rPr/>
          </w:pPr>
          <w:hyperlink w:anchor="__RefHeading___anwendungshinweise_6">
            <w:r>
              <w:rPr>
                <w:rStyle w:val="IndexLink"/>
              </w:rPr>
              <w:t>1.1 Anwendungshinweise</w:t>
              <w:tab/>
              <w:t>10</w:t>
            </w:r>
          </w:hyperlink>
        </w:p>
        <w:p>
          <w:pPr>
            <w:pStyle w:val="TOC2"/>
            <w:rPr/>
          </w:pPr>
          <w:hyperlink w:anchor="__RefHeading___anwendungs-_und_geltungsb">
            <w:r>
              <w:rPr>
                <w:rStyle w:val="IndexLink"/>
              </w:rPr>
              <w:t>1.2 Anwendungs- und Geltungsbereich</w:t>
              <w:tab/>
              <w:t>12</w:t>
            </w:r>
          </w:hyperlink>
        </w:p>
        <w:p>
          <w:pPr>
            <w:pStyle w:val="TOC3"/>
            <w:rPr/>
          </w:pPr>
          <w:hyperlink w:anchor="__RefHeading___Toc49840_1658012805">
            <w:r>
              <w:rPr>
                <w:rStyle w:val="IndexLink"/>
              </w:rPr>
              <w:t>1.2.1 Analyse und Registrierung</w:t>
              <w:tab/>
              <w:t>12</w:t>
            </w:r>
          </w:hyperlink>
        </w:p>
        <w:p>
          <w:pPr>
            <w:pStyle w:val="TOC2"/>
            <w:rPr/>
          </w:pPr>
          <w:hyperlink w:anchor="__RefHeading___gueltigkeit_8">
            <w:r>
              <w:rPr>
                <w:rStyle w:val="IndexLink"/>
              </w:rPr>
              <w:t>1.3 Gültigkeit</w:t>
              <w:tab/>
              <w:t>13</w:t>
            </w:r>
          </w:hyperlink>
        </w:p>
        <w:p>
          <w:pPr>
            <w:pStyle w:val="TOC1"/>
            <w:rPr/>
          </w:pPr>
          <w:hyperlink w:anchor="__RefHeading___normative_verweise_9">
            <w:r>
              <w:rPr>
                <w:rStyle w:val="IndexLink"/>
              </w:rPr>
              <w:t>2 Normative Verweise</w:t>
              <w:tab/>
              <w:t>13</w:t>
            </w:r>
          </w:hyperlink>
        </w:p>
        <w:p>
          <w:pPr>
            <w:pStyle w:val="TOC1"/>
            <w:rPr/>
          </w:pPr>
          <w:hyperlink w:anchor="__RefHeading___begriffe_10">
            <w:r>
              <w:rPr>
                <w:rStyle w:val="IndexLink"/>
              </w:rPr>
              <w:t>Begriffe</w:t>
              <w:tab/>
              <w:t>15</w:t>
            </w:r>
          </w:hyperlink>
        </w:p>
        <w:p>
          <w:pPr>
            <w:pStyle w:val="TOC1"/>
            <w:rPr/>
          </w:pPr>
          <w:hyperlink w:anchor="__RefHeading___organisation_der_informat">
            <w:r>
              <w:rPr>
                <w:rStyle w:val="IndexLink"/>
              </w:rPr>
              <w:t>4 Organisation der Informationssicherheit</w:t>
              <w:tab/>
              <w:t>24</w:t>
            </w:r>
          </w:hyperlink>
        </w:p>
        <w:p>
          <w:pPr>
            <w:pStyle w:val="TOC2"/>
            <w:rPr/>
          </w:pPr>
          <w:hyperlink w:anchor="__RefHeading___verantwortlichkeiten_12">
            <w:r>
              <w:rPr>
                <w:rStyle w:val="IndexLink"/>
              </w:rPr>
              <w:t>4.1 Verantwortlichkeiten</w:t>
              <w:tab/>
              <w:t>24</w:t>
            </w:r>
          </w:hyperlink>
        </w:p>
        <w:p>
          <w:pPr>
            <w:pStyle w:val="TOC3"/>
            <w:rPr/>
          </w:pPr>
          <w:hyperlink w:anchor="__RefHeading___zuweisung_und_dokumentati">
            <w:r>
              <w:rPr>
                <w:rStyle w:val="IndexLink"/>
              </w:rPr>
              <w:t>4.1.1 Zuweisung und Dokumentation</w:t>
              <w:tab/>
              <w:t>24</w:t>
            </w:r>
          </w:hyperlink>
        </w:p>
        <w:p>
          <w:pPr>
            <w:pStyle w:val="TOC3"/>
            <w:rPr/>
          </w:pPr>
          <w:hyperlink w:anchor="__RefHeading___funktionstrennungen_14">
            <w:r>
              <w:rPr>
                <w:rStyle w:val="IndexLink"/>
              </w:rPr>
              <w:t>4.1.2 Funktionstrennungen</w:t>
              <w:tab/>
              <w:t>25</w:t>
            </w:r>
          </w:hyperlink>
        </w:p>
        <w:p>
          <w:pPr>
            <w:pStyle w:val="TOC3"/>
            <w:rPr/>
          </w:pPr>
          <w:hyperlink w:anchor="__RefHeading___zeitliche_ressourcen_15">
            <w:r>
              <w:rPr>
                <w:rStyle w:val="IndexLink"/>
              </w:rPr>
              <w:t>4.1.3 Zeitliche Ressourcen</w:t>
              <w:tab/>
              <w:t>25</w:t>
            </w:r>
          </w:hyperlink>
        </w:p>
        <w:p>
          <w:pPr>
            <w:pStyle w:val="TOC3"/>
            <w:rPr/>
          </w:pPr>
          <w:hyperlink w:anchor="__RefHeading___delegieren_von_aufgaben_1">
            <w:r>
              <w:rPr>
                <w:rStyle w:val="IndexLink"/>
              </w:rPr>
              <w:t>4.1.4 Delegieren von Aufgaben</w:t>
              <w:tab/>
              <w:t>26</w:t>
            </w:r>
          </w:hyperlink>
        </w:p>
        <w:p>
          <w:pPr>
            <w:pStyle w:val="TOC2"/>
            <w:rPr/>
          </w:pPr>
          <w:hyperlink w:anchor="__RefHeading___topmanagement_17">
            <w:r>
              <w:rPr>
                <w:rStyle w:val="IndexLink"/>
              </w:rPr>
              <w:t>4.2 Topmanagement</w:t>
              <w:tab/>
              <w:t>26</w:t>
            </w:r>
          </w:hyperlink>
        </w:p>
        <w:p>
          <w:pPr>
            <w:pStyle w:val="TOC2"/>
            <w:rPr/>
          </w:pPr>
          <w:hyperlink w:anchor="__RefHeading___informationssicherheitsbe">
            <w:r>
              <w:rPr>
                <w:rStyle w:val="IndexLink"/>
              </w:rPr>
              <w:t>4.3 Informationssicherheitsbeauftragter (ISB)</w:t>
              <w:tab/>
              <w:t>26</w:t>
            </w:r>
          </w:hyperlink>
        </w:p>
        <w:p>
          <w:pPr>
            <w:pStyle w:val="TOC2"/>
            <w:rPr/>
          </w:pPr>
          <w:hyperlink w:anchor="__RefHeading___informationssicherheitste">
            <w:r>
              <w:rPr>
                <w:rStyle w:val="IndexLink"/>
              </w:rPr>
              <w:t>4.4 Informationssicherheitsteam (IST)</w:t>
              <w:tab/>
              <w:t>27</w:t>
            </w:r>
          </w:hyperlink>
        </w:p>
        <w:p>
          <w:pPr>
            <w:pStyle w:val="TOC2"/>
            <w:rPr/>
          </w:pPr>
          <w:hyperlink w:anchor="__RefHeading___it-verantwortliche_20">
            <w:r>
              <w:rPr>
                <w:rStyle w:val="IndexLink"/>
              </w:rPr>
              <w:t>4.5 IT-Verantwortliche</w:t>
              <w:tab/>
              <w:t>28</w:t>
            </w:r>
          </w:hyperlink>
        </w:p>
        <w:p>
          <w:pPr>
            <w:pStyle w:val="TOC2"/>
            <w:rPr/>
          </w:pPr>
          <w:hyperlink w:anchor="__RefHeading___administratoren_21">
            <w:r>
              <w:rPr>
                <w:rStyle w:val="IndexLink"/>
              </w:rPr>
              <w:t>4.6 Administratoren</w:t>
              <w:tab/>
              <w:t>28</w:t>
            </w:r>
          </w:hyperlink>
        </w:p>
        <w:p>
          <w:pPr>
            <w:pStyle w:val="TOC2"/>
            <w:rPr/>
          </w:pPr>
          <w:hyperlink w:anchor="__RefHeading___vorgesetzte_22">
            <w:r>
              <w:rPr>
                <w:rStyle w:val="IndexLink"/>
              </w:rPr>
              <w:t>4.7 Vorgesetzte</w:t>
              <w:tab/>
              <w:t>29</w:t>
            </w:r>
          </w:hyperlink>
        </w:p>
        <w:p>
          <w:pPr>
            <w:pStyle w:val="TOC2"/>
            <w:rPr/>
          </w:pPr>
          <w:hyperlink w:anchor="__RefHeading___mitarbeiter_23">
            <w:r>
              <w:rPr>
                <w:rStyle w:val="IndexLink"/>
              </w:rPr>
              <w:t>4.8 Mitarbeiter</w:t>
              <w:tab/>
              <w:t>29</w:t>
            </w:r>
          </w:hyperlink>
        </w:p>
        <w:p>
          <w:pPr>
            <w:pStyle w:val="TOC2"/>
            <w:rPr/>
          </w:pPr>
          <w:hyperlink w:anchor="__RefHeading___projektverantwortliche_24">
            <w:r>
              <w:rPr>
                <w:rStyle w:val="IndexLink"/>
              </w:rPr>
              <w:t>4.9 Projektverantwortliche</w:t>
              <w:tab/>
              <w:t>29</w:t>
            </w:r>
          </w:hyperlink>
        </w:p>
        <w:p>
          <w:pPr>
            <w:pStyle w:val="TOC2"/>
            <w:rPr/>
          </w:pPr>
          <w:hyperlink w:anchor="__RefHeading___externe_25">
            <w:r>
              <w:rPr>
                <w:rStyle w:val="IndexLink"/>
              </w:rPr>
              <w:t>4.10 Externe</w:t>
              <w:tab/>
              <w:t>30</w:t>
            </w:r>
          </w:hyperlink>
        </w:p>
        <w:p>
          <w:pPr>
            <w:pStyle w:val="TOC1"/>
            <w:rPr/>
          </w:pPr>
          <w:hyperlink w:anchor="__RefHeading___leitlinie_zur_information">
            <w:r>
              <w:rPr>
                <w:rStyle w:val="IndexLink"/>
              </w:rPr>
              <w:t>5 Leitlinie zur Informationssicherheit (IS-Leitlinie)</w:t>
              <w:tab/>
              <w:t>30</w:t>
            </w:r>
          </w:hyperlink>
        </w:p>
        <w:p>
          <w:pPr>
            <w:pStyle w:val="TOC2"/>
            <w:rPr/>
          </w:pPr>
          <w:hyperlink w:anchor="__RefHeading___allgemeine_anforderungen_">
            <w:r>
              <w:rPr>
                <w:rStyle w:val="IndexLink"/>
              </w:rPr>
              <w:t>5.1 Allgemeine Anforderungen</w:t>
              <w:tab/>
              <w:t>30</w:t>
            </w:r>
          </w:hyperlink>
        </w:p>
        <w:p>
          <w:pPr>
            <w:pStyle w:val="TOC2"/>
            <w:rPr/>
          </w:pPr>
          <w:hyperlink w:anchor="__RefHeading___inhalte_28">
            <w:r>
              <w:rPr>
                <w:rStyle w:val="IndexLink"/>
              </w:rPr>
              <w:t>5.2 Inhalte</w:t>
              <w:tab/>
              <w:t>30</w:t>
            </w:r>
          </w:hyperlink>
        </w:p>
        <w:p>
          <w:pPr>
            <w:pStyle w:val="TOC1"/>
            <w:rPr/>
          </w:pPr>
          <w:hyperlink w:anchor="__RefHeading___richtlinien_zur_informati">
            <w:r>
              <w:rPr>
                <w:rStyle w:val="IndexLink"/>
              </w:rPr>
              <w:t>6 Richtlinien zur Informationssicherheit (IS-Richtlinien)</w:t>
              <w:tab/>
              <w:t>31</w:t>
            </w:r>
          </w:hyperlink>
        </w:p>
        <w:p>
          <w:pPr>
            <w:pStyle w:val="TOC2"/>
            <w:rPr/>
          </w:pPr>
          <w:hyperlink w:anchor="__RefHeading___allgemeine_anforderungen1">
            <w:r>
              <w:rPr>
                <w:rStyle w:val="IndexLink"/>
              </w:rPr>
              <w:t>6.1 Allgemeine Anforderungen</w:t>
              <w:tab/>
              <w:t>31</w:t>
            </w:r>
          </w:hyperlink>
        </w:p>
        <w:p>
          <w:pPr>
            <w:pStyle w:val="TOC2"/>
            <w:rPr/>
          </w:pPr>
          <w:hyperlink w:anchor="__RefHeading___inhalte_31">
            <w:r>
              <w:rPr>
                <w:rStyle w:val="IndexLink"/>
              </w:rPr>
              <w:t>6.2 Inhalte</w:t>
              <w:tab/>
              <w:t>32</w:t>
            </w:r>
          </w:hyperlink>
        </w:p>
        <w:p>
          <w:pPr>
            <w:pStyle w:val="TOC2"/>
            <w:rPr/>
          </w:pPr>
          <w:hyperlink w:anchor="__RefHeading___regelungen_fuer_nutzer_32">
            <w:r>
              <w:rPr>
                <w:rStyle w:val="IndexLink"/>
              </w:rPr>
              <w:t>6.3 Regelungen für Nutzer</w:t>
              <w:tab/>
              <w:t>32</w:t>
            </w:r>
          </w:hyperlink>
        </w:p>
        <w:p>
          <w:pPr>
            <w:pStyle w:val="TOC2"/>
            <w:rPr/>
          </w:pPr>
          <w:hyperlink w:anchor="__RefHeading___weitere_regelungen_38">
            <w:r>
              <w:rPr>
                <w:rStyle w:val="IndexLink"/>
              </w:rPr>
              <w:t>6.4 Weitere Regelungen</w:t>
              <w:tab/>
              <w:t>34</w:t>
            </w:r>
          </w:hyperlink>
        </w:p>
        <w:p>
          <w:pPr>
            <w:pStyle w:val="TOC1"/>
            <w:rPr/>
          </w:pPr>
          <w:hyperlink w:anchor="__RefHeading___mitarbeiter_39">
            <w:r>
              <w:rPr>
                <w:rStyle w:val="IndexLink"/>
              </w:rPr>
              <w:t>7 Mitarbeiter</w:t>
              <w:tab/>
              <w:t>34</w:t>
            </w:r>
          </w:hyperlink>
        </w:p>
        <w:p>
          <w:pPr>
            <w:pStyle w:val="TOC2"/>
            <w:rPr/>
          </w:pPr>
          <w:hyperlink w:anchor="__RefHeading___vor_aufnahme_der_taetigke">
            <w:r>
              <w:rPr>
                <w:rStyle w:val="IndexLink"/>
              </w:rPr>
              <w:t>7.1 Vor Aufnahme der Tätigkeit</w:t>
              <w:tab/>
              <w:t>35</w:t>
            </w:r>
          </w:hyperlink>
        </w:p>
        <w:p>
          <w:pPr>
            <w:pStyle w:val="TOC2"/>
            <w:rPr/>
          </w:pPr>
          <w:hyperlink w:anchor="__RefHeading___aufnahme_der_taetigkeit_4">
            <w:r>
              <w:rPr>
                <w:rStyle w:val="IndexLink"/>
              </w:rPr>
              <w:t>7.2 Aufnahme der Tätigkeit</w:t>
              <w:tab/>
              <w:t>35</w:t>
            </w:r>
          </w:hyperlink>
        </w:p>
        <w:p>
          <w:pPr>
            <w:pStyle w:val="TOC2"/>
            <w:rPr/>
          </w:pPr>
          <w:hyperlink w:anchor="__RefHeading___beendigung_oder_wechsel_d">
            <w:r>
              <w:rPr>
                <w:rStyle w:val="IndexLink"/>
              </w:rPr>
              <w:t>7.3 Beendigung oder Wechsel der Tätigkeit</w:t>
              <w:tab/>
              <w:t>36</w:t>
            </w:r>
          </w:hyperlink>
        </w:p>
        <w:p>
          <w:pPr>
            <w:pStyle w:val="TOC1"/>
            <w:rPr/>
          </w:pPr>
          <w:hyperlink w:anchor="__RefHeading___wissen_43">
            <w:r>
              <w:rPr>
                <w:rStyle w:val="IndexLink"/>
              </w:rPr>
              <w:t>8 Wissen</w:t>
              <w:tab/>
              <w:t>36</w:t>
            </w:r>
          </w:hyperlink>
        </w:p>
        <w:p>
          <w:pPr>
            <w:pStyle w:val="TOC2"/>
            <w:rPr/>
          </w:pPr>
          <w:hyperlink w:anchor="__RefHeading___aktualitaet_des_wissens_4">
            <w:r>
              <w:rPr>
                <w:rStyle w:val="IndexLink"/>
              </w:rPr>
              <w:t>8.1 Aktualität des Wissens</w:t>
              <w:tab/>
              <w:t>36</w:t>
            </w:r>
          </w:hyperlink>
        </w:p>
        <w:p>
          <w:pPr>
            <w:pStyle w:val="TOC2"/>
            <w:rPr/>
          </w:pPr>
          <w:hyperlink w:anchor="__RefHeading___schulung_und_sensibilisie">
            <w:r>
              <w:rPr>
                <w:rStyle w:val="IndexLink"/>
              </w:rPr>
              <w:t>8.2 Schulung und Sensibilisierung</w:t>
              <w:tab/>
              <w:t>37</w:t>
            </w:r>
          </w:hyperlink>
        </w:p>
        <w:p>
          <w:pPr>
            <w:pStyle w:val="TOC1"/>
            <w:rPr/>
          </w:pPr>
          <w:hyperlink w:anchor="__RefHeading___identifizieren_kritischer">
            <w:r>
              <w:rPr>
                <w:rStyle w:val="IndexLink"/>
              </w:rPr>
              <w:t>9 Identifizieren wichtiger und besonders schützenswerter IT-Ressourcen</w:t>
              <w:tab/>
              <w:t>39</w:t>
            </w:r>
          </w:hyperlink>
        </w:p>
        <w:p>
          <w:pPr>
            <w:pStyle w:val="TOC2"/>
            <w:rPr/>
          </w:pPr>
          <w:hyperlink w:anchor="__RefHeading___prozesse_47">
            <w:r>
              <w:rPr>
                <w:rStyle w:val="IndexLink"/>
              </w:rPr>
              <w:t>9.1 Prozesse</w:t>
              <w:tab/>
              <w:t>40</w:t>
            </w:r>
          </w:hyperlink>
        </w:p>
        <w:p>
          <w:pPr>
            <w:pStyle w:val="TOC2"/>
            <w:rPr/>
          </w:pPr>
          <w:hyperlink w:anchor="__RefHeading___prozesse_47_Copy_1">
            <w:r>
              <w:rPr>
                <w:rStyle w:val="IndexLink"/>
              </w:rPr>
              <w:t>9.2 Wichtige IT-Ressourcen</w:t>
              <w:tab/>
              <w:t>40</w:t>
            </w:r>
          </w:hyperlink>
        </w:p>
        <w:p>
          <w:pPr>
            <w:pStyle w:val="TOC2"/>
            <w:rPr/>
          </w:pPr>
          <w:hyperlink w:anchor="__RefHeading___informationen_48">
            <w:r>
              <w:rPr>
                <w:rStyle w:val="IndexLink"/>
              </w:rPr>
              <w:t>9.3 Besonders schützenswerte Informationen</w:t>
              <w:tab/>
              <w:t>42</w:t>
            </w:r>
          </w:hyperlink>
        </w:p>
        <w:p>
          <w:pPr>
            <w:pStyle w:val="TOC2"/>
            <w:rPr/>
          </w:pPr>
          <w:hyperlink w:anchor="__RefHeading___it-ressourcen_49">
            <w:r>
              <w:rPr>
                <w:rStyle w:val="IndexLink"/>
              </w:rPr>
              <w:t>9.4 Besonders schützenswerte IT-Ressourcen</w:t>
              <w:tab/>
              <w:t>43</w:t>
            </w:r>
          </w:hyperlink>
        </w:p>
        <w:p>
          <w:pPr>
            <w:pStyle w:val="TOC2"/>
            <w:rPr/>
          </w:pPr>
          <w:hyperlink w:anchor="__RefHeading___prozesse_47_Copy_1_Copy_1">
            <w:r>
              <w:rPr>
                <w:rStyle w:val="IndexLink"/>
              </w:rPr>
              <w:t>9.5 Weitere Kategorien von IT-Ressourcen</w:t>
              <w:tab/>
              <w:t>44</w:t>
            </w:r>
          </w:hyperlink>
        </w:p>
        <w:p>
          <w:pPr>
            <w:pStyle w:val="TOC1"/>
            <w:rPr/>
          </w:pPr>
          <w:hyperlink w:anchor="__RefHeading___it-systeme_50_Copy_1">
            <w:r>
              <w:rPr>
                <w:rStyle w:val="IndexLink"/>
              </w:rPr>
              <w:t>N10 Informationen</w:t>
              <w:tab/>
              <w:t>45</w:t>
            </w:r>
          </w:hyperlink>
        </w:p>
        <w:p>
          <w:pPr>
            <w:pStyle w:val="TOC2"/>
            <w:rPr/>
          </w:pPr>
          <w:hyperlink w:anchor="__RefHeading___inventarisierung_51_Copy_">
            <w:r>
              <w:rPr>
                <w:rStyle w:val="IndexLink"/>
              </w:rPr>
              <w:t>N10.1 Wichtige Informationen</w:t>
              <w:tab/>
              <w:t>45</w:t>
            </w:r>
          </w:hyperlink>
        </w:p>
        <w:p>
          <w:pPr>
            <w:pStyle w:val="TOC2"/>
            <w:rPr/>
          </w:pPr>
          <w:hyperlink w:anchor="__RefHeading___inventarisierung_51_Copy1">
            <w:r>
              <w:rPr>
                <w:rStyle w:val="IndexLink"/>
              </w:rPr>
              <w:t>N10.2 Besonders schützenswerte Informationen</w:t>
              <w:tab/>
              <w:t>45</w:t>
            </w:r>
          </w:hyperlink>
        </w:p>
        <w:p>
          <w:pPr>
            <w:pStyle w:val="TOC1"/>
            <w:rPr/>
          </w:pPr>
          <w:hyperlink w:anchor="__RefHeading___it-systeme_50">
            <w:r>
              <w:rPr>
                <w:rStyle w:val="IndexLink"/>
              </w:rPr>
              <w:t>10 IT-Systeme</w:t>
              <w:tab/>
              <w:t>45</w:t>
            </w:r>
          </w:hyperlink>
        </w:p>
        <w:p>
          <w:pPr>
            <w:pStyle w:val="TOC2"/>
            <w:rPr/>
          </w:pPr>
          <w:hyperlink w:anchor="__RefHeading___inventarisierung_51">
            <w:r>
              <w:rPr>
                <w:rStyle w:val="IndexLink"/>
              </w:rPr>
              <w:t>10.1 Inventarisierung</w:t>
              <w:tab/>
              <w:t>45</w:t>
            </w:r>
          </w:hyperlink>
        </w:p>
        <w:p>
          <w:pPr>
            <w:pStyle w:val="TOC2"/>
            <w:rPr/>
          </w:pPr>
          <w:hyperlink w:anchor="__RefHeading___lebenszyklus_52">
            <w:r>
              <w:rPr>
                <w:rStyle w:val="IndexLink"/>
              </w:rPr>
              <w:t>10.2 Lebenszyklus</w:t>
              <w:tab/>
              <w:t>46</w:t>
            </w:r>
          </w:hyperlink>
        </w:p>
        <w:p>
          <w:pPr>
            <w:pStyle w:val="TOC3"/>
            <w:rPr/>
          </w:pPr>
          <w:hyperlink w:anchor="__RefHeading___inbetriebnahme_und_aender">
            <w:r>
              <w:rPr>
                <w:rStyle w:val="IndexLink"/>
              </w:rPr>
              <w:t>10.2.n1 Auswahl</w:t>
              <w:tab/>
              <w:t>47</w:t>
            </w:r>
          </w:hyperlink>
        </w:p>
        <w:p>
          <w:pPr>
            <w:pStyle w:val="TOC3"/>
            <w:rPr/>
          </w:pPr>
          <w:hyperlink w:anchor="__RefHeading___inbetriebnahme_und_aende1">
            <w:r>
              <w:rPr>
                <w:rStyle w:val="IndexLink"/>
              </w:rPr>
              <w:t>10.2.1 Inbetriebnahme und Änderung</w:t>
              <w:tab/>
              <w:t>47</w:t>
            </w:r>
          </w:hyperlink>
        </w:p>
        <w:p>
          <w:pPr>
            <w:pStyle w:val="TOC3"/>
            <w:rPr/>
          </w:pPr>
          <w:hyperlink w:anchor="__RefHeading___ausmusterung_und_wiederve">
            <w:r>
              <w:rPr>
                <w:rStyle w:val="IndexLink"/>
              </w:rPr>
              <w:t>10.2.2 Ausmusterung und Wiederverwendung</w:t>
              <w:tab/>
              <w:t>47</w:t>
            </w:r>
          </w:hyperlink>
        </w:p>
        <w:p>
          <w:pPr>
            <w:pStyle w:val="TOC2"/>
            <w:rPr/>
          </w:pPr>
          <w:hyperlink w:anchor="__RefHeading___basisschutz_55">
            <w:r>
              <w:rPr>
                <w:rStyle w:val="IndexLink"/>
              </w:rPr>
              <w:t>10.3 Basisschutz</w:t>
              <w:tab/>
              <w:t>48</w:t>
            </w:r>
          </w:hyperlink>
        </w:p>
        <w:p>
          <w:pPr>
            <w:pStyle w:val="TOC3"/>
            <w:rPr/>
          </w:pPr>
          <w:hyperlink w:anchor="__RefHeading___software_56">
            <w:r>
              <w:rPr>
                <w:rStyle w:val="IndexLink"/>
              </w:rPr>
              <w:t>10.3.1 Software</w:t>
              <w:tab/>
              <w:t>49</w:t>
            </w:r>
          </w:hyperlink>
        </w:p>
        <w:p>
          <w:pPr>
            <w:pStyle w:val="TOC3"/>
            <w:rPr/>
          </w:pPr>
          <w:hyperlink w:anchor="__RefHeading___beschraenkung_des_netzwer">
            <w:r>
              <w:rPr>
                <w:rStyle w:val="IndexLink"/>
              </w:rPr>
              <w:t>10.3.2 Beschränkung des Netzwerkverkehrs</w:t>
              <w:tab/>
              <w:t>49</w:t>
            </w:r>
          </w:hyperlink>
        </w:p>
        <w:p>
          <w:pPr>
            <w:pStyle w:val="TOC3"/>
            <w:rPr/>
          </w:pPr>
          <w:hyperlink w:anchor="__RefHeading___protokollierung_58">
            <w:r>
              <w:rPr>
                <w:rStyle w:val="IndexLink"/>
              </w:rPr>
              <w:t>10.3.3 Protokollierung</w:t>
              <w:tab/>
              <w:t>50</w:t>
            </w:r>
          </w:hyperlink>
        </w:p>
        <w:p>
          <w:pPr>
            <w:pStyle w:val="TOC3"/>
            <w:rPr/>
          </w:pPr>
          <w:hyperlink w:anchor="__RefHeading___externe_schnittstellen_un">
            <w:r>
              <w:rPr>
                <w:rStyle w:val="IndexLink"/>
              </w:rPr>
              <w:t>10.3.4 Externe Schnittstellen und Laufwerke</w:t>
              <w:tab/>
              <w:t>51</w:t>
            </w:r>
          </w:hyperlink>
        </w:p>
        <w:p>
          <w:pPr>
            <w:pStyle w:val="TOC3"/>
            <w:rPr/>
          </w:pPr>
          <w:hyperlink w:anchor="__RefHeading___schadsoftware_60">
            <w:r>
              <w:rPr>
                <w:rStyle w:val="IndexLink"/>
              </w:rPr>
              <w:t>10.3.5 Schadsoftware</w:t>
              <w:tab/>
              <w:t>51</w:t>
            </w:r>
          </w:hyperlink>
        </w:p>
        <w:p>
          <w:pPr>
            <w:pStyle w:val="TOC3"/>
            <w:rPr/>
          </w:pPr>
          <w:hyperlink w:anchor="__RefHeading___starten_von_fremden_medie">
            <w:r>
              <w:rPr>
                <w:rStyle w:val="IndexLink"/>
              </w:rPr>
              <w:t>10.3.6 Starten von fremden Medien</w:t>
              <w:tab/>
              <w:t>52</w:t>
            </w:r>
          </w:hyperlink>
        </w:p>
        <w:p>
          <w:pPr>
            <w:pStyle w:val="TOC3"/>
            <w:rPr/>
          </w:pPr>
          <w:hyperlink w:anchor="__RefHeading___authentifizierung_62">
            <w:r>
              <w:rPr>
                <w:rStyle w:val="IndexLink"/>
              </w:rPr>
              <w:t>10.3.7 Authentifizierung</w:t>
              <w:tab/>
              <w:t>52</w:t>
            </w:r>
          </w:hyperlink>
        </w:p>
        <w:p>
          <w:pPr>
            <w:pStyle w:val="TOC3"/>
            <w:rPr/>
          </w:pPr>
          <w:hyperlink w:anchor="__RefHeading___zugaenge_und_zugriffe_63">
            <w:r>
              <w:rPr>
                <w:rStyle w:val="IndexLink"/>
              </w:rPr>
              <w:t>10.3.8 Zugänge und Zugriffe</w:t>
              <w:tab/>
              <w:t>53</w:t>
            </w:r>
          </w:hyperlink>
        </w:p>
        <w:p>
          <w:pPr>
            <w:pStyle w:val="TOC2"/>
            <w:rPr/>
          </w:pPr>
          <w:hyperlink w:anchor="__RefHeading___zusaetzliche_massnahmen_f">
            <w:r>
              <w:rPr>
                <w:rStyle w:val="IndexLink"/>
              </w:rPr>
              <w:t>10.4 Zusätzliche Maßnahmen für mobile IT-Systeme</w:t>
              <w:tab/>
              <w:t>54</w:t>
            </w:r>
          </w:hyperlink>
        </w:p>
        <w:p>
          <w:pPr>
            <w:pStyle w:val="TOC3"/>
            <w:rPr/>
          </w:pPr>
          <w:hyperlink w:anchor="__RefHeading___is-richtlinie_65">
            <w:r>
              <w:rPr>
                <w:rStyle w:val="IndexLink"/>
              </w:rPr>
              <w:t>10.4.1 IS-Richtlinie</w:t>
              <w:tab/>
              <w:t>54</w:t>
            </w:r>
          </w:hyperlink>
        </w:p>
        <w:p>
          <w:pPr>
            <w:pStyle w:val="TOC3"/>
            <w:rPr/>
          </w:pPr>
          <w:hyperlink w:anchor="__RefHeading___schutz_der_informationen_">
            <w:r>
              <w:rPr>
                <w:rStyle w:val="IndexLink"/>
              </w:rPr>
              <w:t>10.4.2 Schutz der Informationen</w:t>
              <w:tab/>
              <w:t>55</w:t>
            </w:r>
          </w:hyperlink>
        </w:p>
        <w:p>
          <w:pPr>
            <w:pStyle w:val="TOC3"/>
            <w:rPr/>
          </w:pPr>
          <w:hyperlink w:anchor="__RefHeading___verlust_67">
            <w:r>
              <w:rPr>
                <w:rStyle w:val="IndexLink"/>
              </w:rPr>
              <w:t>10.4.3 Verlust</w:t>
              <w:tab/>
              <w:t>56</w:t>
            </w:r>
          </w:hyperlink>
        </w:p>
        <w:p>
          <w:pPr>
            <w:pStyle w:val="TOC2"/>
            <w:rPr/>
          </w:pPr>
          <w:hyperlink w:anchor="__RefHeading___zusaetzliche_massnahmen_1">
            <w:r>
              <w:rPr>
                <w:rStyle w:val="IndexLink"/>
              </w:rPr>
              <w:t>10.n1 Zusätzliche Maßnahmen für wichtige IT-Systeme</w:t>
              <w:tab/>
              <w:t>56</w:t>
            </w:r>
          </w:hyperlink>
        </w:p>
        <w:p>
          <w:pPr>
            <w:pStyle w:val="TOC3"/>
            <w:rPr/>
          </w:pPr>
          <w:hyperlink w:anchor="__RefHeading___dokumentation_74_Copy_1">
            <w:r>
              <w:rPr>
                <w:rStyle w:val="IndexLink"/>
              </w:rPr>
              <w:t>10.n1.1 Dokumentation</w:t>
              <w:tab/>
              <w:t>57</w:t>
            </w:r>
          </w:hyperlink>
        </w:p>
        <w:p>
          <w:pPr>
            <w:pStyle w:val="TOC3"/>
            <w:rPr/>
          </w:pPr>
          <w:hyperlink w:anchor="__RefHeading___datensicherung_75_Copy_1">
            <w:r>
              <w:rPr>
                <w:rStyle w:val="IndexLink"/>
              </w:rPr>
              <w:t>10.n1.2 Datensicherung</w:t>
              <w:tab/>
              <w:t>57</w:t>
            </w:r>
          </w:hyperlink>
        </w:p>
        <w:p>
          <w:pPr>
            <w:pStyle w:val="TOC3"/>
            <w:rPr/>
          </w:pPr>
          <w:hyperlink w:anchor="__RefHeading___ueberwachung_76_Copy_1">
            <w:r>
              <w:rPr>
                <w:rStyle w:val="IndexLink"/>
              </w:rPr>
              <w:t>10.n1.3 Überwachung</w:t>
              <w:tab/>
              <w:t>57</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58</w:t>
            </w:r>
          </w:hyperlink>
        </w:p>
        <w:p>
          <w:pPr>
            <w:pStyle w:val="TOC3"/>
            <w:rPr/>
          </w:pPr>
          <w:hyperlink w:anchor="__RefHeading___notbetriebsniveau_70">
            <w:r>
              <w:rPr>
                <w:rStyle w:val="IndexLink"/>
              </w:rPr>
              <w:t>10.5.1 Notbetriebsniveau</w:t>
              <w:tab/>
              <w:t>58</w:t>
            </w:r>
          </w:hyperlink>
        </w:p>
        <w:p>
          <w:pPr>
            <w:pStyle w:val="TOC3"/>
            <w:rPr/>
          </w:pPr>
          <w:hyperlink w:anchor="__RefHeading___robustheit_71">
            <w:r>
              <w:rPr>
                <w:rStyle w:val="IndexLink"/>
              </w:rPr>
              <w:t>10.5.2 Robustheit</w:t>
              <w:tab/>
              <w:t>58</w:t>
            </w:r>
          </w:hyperlink>
        </w:p>
        <w:p>
          <w:pPr>
            <w:pStyle w:val="TOC3"/>
            <w:rPr/>
          </w:pPr>
          <w:hyperlink w:anchor="__RefHeading___externe_schnittstellen_u1">
            <w:r>
              <w:rPr>
                <w:rStyle w:val="IndexLink"/>
              </w:rPr>
              <w:t>10.5.3 Externe Schnittstellen und Laufwerke</w:t>
              <w:tab/>
              <w:t>58</w:t>
            </w:r>
          </w:hyperlink>
        </w:p>
        <w:p>
          <w:pPr>
            <w:pStyle w:val="TOC3"/>
            <w:rPr/>
          </w:pPr>
          <w:hyperlink w:anchor="__RefHeading___aenderungsmanagement_73">
            <w:r>
              <w:rPr>
                <w:rStyle w:val="IndexLink"/>
              </w:rPr>
              <w:t>10.5.4 Änderungsmanagement</w:t>
              <w:tab/>
              <w:t>59</w:t>
            </w:r>
          </w:hyperlink>
        </w:p>
        <w:p>
          <w:pPr>
            <w:pStyle w:val="TOC3"/>
            <w:rPr/>
          </w:pPr>
          <w:hyperlink w:anchor="__RefHeading___ersatzsysteme_und_-verfah">
            <w:r>
              <w:rPr>
                <w:rStyle w:val="IndexLink"/>
              </w:rPr>
              <w:t>10.5.5 Ersatzsysteme und -verfahren</w:t>
              <w:tab/>
              <w:t>59</w:t>
            </w:r>
          </w:hyperlink>
        </w:p>
        <w:p>
          <w:pPr>
            <w:pStyle w:val="TOC3"/>
            <w:rPr/>
          </w:pPr>
          <w:hyperlink w:anchor="__RefHeading___kritische_individualsoftw">
            <w:r>
              <w:rPr>
                <w:rStyle w:val="IndexLink"/>
              </w:rPr>
              <w:t>10.5.6 Besonders schützenswerte Individualsoftware</w:t>
              <w:tab/>
              <w:t>60</w:t>
            </w:r>
          </w:hyperlink>
        </w:p>
        <w:p>
          <w:pPr>
            <w:pStyle w:val="TOC1"/>
            <w:rPr/>
          </w:pPr>
          <w:hyperlink w:anchor="__RefHeading___netzwerke_und_verbindung1">
            <w:r>
              <w:rPr>
                <w:rStyle w:val="IndexLink"/>
              </w:rPr>
              <w:t>11 Netzwerke und Verbindungen</w:t>
              <w:tab/>
              <w:t>60</w:t>
            </w:r>
          </w:hyperlink>
        </w:p>
        <w:p>
          <w:pPr>
            <w:pStyle w:val="TOC2"/>
            <w:rPr/>
          </w:pPr>
          <w:hyperlink w:anchor="__RefHeading___netzwerkplan_80">
            <w:r>
              <w:rPr>
                <w:rStyle w:val="IndexLink"/>
              </w:rPr>
              <w:t>11.1 Netzwerkplan</w:t>
              <w:tab/>
              <w:t>60</w:t>
            </w:r>
          </w:hyperlink>
        </w:p>
        <w:p>
          <w:pPr>
            <w:pStyle w:val="TOC2"/>
            <w:rPr/>
          </w:pPr>
          <w:hyperlink w:anchor="__RefHeading___aktive_netzwerkkomponente">
            <w:r>
              <w:rPr>
                <w:rStyle w:val="IndexLink"/>
              </w:rPr>
              <w:t>11.2 Aktive Netzwerkkomponenten</w:t>
              <w:tab/>
              <w:t>61</w:t>
            </w:r>
          </w:hyperlink>
        </w:p>
        <w:p>
          <w:pPr>
            <w:pStyle w:val="TOC2"/>
            <w:rPr/>
          </w:pPr>
          <w:hyperlink w:anchor="__RefHeading___netzuebergaenge_82">
            <w:r>
              <w:rPr>
                <w:rStyle w:val="IndexLink"/>
              </w:rPr>
              <w:t>11.3 Netzübergänge</w:t>
              <w:tab/>
              <w:t>61</w:t>
            </w:r>
          </w:hyperlink>
        </w:p>
        <w:p>
          <w:pPr>
            <w:pStyle w:val="TOC2"/>
            <w:rPr/>
          </w:pPr>
          <w:hyperlink w:anchor="__RefHeading___basisschutz_83">
            <w:r>
              <w:rPr>
                <w:rStyle w:val="IndexLink"/>
              </w:rPr>
              <w:t>11.4 Basisschutz</w:t>
              <w:tab/>
              <w:t>62</w:t>
            </w:r>
          </w:hyperlink>
        </w:p>
        <w:p>
          <w:pPr>
            <w:pStyle w:val="TOC3"/>
            <w:rPr/>
          </w:pPr>
          <w:hyperlink w:anchor="__RefHeading___netzwerkanschluesse_84">
            <w:r>
              <w:rPr>
                <w:rStyle w:val="IndexLink"/>
              </w:rPr>
              <w:t>11.4.1 Netzwerkanschlüsse</w:t>
              <w:tab/>
              <w:t>63</w:t>
            </w:r>
          </w:hyperlink>
        </w:p>
        <w:p>
          <w:pPr>
            <w:pStyle w:val="TOC3"/>
            <w:rPr/>
          </w:pPr>
          <w:hyperlink w:anchor="__RefHeading___segmentierung_85">
            <w:r>
              <w:rPr>
                <w:rStyle w:val="IndexLink"/>
              </w:rPr>
              <w:t>11.4.2 Segmentierung</w:t>
              <w:tab/>
              <w:t>63</w:t>
            </w:r>
          </w:hyperlink>
        </w:p>
        <w:p>
          <w:pPr>
            <w:pStyle w:val="TOC3"/>
            <w:rPr/>
          </w:pPr>
          <w:hyperlink w:anchor="__RefHeading___fernzugang_86">
            <w:r>
              <w:rPr>
                <w:rStyle w:val="IndexLink"/>
              </w:rPr>
              <w:t>11.4.3 Fernzugang</w:t>
              <w:tab/>
              <w:t>63</w:t>
            </w:r>
          </w:hyperlink>
        </w:p>
        <w:p>
          <w:pPr>
            <w:pStyle w:val="TOC3"/>
            <w:rPr/>
          </w:pPr>
          <w:hyperlink w:anchor="__RefHeading___netzwerkkopplung_87">
            <w:r>
              <w:rPr>
                <w:rStyle w:val="IndexLink"/>
              </w:rPr>
              <w:t>11.4.4 Netzwerkkopplung</w:t>
              <w:tab/>
              <w:t>64</w:t>
            </w:r>
          </w:hyperlink>
        </w:p>
        <w:p>
          <w:pPr>
            <w:pStyle w:val="TOC2"/>
            <w:rPr/>
          </w:pPr>
          <w:hyperlink w:anchor="__RefHeading___zusaetzliche_massnahmen_9">
            <w:r>
              <w:rPr>
                <w:rStyle w:val="IndexLink"/>
              </w:rPr>
              <w:t>11.5 Zusätzliche Maßnahmen für wichtige Verbindungen</w:t>
              <w:tab/>
              <w:t>65</w:t>
            </w:r>
          </w:hyperlink>
        </w:p>
        <w:p>
          <w:pPr>
            <w:pStyle w:val="TOC1"/>
            <w:rPr/>
          </w:pPr>
          <w:hyperlink w:anchor="__RefHeading___mobile_datentraeger_89">
            <w:r>
              <w:rPr>
                <w:rStyle w:val="IndexLink"/>
              </w:rPr>
              <w:t>12 Mobile Datenträger</w:t>
              <w:tab/>
              <w:t>65</w:t>
            </w:r>
          </w:hyperlink>
        </w:p>
        <w:p>
          <w:pPr>
            <w:pStyle w:val="TOC2"/>
            <w:rPr/>
          </w:pPr>
          <w:hyperlink w:anchor="__RefHeading___is-richtlinie_90">
            <w:r>
              <w:rPr>
                <w:rStyle w:val="IndexLink"/>
              </w:rPr>
              <w:t>12.1 IS-Richtlinie</w:t>
              <w:tab/>
              <w:t>65</w:t>
            </w:r>
          </w:hyperlink>
        </w:p>
        <w:p>
          <w:pPr>
            <w:pStyle w:val="TOC2"/>
            <w:rPr/>
          </w:pPr>
          <w:hyperlink w:anchor="__RefHeading___schutz_der_informationen1">
            <w:r>
              <w:rPr>
                <w:rStyle w:val="IndexLink"/>
              </w:rPr>
              <w:t>12.2 Schutz der Informationen</w:t>
              <w:tab/>
              <w:t>66</w:t>
            </w:r>
          </w:hyperlink>
        </w:p>
        <w:p>
          <w:pPr>
            <w:pStyle w:val="TOC2"/>
            <w:rPr/>
          </w:pPr>
          <w:hyperlink w:anchor="__RefHeading___zusaetzliche_massnahmen_3">
            <w:r>
              <w:rPr>
                <w:rStyle w:val="IndexLink"/>
              </w:rPr>
              <w:t>12.3 Zusätzliche Maßnahmen für wichtige mobile Datenträger</w:t>
              <w:tab/>
              <w:t>66</w:t>
            </w:r>
          </w:hyperlink>
        </w:p>
        <w:p>
          <w:pPr>
            <w:pStyle w:val="TOC1"/>
            <w:rPr/>
          </w:pPr>
          <w:hyperlink w:anchor="__RefHeading___umgebung_93">
            <w:r>
              <w:rPr>
                <w:rStyle w:val="IndexLink"/>
              </w:rPr>
              <w:t>13 Umgebung</w:t>
              <w:tab/>
              <w:t>66</w:t>
            </w:r>
          </w:hyperlink>
        </w:p>
        <w:p>
          <w:pPr>
            <w:pStyle w:val="TOC2"/>
            <w:rPr/>
          </w:pPr>
          <w:hyperlink w:anchor="__RefHeading___server_aktive_netzwerkkom">
            <w:r>
              <w:rPr>
                <w:rStyle w:val="IndexLink"/>
              </w:rPr>
              <w:t>13.1 Server, aktive Netzwerkkomponenten und Netzwerkverteilstellen</w:t>
              <w:tab/>
              <w:t>66</w:t>
            </w:r>
          </w:hyperlink>
        </w:p>
        <w:p>
          <w:pPr>
            <w:pStyle w:val="TOC2"/>
            <w:rPr/>
          </w:pPr>
          <w:hyperlink w:anchor="__RefHeading___datenleitungen_95">
            <w:r>
              <w:rPr>
                <w:rStyle w:val="IndexLink"/>
              </w:rPr>
              <w:t>13.2 Datenleitungen</w:t>
              <w:tab/>
              <w:t>67</w:t>
            </w:r>
          </w:hyperlink>
        </w:p>
        <w:p>
          <w:pPr>
            <w:pStyle w:val="TOC2"/>
            <w:rPr/>
          </w:pPr>
          <w:hyperlink w:anchor="__RefHeading___zusaetzliche_massnahmen_4">
            <w:r>
              <w:rPr>
                <w:rStyle w:val="IndexLink"/>
              </w:rPr>
              <w:t>13.3 Zusätzliche Maßnahmen für wichtigen IT-Systeme</w:t>
              <w:tab/>
              <w:t>68</w:t>
            </w:r>
          </w:hyperlink>
        </w:p>
        <w:p>
          <w:pPr>
            <w:pStyle w:val="TOC1"/>
            <w:rPr/>
          </w:pPr>
          <w:hyperlink w:anchor="__RefHeading___it-outsourcing_und_cloud_">
            <w:r>
              <w:rPr>
                <w:rStyle w:val="IndexLink"/>
              </w:rPr>
              <w:t>14 IT-Outsourcing und Cloud Computing</w:t>
              <w:tab/>
              <w:t>68</w:t>
            </w:r>
          </w:hyperlink>
        </w:p>
        <w:p>
          <w:pPr>
            <w:pStyle w:val="TOC2"/>
            <w:rPr/>
          </w:pPr>
          <w:hyperlink w:anchor="__RefHeading___is-richtlinie_98">
            <w:r>
              <w:rPr>
                <w:rStyle w:val="IndexLink"/>
              </w:rPr>
              <w:t>14.1 IS-Richtlinie</w:t>
              <w:tab/>
              <w:t>69</w:t>
            </w:r>
          </w:hyperlink>
        </w:p>
        <w:p>
          <w:pPr>
            <w:pStyle w:val="TOC2"/>
            <w:rPr/>
          </w:pPr>
          <w:hyperlink w:anchor="__RefHeading___vorbereitung_99">
            <w:r>
              <w:rPr>
                <w:rStyle w:val="IndexLink"/>
              </w:rPr>
              <w:t>14.2 Vorbereitung</w:t>
              <w:tab/>
              <w:t>69</w:t>
            </w:r>
          </w:hyperlink>
        </w:p>
        <w:p>
          <w:pPr>
            <w:pStyle w:val="TOC2"/>
            <w:rPr/>
          </w:pPr>
          <w:hyperlink w:anchor="__RefHeading___vertragsgestaltung_100">
            <w:r>
              <w:rPr>
                <w:rStyle w:val="IndexLink"/>
              </w:rPr>
              <w:t>14.3 Vertragsgestaltung</w:t>
              <w:tab/>
              <w:t>69</w:t>
            </w:r>
          </w:hyperlink>
        </w:p>
        <w:p>
          <w:pPr>
            <w:pStyle w:val="TOC2"/>
            <w:rPr/>
          </w:pPr>
          <w:hyperlink w:anchor="__RefHeading___zusaetzliche_massnahmen_5">
            <w:r>
              <w:rPr>
                <w:rStyle w:val="IndexLink"/>
              </w:rPr>
              <w:t>14.4 Zusätzliche Maßnahmen für wichtige IT-Ressourcen</w:t>
              <w:tab/>
              <w:t>70</w:t>
            </w:r>
          </w:hyperlink>
        </w:p>
        <w:p>
          <w:pPr>
            <w:pStyle w:val="TOC1"/>
            <w:rPr/>
          </w:pPr>
          <w:hyperlink w:anchor="__RefHeading___zugaenge_und_zugriffsrech">
            <w:r>
              <w:rPr>
                <w:rStyle w:val="IndexLink"/>
              </w:rPr>
              <w:t>15 Zugänge und Zugriffsrechte</w:t>
              <w:tab/>
              <w:t>71</w:t>
            </w:r>
          </w:hyperlink>
        </w:p>
        <w:p>
          <w:pPr>
            <w:pStyle w:val="TOC2"/>
            <w:rPr/>
          </w:pPr>
          <w:hyperlink w:anchor="__RefHeading___verwaltung_103">
            <w:r>
              <w:rPr>
                <w:rStyle w:val="IndexLink"/>
              </w:rPr>
              <w:t>15.1 Verwaltung</w:t>
              <w:tab/>
              <w:t>72</w:t>
            </w:r>
          </w:hyperlink>
        </w:p>
        <w:p>
          <w:pPr>
            <w:pStyle w:val="TOC2"/>
            <w:rPr/>
          </w:pPr>
          <w:hyperlink w:anchor="__RefHeading___zusaetzliche_massnahmen_6">
            <w:r>
              <w:rPr>
                <w:rStyle w:val="IndexLink"/>
              </w:rPr>
              <w:t>15.2 Zusätzliche Maßnahmen für besonders schützenswerte IT-Systeme und Informationen</w:t>
              <w:tab/>
              <w:t>72</w:t>
            </w:r>
          </w:hyperlink>
        </w:p>
        <w:p>
          <w:pPr>
            <w:pStyle w:val="TOC1"/>
            <w:rPr/>
          </w:pPr>
          <w:hyperlink w:anchor="__RefHeading___datensicherung_und_archiv">
            <w:r>
              <w:rPr>
                <w:rStyle w:val="IndexLink"/>
              </w:rPr>
              <w:t>16 Datensicherung und Archivierung</w:t>
              <w:tab/>
              <w:t>73</w:t>
            </w:r>
          </w:hyperlink>
        </w:p>
        <w:p>
          <w:pPr>
            <w:pStyle w:val="TOC2"/>
            <w:rPr/>
          </w:pPr>
          <w:hyperlink w:anchor="__RefHeading___is-richtlinie_106">
            <w:r>
              <w:rPr>
                <w:rStyle w:val="IndexLink"/>
              </w:rPr>
              <w:t>16.1 IS-Richtlinie</w:t>
              <w:tab/>
              <w:t>73</w:t>
            </w:r>
          </w:hyperlink>
        </w:p>
        <w:p>
          <w:pPr>
            <w:pStyle w:val="TOC2"/>
            <w:rPr/>
          </w:pPr>
          <w:hyperlink w:anchor="__RefHeading___archivierung_107">
            <w:r>
              <w:rPr>
                <w:rStyle w:val="IndexLink"/>
              </w:rPr>
              <w:t>16.2 Archivierung</w:t>
              <w:tab/>
              <w:t>74</w:t>
            </w:r>
          </w:hyperlink>
        </w:p>
        <w:p>
          <w:pPr>
            <w:pStyle w:val="TOC2"/>
            <w:rPr/>
          </w:pPr>
          <w:hyperlink w:anchor="__RefHeading___verfahren_108">
            <w:r>
              <w:rPr>
                <w:rStyle w:val="IndexLink"/>
              </w:rPr>
              <w:t>16.3 Verfahren</w:t>
              <w:tab/>
              <w:t>74</w:t>
            </w:r>
          </w:hyperlink>
        </w:p>
        <w:p>
          <w:pPr>
            <w:pStyle w:val="TOC2"/>
            <w:rPr/>
          </w:pPr>
          <w:hyperlink w:anchor="__RefHeading___weiterentwicklung_112">
            <w:r>
              <w:rPr>
                <w:rStyle w:val="IndexLink"/>
              </w:rPr>
              <w:t>16.4 Weiterentwicklung</w:t>
              <w:tab/>
              <w:t>76</w:t>
            </w:r>
          </w:hyperlink>
        </w:p>
        <w:p>
          <w:pPr>
            <w:pStyle w:val="TOC2"/>
            <w:rPr/>
          </w:pPr>
          <w:hyperlink w:anchor="__RefHeading___basisschutz_113">
            <w:r>
              <w:rPr>
                <w:rStyle w:val="IndexLink"/>
              </w:rPr>
              <w:t>16.5 Basisschutz</w:t>
              <w:tab/>
              <w:t>76</w:t>
            </w:r>
          </w:hyperlink>
        </w:p>
        <w:p>
          <w:pPr>
            <w:pStyle w:val="TOC3"/>
            <w:rPr/>
          </w:pPr>
          <w:hyperlink w:anchor="__RefHeading___is-richtlinie_106_Copy_1_">
            <w:r>
              <w:rPr>
                <w:rStyle w:val="IndexLink"/>
              </w:rPr>
              <w:t>16.5.n1 IT-Systeme für die Datensicherung und -wiederherstellung</w:t>
              <w:tab/>
              <w:t>77</w:t>
            </w:r>
          </w:hyperlink>
        </w:p>
        <w:p>
          <w:pPr>
            <w:pStyle w:val="TOC3"/>
            <w:rPr/>
          </w:pPr>
          <w:hyperlink w:anchor="__RefHeading___speicherorte_114">
            <w:r>
              <w:rPr>
                <w:rStyle w:val="IndexLink"/>
              </w:rPr>
              <w:t>16.5.1 Speicherorte</w:t>
              <w:tab/>
              <w:t>78</w:t>
            </w:r>
          </w:hyperlink>
        </w:p>
        <w:p>
          <w:pPr>
            <w:pStyle w:val="TOC3"/>
            <w:rPr/>
          </w:pPr>
          <w:hyperlink w:anchor="__RefHeading___server_115">
            <w:r>
              <w:rPr>
                <w:rStyle w:val="IndexLink"/>
              </w:rPr>
              <w:t>16.5.2 Server</w:t>
              <w:tab/>
              <w:t>78</w:t>
            </w:r>
          </w:hyperlink>
        </w:p>
        <w:p>
          <w:pPr>
            <w:pStyle w:val="TOC3"/>
            <w:rPr/>
          </w:pPr>
          <w:hyperlink w:anchor="__RefHeading___aktive_netzwerkkomponent1">
            <w:r>
              <w:rPr>
                <w:rStyle w:val="IndexLink"/>
              </w:rPr>
              <w:t>16.5.3 Aktive Netzwerkkomponenten</w:t>
              <w:tab/>
              <w:t>78</w:t>
            </w:r>
          </w:hyperlink>
        </w:p>
        <w:p>
          <w:pPr>
            <w:pStyle w:val="TOC3"/>
            <w:rPr/>
          </w:pPr>
          <w:hyperlink w:anchor="__RefHeading___mobile_it-systeme_117">
            <w:r>
              <w:rPr>
                <w:rStyle w:val="IndexLink"/>
              </w:rPr>
              <w:t>16.5.4 Mobile IT-Systeme</w:t>
              <w:tab/>
              <w:t>79</w:t>
            </w:r>
          </w:hyperlink>
        </w:p>
        <w:p>
          <w:pPr>
            <w:pStyle w:val="TOC2"/>
            <w:rPr/>
          </w:pPr>
          <w:hyperlink w:anchor="__RefHeading___zusaetzliche_massnahmen_7">
            <w:r>
              <w:rPr>
                <w:rStyle w:val="IndexLink"/>
              </w:rPr>
              <w:t>16.6 Zusätzliche Maßnahmen für wichtige IT-Systeme</w:t>
              <w:tab/>
              <w:t>79</w:t>
            </w:r>
          </w:hyperlink>
        </w:p>
        <w:p>
          <w:pPr>
            <w:pStyle w:val="TOC3"/>
            <w:rPr/>
          </w:pPr>
          <w:hyperlink w:anchor="__RefHeading___risikoanalyse_119">
            <w:r>
              <w:rPr>
                <w:rStyle w:val="IndexLink"/>
              </w:rPr>
              <w:t>16.6.1 Risikoanalyse</w:t>
              <w:tab/>
              <w:t>79</w:t>
            </w:r>
          </w:hyperlink>
        </w:p>
        <w:p>
          <w:pPr>
            <w:pStyle w:val="TOC3"/>
            <w:rPr/>
          </w:pPr>
          <w:hyperlink w:anchor="__RefHeading___verfahren_120">
            <w:r>
              <w:rPr>
                <w:rStyle w:val="IndexLink"/>
              </w:rPr>
              <w:t>16.6.2 Verfahren</w:t>
              <w:tab/>
              <w:t>79</w:t>
            </w:r>
          </w:hyperlink>
        </w:p>
        <w:p>
          <w:pPr>
            <w:pStyle w:val="TOC1"/>
            <w:rPr/>
          </w:pPr>
          <w:hyperlink w:anchor="__RefHeading___stoerungen_und_ausfaelle_">
            <w:r>
              <w:rPr>
                <w:rStyle w:val="IndexLink"/>
              </w:rPr>
              <w:t>17 Sicherheitsvorfälle</w:t>
              <w:tab/>
              <w:t>80</w:t>
            </w:r>
          </w:hyperlink>
        </w:p>
        <w:p>
          <w:pPr>
            <w:pStyle w:val="TOC2"/>
            <w:rPr/>
          </w:pPr>
          <w:hyperlink w:anchor="__RefHeading___is-richtlinie_122">
            <w:r>
              <w:rPr>
                <w:rStyle w:val="IndexLink"/>
              </w:rPr>
              <w:t>17.1 IS-Richtlinie</w:t>
              <w:tab/>
              <w:t>80</w:t>
            </w:r>
          </w:hyperlink>
        </w:p>
        <w:p>
          <w:pPr>
            <w:pStyle w:val="TOC2"/>
            <w:rPr/>
          </w:pPr>
          <w:hyperlink w:anchor="__RefHeading___erkennen_129_Copy_1">
            <w:r>
              <w:rPr>
                <w:rStyle w:val="IndexLink"/>
              </w:rPr>
              <w:t>17.2 Erkennen</w:t>
              <w:tab/>
              <w:t>81</w:t>
            </w:r>
          </w:hyperlink>
        </w:p>
        <w:p>
          <w:pPr>
            <w:pStyle w:val="TOC2"/>
            <w:rPr/>
          </w:pPr>
          <w:hyperlink w:anchor="__RefHeading___reaktion_123">
            <w:r>
              <w:rPr>
                <w:rStyle w:val="IndexLink"/>
              </w:rPr>
              <w:t>17.3 Reaktion</w:t>
              <w:tab/>
              <w:t>82</w:t>
            </w:r>
          </w:hyperlink>
        </w:p>
        <w:p>
          <w:pPr>
            <w:pStyle w:val="TOC2"/>
            <w:rPr/>
          </w:pPr>
          <w:hyperlink w:anchor="__RefHeading___zusaetzliche_massnahmen_a">
            <w:r>
              <w:rPr>
                <w:rStyle w:val="IndexLink"/>
              </w:rPr>
              <w:t>17.4 Zusätzliche Maßnahmen für wichtige IT-Systeme</w:t>
              <w:tab/>
              <w:t>84</w:t>
            </w:r>
          </w:hyperlink>
        </w:p>
        <w:p>
          <w:pPr>
            <w:pStyle w:val="TOC3"/>
            <w:rPr/>
          </w:pPr>
          <w:hyperlink w:anchor="__RefHeading___wiederanlaufplaene_125">
            <w:r>
              <w:rPr>
                <w:rStyle w:val="IndexLink"/>
              </w:rPr>
              <w:t>17.4.1 Wiederanlaufpläne</w:t>
              <w:tab/>
              <w:t>84</w:t>
            </w:r>
          </w:hyperlink>
        </w:p>
        <w:p>
          <w:pPr>
            <w:pStyle w:val="TOC3"/>
            <w:rPr/>
          </w:pPr>
          <w:hyperlink w:anchor="__RefHeading___abhaengigkeiten_126">
            <w:r>
              <w:rPr>
                <w:rStyle w:val="IndexLink"/>
              </w:rPr>
              <w:t>17.4.2 Abhängigkeiten</w:t>
              <w:tab/>
              <w:t>86</w:t>
            </w:r>
          </w:hyperlink>
        </w:p>
        <w:p>
          <w:pPr>
            <w:pStyle w:val="TOC1"/>
            <w:rPr/>
          </w:pPr>
          <w:hyperlink w:anchor="__RefHeading___anhang_a_131">
            <w:r>
              <w:rPr>
                <w:rStyle w:val="IndexLink"/>
              </w:rPr>
              <w:t>Anhang A</w:t>
              <w:tab/>
              <w:t>86</w:t>
            </w:r>
          </w:hyperlink>
        </w:p>
        <w:p>
          <w:pPr>
            <w:pStyle w:val="TOC2"/>
            <w:rPr/>
          </w:pPr>
          <w:hyperlink w:anchor="__RefHeading___a_1_verfahren_132">
            <w:r>
              <w:rPr>
                <w:rStyle w:val="IndexLink"/>
              </w:rPr>
              <w:t>A 1 Verfahren</w:t>
              <w:tab/>
              <w:t>86</w:t>
            </w:r>
          </w:hyperlink>
        </w:p>
        <w:p>
          <w:pPr>
            <w:pStyle w:val="TOC2"/>
            <w:rPr/>
          </w:pPr>
          <w:hyperlink w:anchor="__RefHeading___a_2_risikoanalyse_und_-be">
            <w:r>
              <w:rPr>
                <w:rStyle w:val="IndexLink"/>
              </w:rPr>
              <w:t>A 2 Risikomanagement</w:t>
              <w:tab/>
              <w:t>87</w:t>
            </w:r>
          </w:hyperlink>
        </w:p>
        <w:p>
          <w:pPr>
            <w:pStyle w:val="TOC3"/>
            <w:rPr/>
          </w:pPr>
          <w:hyperlink w:anchor="__RefHeading___a_2.1_risikoanalyse_134_C">
            <w:r>
              <w:rPr>
                <w:rStyle w:val="IndexLink"/>
              </w:rPr>
              <w:t>A 2.1 Methodik</w:t>
              <w:tab/>
              <w:t>87</w:t>
            </w:r>
          </w:hyperlink>
        </w:p>
        <w:p>
          <w:pPr>
            <w:pStyle w:val="TOC3"/>
            <w:rPr/>
          </w:pPr>
          <w:hyperlink w:anchor="__RefHeading___a_2.1_risikoanalyse_134">
            <w:r>
              <w:rPr>
                <w:rStyle w:val="IndexLink"/>
              </w:rPr>
              <w:t>A 2.2 Risikoanalyse</w:t>
              <w:tab/>
              <w:t>88</w:t>
            </w:r>
          </w:hyperlink>
        </w:p>
        <w:p>
          <w:pPr>
            <w:pStyle w:val="TOC3"/>
            <w:rPr/>
          </w:pPr>
          <w:hyperlink w:anchor="__RefHeading___a_2.2_risikobehandlung_13">
            <w:r>
              <w:rPr>
                <w:rStyle w:val="IndexLink"/>
              </w:rPr>
              <w:t>A 2.3 Risikobehandlung</w:t>
              <w:tab/>
              <w:t>89</w:t>
            </w:r>
          </w:hyperlink>
        </w:p>
        <w:p>
          <w:pPr>
            <w:pStyle w:val="TOC3"/>
            <w:rPr/>
          </w:pPr>
          <w:hyperlink w:anchor="__RefHeading___a_2.3_wiederholung_und_an">
            <w:r>
              <w:rPr>
                <w:rStyle w:val="IndexLink"/>
              </w:rPr>
              <w:t>A 2.4 Wiederholung und Anpassung</w:t>
              <w:tab/>
              <w:t>90</w:t>
            </w:r>
          </w:hyperlink>
        </w:p>
        <w:p>
          <w:pPr>
            <w:pStyle w:val="TOC3"/>
            <w:rPr/>
          </w:pPr>
          <w:hyperlink w:anchor="__RefHeading___a_2.3_wiederholung_und_a1">
            <w:r>
              <w:rPr>
                <w:rStyle w:val="IndexLink"/>
              </w:rPr>
              <w:t>A 2.5 Überwachung</w:t>
              <w:tab/>
              <w:t>91</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12" w:name="__RefHeading___anforderungen_4"/>
      <w:bookmarkStart w:id="13" w:name="anforderungen"/>
      <w:bookmarkEnd w:id="12"/>
      <w:r>
        <w:rPr/>
        <w:t>Anforderungen</w:t>
      </w:r>
      <w:bookmarkEnd w:id="1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Muss neu verfasst werden.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Vorgehensweise genutzt werden, die vom BSI zur Verfügung gestellt wird.</w:t>
            </w:r>
          </w:p>
          <w:p>
            <w:pPr>
              <w:pStyle w:val="TableContents"/>
              <w:ind w:hanging="0" w:start="0"/>
              <w:jc w:val="start"/>
              <w:rPr/>
            </w:pPr>
            <w:r>
              <w:rPr/>
            </w:r>
          </w:p>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ins w:id="4" w:author="Mark Semmler" w:date="2024-07-10T16:54:54Z">
        <w:bookmarkStart w:id="28" w:name="__RefHeading___begriffe_10"/>
        <w:bookmarkEnd w:id="28"/>
        <w:r>
          <w:rPr/>
          <w:t xml:space="preserve">3 </w:t>
        </w:r>
      </w:ins>
      <w:bookmarkStart w:id="29" w:name="begriffe"/>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30" w:type="dxa"/>
        <w:tblLayout w:type="fixed"/>
        <w:tblCellMar>
          <w:top w:w="28" w:type="dxa"/>
          <w:start w:w="28" w:type="dxa"/>
          <w:bottom w:w="28" w:type="dxa"/>
          <w:end w:w="28" w:type="dxa"/>
        </w:tblCellMar>
      </w:tblPr>
      <w:tblGrid>
        <w:gridCol w:w="703"/>
        <w:gridCol w:w="5441"/>
        <w:gridCol w:w="4849"/>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5441"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4849"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4849"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r>
              <w:rPr/>
              <w:t>DISKUSSION:</w:t>
            </w:r>
          </w:p>
          <w:p>
            <w:pPr>
              <w:pStyle w:val="Normal"/>
              <w:bidi w:val="0"/>
              <w:jc w:val="start"/>
              <w:rPr/>
            </w:pPr>
            <w:r>
              <w:rPr/>
              <w:t xml:space="preserve">- Streichen, da wir Störung und Ausfall mit dem Begriff </w:t>
            </w:r>
            <w:r>
              <w:rPr>
                <w:rFonts w:eastAsia="Bitstream Vera Sans" w:cs="Bitstream Vera Sans"/>
                <w:color w:val="auto"/>
                <w:kern w:val="0"/>
                <w:sz w:val="20"/>
                <w:szCs w:val="24"/>
                <w:lang w:val="de-DE" w:eastAsia="en-US" w:bidi="en-US"/>
              </w:rPr>
              <w:t>„Sicherheitsvorfall“ erfassen?!</w:t>
            </w:r>
          </w:p>
          <w:p>
            <w:pPr>
              <w:pStyle w:val="Normal"/>
              <w:bidi w:val="0"/>
              <w:jc w:val="start"/>
              <w:rPr/>
            </w:pPr>
            <w:r>
              <w:rPr>
                <w:rFonts w:eastAsia="Bitstream Vera Sans" w:cs="Bitstream Vera Sans"/>
                <w:color w:val="auto"/>
                <w:kern w:val="0"/>
                <w:sz w:val="20"/>
                <w:szCs w:val="24"/>
                <w:lang w:val="de-DE" w:eastAsia="en-US" w:bidi="en-US"/>
              </w:rPr>
              <w:t>- Begriff könnte im Zusammenhang mit Risikomanagement weiterhin eine Bedeutung haben.</w:t>
            </w:r>
          </w:p>
          <w:p>
            <w:pPr>
              <w:pStyle w:val="Normal"/>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bidi w:val="0"/>
              <w:jc w:val="start"/>
              <w:rPr/>
            </w:pPr>
            <w:r>
              <w:rPr>
                <w:rFonts w:eastAsia="Bitstream Vera Sans" w:cs="Bitstream Vera Sans"/>
                <w:color w:val="auto"/>
                <w:kern w:val="0"/>
                <w:sz w:val="20"/>
                <w:szCs w:val="24"/>
                <w:lang w:val="de-DE" w:eastAsia="en-US" w:bidi="en-US"/>
              </w:rPr>
              <w:t>Entscheidung 0.2.1: In Version 0.8 prüfen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r>
              <w:rPr/>
              <w:t>ToDo für Version 0.8: überarbeiten/entscheiden</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r>
              <w:rPr/>
              <w:t>0.2.1: Neu definiert gem. NIS2-Richtlinie (siehe unten). Übernehmen in die VdS 10k</w:t>
            </w:r>
          </w:p>
          <w:p>
            <w:pPr>
              <w:pStyle w:val="TableContents"/>
              <w:bidi w:val="0"/>
              <w:jc w:val="start"/>
              <w:rPr/>
            </w:pP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r>
              <w:rPr/>
              <w:t xml:space="preserve">DISKUSSION: Streichen, da wir Störung und Ausfall mit dem Begriff </w:t>
            </w:r>
            <w:r>
              <w:rPr>
                <w:rFonts w:eastAsia="Bitstream Vera Sans" w:cs="Bitstream Vera Sans"/>
                <w:color w:val="auto"/>
                <w:kern w:val="0"/>
                <w:sz w:val="20"/>
                <w:szCs w:val="24"/>
                <w:lang w:val="de-DE" w:eastAsia="en-US" w:bidi="en-US"/>
              </w:rPr>
              <w:t>„Sicherheitsvorfall“ erfassen?!</w:t>
            </w:r>
          </w:p>
          <w:p>
            <w:pPr>
              <w:pStyle w:val="Normal"/>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bidi w:val="0"/>
              <w:jc w:val="start"/>
              <w:rPr/>
            </w:pPr>
            <w:r>
              <w:rPr>
                <w:rFonts w:eastAsia="Bitstream Vera Sans" w:cs="Bitstream Vera Sans"/>
                <w:color w:val="auto"/>
                <w:kern w:val="0"/>
                <w:sz w:val="20"/>
                <w:szCs w:val="24"/>
                <w:lang w:val="de-DE" w:eastAsia="en-US" w:bidi="en-US"/>
              </w:rPr>
              <w:t>0.2.1:</w:t>
            </w:r>
          </w:p>
          <w:p>
            <w:pPr>
              <w:pStyle w:val="Normal"/>
              <w:bidi w:val="0"/>
              <w:jc w:val="start"/>
              <w:rPr/>
            </w:pPr>
            <w:r>
              <w:rPr>
                <w:rFonts w:eastAsia="Bitstream Vera Sans" w:cs="Bitstream Vera Sans"/>
                <w:color w:val="auto"/>
                <w:kern w:val="0"/>
                <w:sz w:val="20"/>
                <w:szCs w:val="24"/>
                <w:lang w:val="de-DE" w:eastAsia="en-US" w:bidi="en-US"/>
              </w:rPr>
              <w:t>ToDo für 0.8: Begriff könnte im Zusammenhang mit Risikomanagement weiterhin eine Bedeutung haben. In Version 0.8 erneut prüfen.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Alternative:</w:t>
            </w:r>
          </w:p>
          <w:p>
            <w:pPr>
              <w:pStyle w:val="TableContents"/>
              <w:bidi w:val="0"/>
              <w:jc w:val="start"/>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basiert auf Risikomanagement (RM). Die im Zuge des RM erkannten organisatorischen Maßnahmen können/sollten/müssen in Richtlinien oder Verfahren verankert werden. Dies sollte bei der Formulierung dieser Anforderung berücksichtigt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Copy 2"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ToDo:</w:t>
            </w:r>
          </w:p>
          <w:p>
            <w:pPr>
              <w:pStyle w:val="TableContents"/>
              <w:numPr>
                <w:ilvl w:val="0"/>
                <w:numId w:val="1"/>
              </w:numPr>
              <w:bidi w:val="0"/>
              <w:jc w:val="start"/>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0.4: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Identifizieren wichtiger und besonders schützenswerter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prozesse_47_Copy_1"/>
      <w:bookmarkStart w:id="95" w:name="prozesse_Copy_1"/>
      <w:bookmarkEnd w:id="94"/>
      <w:r>
        <w:rPr/>
        <w:t xml:space="preserve">9.2 </w:t>
      </w:r>
      <w:bookmarkEnd w:id="95"/>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2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Bei der weiteren Analyse bzw. Überarbeitung müssen die Begriffe „IT-Ressourcen“ und „IT-Infrastruktur“ beachtet werden.</w:t>
            </w:r>
          </w:p>
          <w:p>
            <w:pPr>
              <w:pStyle w:val="Normal"/>
              <w:numPr>
                <w:ilvl w:val="0"/>
                <w:numId w:val="1"/>
              </w:numPr>
              <w:bidi w:val="0"/>
              <w:jc w:val="start"/>
              <w:rPr>
                <w:b/>
                <w:bCs/>
              </w:rPr>
            </w:pPr>
            <w:r>
              <w:rPr>
                <w:b/>
                <w:bCs/>
              </w:rP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p>
            <w:pPr>
              <w:pStyle w:val="TableContents"/>
              <w:bidi w:val="0"/>
              <w:jc w:val="start"/>
              <w:rPr/>
            </w:pPr>
            <w:r>
              <w:rPr/>
            </w:r>
          </w:p>
          <w:p>
            <w:pPr>
              <w:pStyle w:val="TableContents"/>
              <w:bidi w:val="0"/>
              <w:jc w:val="start"/>
              <w:rPr/>
            </w:pPr>
            <w:r>
              <w:rPr/>
              <w:t>DISKUSSION: Begründete Ausnahmen zulassen?!</w:t>
            </w:r>
          </w:p>
        </w:tc>
      </w:tr>
    </w:tbl>
    <w:p>
      <w:pPr>
        <w:pStyle w:val="BodyText"/>
        <w:numPr>
          <w:ilvl w:val="0"/>
          <w:numId w:val="1"/>
        </w:numPr>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t>neu,</w:t>
            </w:r>
          </w:p>
          <w:p>
            <w:pPr>
              <w:pStyle w:val="TableContents"/>
              <w:widowControl w:val="false"/>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informationen_48"/>
      <w:bookmarkStart w:id="97" w:name="informationen"/>
      <w:bookmarkEnd w:id="96"/>
      <w:r>
        <w:rPr/>
        <w:t>9.3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8" w:name="__RefHeading___it-ressourcen_49"/>
      <w:bookmarkStart w:id="99" w:name="it-ressourcen"/>
      <w:bookmarkEnd w:id="98"/>
      <w:r>
        <w:rPr/>
        <w:t>9.4 Besonders schützenswerte IT-Ressourcen</w:t>
      </w:r>
      <w:bookmarkEnd w:id="9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pPr>
            <w:r>
              <w:rPr>
                <w:rFonts w:eastAsia="Bitstream Vera Sans" w:cs="Bitstream Vera Sans"/>
                <w:color w:val="auto"/>
                <w:kern w:val="0"/>
                <w:sz w:val="20"/>
                <w:szCs w:val="24"/>
                <w:lang w:val="de-DE" w:eastAsia="en-US" w:bidi="en-US"/>
              </w:rPr>
              <w:t>2. Satz hinzugefügt: „Besonders schützenswerte IT-Resourcen sind eine Untermenge der wichtigen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pPr>
            <w:r>
              <w:rPr>
                <w:rFonts w:eastAsia="Bitstream Vera Sans" w:cs="Bitstream Vera Sans"/>
                <w:color w:val="auto"/>
                <w:kern w:val="0"/>
                <w:sz w:val="20"/>
                <w:szCs w:val="24"/>
                <w:lang w:val="de-DE" w:eastAsia="en-US" w:bidi="en-US"/>
              </w:rPr>
              <w:t>Diskussion:</w:t>
            </w:r>
          </w:p>
          <w:p>
            <w:pPr>
              <w:pStyle w:val="TableContents"/>
              <w:bidi w:val="0"/>
              <w:jc w:val="start"/>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100" w:name="__RefHeading___prozesse_47_Copy_1_Copy_1"/>
      <w:bookmarkStart w:id="101" w:name="prozesse_Copy_1_Copy_1"/>
      <w:bookmarkEnd w:id="100"/>
      <w:r>
        <w:rPr/>
        <w:t xml:space="preserve">9.5 </w:t>
      </w:r>
      <w:bookmarkEnd w:id="101"/>
      <w:r>
        <w:rPr/>
        <w:t>Weitere Kategorien von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Klassen von IT-Ressourcen zu definieren, diese zyklisch oder fortlaufend zu erfassen und sie mit individuell zusammengestellten technischen und organisatorischen Maßnahmen abzusichern.</w:t>
            </w:r>
          </w:p>
        </w:tc>
      </w:tr>
    </w:tbl>
    <w:p>
      <w:pPr>
        <w:pStyle w:val="Heading1"/>
        <w:numPr>
          <w:ilvl w:val="0"/>
          <w:numId w:val="1"/>
        </w:numPr>
        <w:tabs>
          <w:tab w:val="clear" w:pos="709"/>
          <w:tab w:val="left" w:pos="0" w:leader="none"/>
        </w:tabs>
        <w:bidi w:val="0"/>
        <w:ind w:hanging="0" w:start="0"/>
        <w:jc w:val="start"/>
        <w:rPr/>
      </w:pPr>
      <w:bookmarkStart w:id="102" w:name="__RefHeading___it-systeme_50_Copy_1"/>
      <w:bookmarkEnd w:id="102"/>
      <w:r>
        <w:rPr/>
        <w:t>N</w:t>
      </w:r>
      <w:bookmarkStart w:id="103" w:name="it-systeme_Copy_1"/>
      <w:r>
        <w:rPr/>
        <w:t xml:space="preserve">10 </w:t>
      </w:r>
      <w:bookmarkEnd w:id="103"/>
      <w:r>
        <w:rPr/>
        <w:t>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4" w:name="__RefHeading___inventarisierung_51_Copy_"/>
      <w:bookmarkEnd w:id="104"/>
      <w:r>
        <w:rPr/>
        <w:t>N</w:t>
      </w:r>
      <w:bookmarkStart w:id="105" w:name="inventarisierung_Copy_1"/>
      <w:r>
        <w:rPr/>
        <w:t xml:space="preserve">10.1 </w:t>
      </w:r>
      <w:bookmarkEnd w:id="105"/>
      <w:r>
        <w:rPr/>
        <w:t>Wichtige 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Maßnahmen für wichtige Informationen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6" w:name="__RefHeading___inventarisierung_51_Copy1"/>
      <w:bookmarkEnd w:id="106"/>
      <w:r>
        <w:rPr/>
        <w:t>N</w:t>
      </w:r>
      <w:bookmarkStart w:id="107" w:name="inventarisierung_Copy_1_Copy_1"/>
      <w:r>
        <w:rPr/>
        <w:t xml:space="preserve">10.2 </w:t>
      </w:r>
      <w:bookmarkEnd w:id="107"/>
      <w:r>
        <w:rPr/>
        <w:t>Besonders schützenswerte 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Maßnahmen für besonders schützenswerte Informationen (Lebensweg, Zugriff, Kryptografie)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1"/>
        <w:numPr>
          <w:ilvl w:val="0"/>
          <w:numId w:val="1"/>
        </w:numPr>
        <w:tabs>
          <w:tab w:val="clear" w:pos="709"/>
          <w:tab w:val="left" w:pos="0" w:leader="none"/>
        </w:tabs>
        <w:bidi w:val="0"/>
        <w:ind w:hanging="0" w:start="0"/>
        <w:jc w:val="start"/>
        <w:rPr/>
      </w:pPr>
      <w:bookmarkStart w:id="108" w:name="__RefHeading___it-systeme_50"/>
      <w:bookmarkStart w:id="109" w:name="it-systeme"/>
      <w:bookmarkEnd w:id="108"/>
      <w:r>
        <w:rPr/>
        <w:t>10 IT-Systeme</w:t>
      </w:r>
      <w:bookmarkEnd w:id="10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10" w:name="__RefHeading___inventarisierung_51"/>
      <w:bookmarkStart w:id="111" w:name="inventarisierung"/>
      <w:bookmarkEnd w:id="110"/>
      <w:r>
        <w:rPr/>
        <w:t>10.1 Inventarisierung</w:t>
      </w:r>
      <w:bookmarkEnd w:id="11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12" w:name="__RefHeading___lebenszyklus_52"/>
      <w:bookmarkStart w:id="113" w:name="lebenszyklus"/>
      <w:bookmarkEnd w:id="112"/>
      <w:r>
        <w:rPr/>
        <w:t>10.2 Lebenszyklus</w:t>
      </w:r>
      <w:bookmarkEnd w:id="11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bzw. ergänzt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Auswahl bis zur Ausmusterung erstreckt.</w:t>
            </w:r>
          </w:p>
        </w:tc>
      </w:tr>
    </w:tbl>
    <w:p>
      <w:pPr>
        <w:pStyle w:val="Heading3"/>
        <w:numPr>
          <w:ilvl w:val="2"/>
          <w:numId w:val="1"/>
        </w:numPr>
        <w:tabs>
          <w:tab w:val="clear" w:pos="709"/>
          <w:tab w:val="left" w:pos="0" w:leader="none"/>
        </w:tabs>
        <w:bidi w:val="0"/>
        <w:ind w:hanging="0" w:start="0"/>
        <w:jc w:val="start"/>
        <w:rPr/>
      </w:pPr>
      <w:bookmarkStart w:id="114" w:name="__RefHeading___inbetriebnahme_und_aender"/>
      <w:bookmarkStart w:id="115" w:name="inbetriebnahme_und_aenderung_Copy_1"/>
      <w:bookmarkEnd w:id="114"/>
      <w:r>
        <w:rPr/>
        <w:t xml:space="preserve">10.2.n1 </w:t>
      </w:r>
      <w:bookmarkEnd w:id="115"/>
      <w:r>
        <w:rPr/>
        <w:t>Auswahl</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3"/>
        <w:numPr>
          <w:ilvl w:val="2"/>
          <w:numId w:val="1"/>
        </w:numPr>
        <w:tabs>
          <w:tab w:val="clear" w:pos="709"/>
          <w:tab w:val="left" w:pos="0" w:leader="none"/>
        </w:tabs>
        <w:bidi w:val="0"/>
        <w:ind w:hanging="0" w:start="0"/>
        <w:jc w:val="start"/>
        <w:rPr/>
      </w:pPr>
      <w:bookmarkStart w:id="116" w:name="__RefHeading___inbetriebnahme_und_aende1"/>
      <w:bookmarkStart w:id="117" w:name="inbetriebnahme_und_aenderung"/>
      <w:bookmarkEnd w:id="116"/>
      <w:r>
        <w:rPr/>
        <w:t>10.2.1 Inbetriebnahme und Änderung</w:t>
      </w:r>
      <w:bookmarkEnd w:id="11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8" w:name="__RefHeading___ausmusterung_und_wiederve"/>
      <w:bookmarkStart w:id="119" w:name="ausmusterung_und_wiederverwendung"/>
      <w:bookmarkEnd w:id="118"/>
      <w:r>
        <w:rPr/>
        <w:t>10.2.2 Ausmusterung und Wiederverwendung</w:t>
      </w:r>
      <w:bookmarkEnd w:id="1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20" w:name="__RefHeading___basisschutz_55"/>
      <w:bookmarkStart w:id="121" w:name="basisschutz"/>
      <w:bookmarkEnd w:id="120"/>
      <w:r>
        <w:rPr/>
        <w:t>10.3 Basisschutz</w:t>
      </w:r>
      <w:bookmarkEnd w:id="12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2"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Maßnahmen nicht umgesetzt werden, </w:t>
            </w:r>
            <w:del w:id="5" w:author="Mark Semmler" w:date="2024-07-10T17:15:26Z">
              <w:r>
                <w:rPr/>
                <w:delText xml:space="preserve"> </w:delText>
              </w:r>
            </w:del>
            <w:r>
              <w:rPr/>
              <w:t>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22" w:name="__RefHeading___software_56"/>
      <w:bookmarkStart w:id="123" w:name="software"/>
      <w:bookmarkEnd w:id="122"/>
      <w:r>
        <w:rPr/>
        <w:t>10.3.1 Software</w:t>
      </w:r>
      <w:bookmarkEnd w:id="12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24" w:name="__RefHeading___beschraenkung_des_netzwer"/>
      <w:bookmarkStart w:id="125" w:name="beschraenkung_des_netzwerkverkehrs"/>
      <w:bookmarkEnd w:id="124"/>
      <w:r>
        <w:rPr/>
        <w:t>10.3.2 Beschränkung des Netzwerkverkehrs</w:t>
      </w:r>
      <w:bookmarkEnd w:id="12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6" w:name="__RefHeading___protokollierung_58"/>
      <w:bookmarkStart w:id="127" w:name="protokollierung"/>
      <w:bookmarkEnd w:id="126"/>
      <w:r>
        <w:rPr/>
        <w:t>10.3.3 Protokollierung</w:t>
      </w:r>
      <w:bookmarkEnd w:id="12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8" w:name="__RefHeading___externe_schnittstellen_un"/>
      <w:bookmarkStart w:id="129" w:name="externe_schnittstellen_und_laufwerke"/>
      <w:bookmarkEnd w:id="128"/>
      <w:r>
        <w:rPr/>
        <w:t>10.3.4 Externe Schnittstellen und Laufwerke</w:t>
      </w:r>
      <w:bookmarkEnd w:id="12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30" w:name="__RefHeading___schadsoftware_60"/>
      <w:bookmarkStart w:id="131" w:name="schadsoftware"/>
      <w:bookmarkEnd w:id="130"/>
      <w:r>
        <w:rPr/>
        <w:t>10.3.5 Schadsoftware</w:t>
      </w:r>
      <w:bookmarkEnd w:id="1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32" w:name="__RefHeading___starten_von_fremden_medie"/>
      <w:bookmarkStart w:id="133" w:name="starten_von_fremden_medien"/>
      <w:bookmarkEnd w:id="132"/>
      <w:r>
        <w:rPr/>
        <w:t>10.3.6 Starten von fremden Medien</w:t>
      </w:r>
      <w:bookmarkEnd w:id="1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4" w:name="__RefHeading___authentifizierung_62"/>
      <w:bookmarkStart w:id="135" w:name="authentifizierung"/>
      <w:bookmarkEnd w:id="134"/>
      <w:r>
        <w:rPr/>
        <w:t>10.3.7 Authentifizierung</w:t>
      </w:r>
      <w:bookmarkEnd w:id="13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Frage: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6" w:name="__RefHeading___zugaenge_und_zugriffe_63"/>
      <w:bookmarkStart w:id="137" w:name="zugaenge_und_zugriffe"/>
      <w:bookmarkEnd w:id="136"/>
      <w:r>
        <w:rPr/>
        <w:t>10.3.8 Zugänge und Zugriffe</w:t>
      </w:r>
      <w:bookmarkEnd w:id="1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0.2.1:</w:t>
              <w:br/>
              <w:t>Wir werden die Formulierungen aus der VdS 10005 in die VdS 10k übernehmen.</w:t>
            </w:r>
          </w:p>
          <w:p>
            <w:pPr>
              <w:pStyle w:val="TableContents"/>
              <w:bidi w:val="0"/>
              <w:jc w:val="start"/>
              <w:rPr/>
            </w:pPr>
            <w:r>
              <w:rPr/>
            </w:r>
          </w:p>
          <w:p>
            <w:pPr>
              <w:pStyle w:val="TableContents"/>
              <w:bidi w:val="0"/>
              <w:jc w:val="start"/>
              <w:rPr/>
            </w:pPr>
            <w:r>
              <w:rPr/>
              <w:t>VdS 10005:</w:t>
            </w:r>
          </w:p>
          <w:p>
            <w:pPr>
              <w:pStyle w:val="TableContents"/>
              <w:bidi w:val="0"/>
              <w:jc w:val="start"/>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Es MÜSSEN Zugänge eingerichtet werden, über die sämtliche administrative Tätigkeiten durchgeführt werden. Diese DÜRFEN NICHT für die alltägliche Nutzung der IT-Systeme verwendet werden.“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del w:id="8" w:author="Mark Semmler" w:date="2024-07-10T17:09:25Z"/>
              </w:rPr>
            </w:pPr>
            <w:del w:id="6" w:author="Mark Semmler" w:date="2024-07-10T17:09:18Z">
              <w:r>
                <w:rPr>
                  <w:rFonts w:eastAsia="Bitstream Vera Sans" w:cs="Bitstream Vera Sans"/>
                  <w:color w:val="auto"/>
                  <w:kern w:val="0"/>
                  <w:sz w:val="20"/>
                  <w:szCs w:val="24"/>
                  <w:lang w:val="de-DE" w:eastAsia="en-US" w:bidi="en-US"/>
                </w:rPr>
                <w:delText>0.2.1:</w:delText>
              </w:r>
            </w:del>
            <w:ins w:id="7" w:author="Mark Semmler" w:date="2024-07-10T17:09:18Z">
              <w:r>
                <w:rPr>
                  <w:rFonts w:eastAsia="Bitstream Vera Sans" w:cs="Bitstream Vera Sans"/>
                  <w:color w:val="auto"/>
                  <w:kern w:val="0"/>
                  <w:sz w:val="20"/>
                  <w:szCs w:val="24"/>
                  <w:lang w:val="de-DE" w:eastAsia="en-US" w:bidi="en-US"/>
                </w:rPr>
                <w:t>0.2.4:</w:t>
              </w:r>
            </w:ins>
          </w:p>
          <w:p>
            <w:pPr>
              <w:pStyle w:val="TableContents"/>
              <w:bidi w:val="0"/>
              <w:jc w:val="start"/>
              <w:rPr>
                <w:del w:id="10" w:author="Mark Semmler" w:date="2024-07-10T17:09:25Z"/>
              </w:rPr>
            </w:pPr>
            <w:del w:id="9" w:author="Mark Semmler" w:date="2024-07-10T17:09:25Z">
              <w:r>
                <w:rPr>
                  <w:rFonts w:eastAsia="Bitstream Vera Sans" w:cs="Bitstream Vera Sans"/>
                  <w:color w:val="auto"/>
                  <w:kern w:val="0"/>
                  <w:sz w:val="20"/>
                  <w:szCs w:val="24"/>
                  <w:lang w:val="de-DE" w:eastAsia="en-US" w:bidi="en-US"/>
                </w:rPr>
                <w:delText>- Ich könnte mir eine Kombination vorstellen. Dann haben wir eine eindeutige Regelungen….</w:delText>
              </w:r>
            </w:del>
          </w:p>
          <w:p>
            <w:pPr>
              <w:pStyle w:val="TableContents"/>
              <w:widowControl w:val="false"/>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del w:id="12" w:author="Mark Semmler" w:date="2024-07-10T17:09:25Z"/>
              </w:rPr>
            </w:pPr>
            <w:del w:id="11" w:author="Mark Semmler" w:date="2024-07-10T17:09:25Z">
              <w:r>
                <w:rPr>
                  <w:rFonts w:eastAsia="Bitstream Vera Sans" w:cs="Bitstream Vera Sans"/>
                  <w:color w:val="auto"/>
                  <w:kern w:val="0"/>
                  <w:sz w:val="20"/>
                  <w:szCs w:val="24"/>
                  <w:lang w:val="de-DE" w:eastAsia="en-US" w:bidi="en-US"/>
                </w:rPr>
              </w:r>
            </w:del>
          </w:p>
          <w:p>
            <w:pPr>
              <w:pStyle w:val="TableContents"/>
              <w:bidi w:val="0"/>
              <w:jc w:val="start"/>
              <w:rPr>
                <w:rFonts w:eastAsia="Bitstream Vera Sans" w:cs="Bitstream Vera Sans"/>
                <w:color w:val="auto"/>
                <w:kern w:val="0"/>
                <w:sz w:val="20"/>
                <w:szCs w:val="24"/>
                <w:lang w:val="de-DE" w:eastAsia="en-US" w:bidi="en-US"/>
                <w:del w:id="14" w:author="Mark Semmler" w:date="2024-07-10T17:09:25Z"/>
              </w:rPr>
            </w:pPr>
            <w:del w:id="13" w:author="Mark Semmler" w:date="2024-07-10T17:09:25Z">
              <w:r>
                <w:rPr>
                  <w:rFonts w:eastAsia="Bitstream Vera Sans" w:cs="Bitstream Vera Sans"/>
                  <w:color w:val="auto"/>
                  <w:kern w:val="0"/>
                  <w:sz w:val="20"/>
                  <w:szCs w:val="24"/>
                  <w:lang w:val="de-DE" w:eastAsia="en-US" w:bidi="en-US"/>
                </w:rPr>
                <w:delText>Bessere Formulierung:</w:delText>
              </w:r>
            </w:del>
          </w:p>
          <w:p>
            <w:pPr>
              <w:pStyle w:val="TableContents"/>
              <w:bidi w:val="0"/>
              <w:jc w:val="start"/>
              <w:rPr>
                <w:del w:id="16" w:author="Mark Semmler" w:date="2024-07-10T17:09:25Z"/>
              </w:rPr>
            </w:pPr>
            <w:del w:id="15" w:author="Mark Semmler" w:date="2024-07-10T17:09:25Z">
              <w:r>
                <w:rPr>
                  <w:rFonts w:eastAsia="Bitstream Vera Sans" w:cs="Bitstream Vera Sans"/>
                  <w:color w:val="auto"/>
                  <w:kern w:val="0"/>
                  <w:sz w:val="20"/>
                  <w:szCs w:val="24"/>
                  <w:lang w:val="de-DE" w:eastAsia="en-US" w:bidi="en-US"/>
                </w:rPr>
                <w:delText>Administrative Tätigkeiten MÜSSEN von der alltäglichen Nutzung der IT-Infrastruktur getrennt werden.</w:delText>
              </w:r>
            </w:del>
          </w:p>
          <w:p>
            <w:pPr>
              <w:pStyle w:val="TableContents"/>
              <w:widowControl w:val="false"/>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del w:id="18" w:author="Mark Semmler" w:date="2024-07-10T17:09:25Z"/>
              </w:rPr>
            </w:pPr>
            <w:del w:id="17" w:author="Mark Semmler" w:date="2024-07-10T17:09:25Z">
              <w:r>
                <w:rPr>
                  <w:rFonts w:eastAsia="Bitstream Vera Sans" w:cs="Bitstream Vera Sans"/>
                  <w:color w:val="auto"/>
                  <w:kern w:val="0"/>
                  <w:sz w:val="20"/>
                  <w:szCs w:val="24"/>
                  <w:lang w:val="de-DE" w:eastAsia="en-US" w:bidi="en-US"/>
                </w:rPr>
              </w:r>
            </w:del>
          </w:p>
          <w:p>
            <w:pPr>
              <w:pStyle w:val="TableContents"/>
              <w:bidi w:val="0"/>
              <w:jc w:val="start"/>
              <w:rPr>
                <w:rFonts w:eastAsia="Bitstream Vera Sans" w:cs="Bitstream Vera Sans"/>
                <w:color w:val="auto"/>
                <w:kern w:val="0"/>
                <w:sz w:val="20"/>
                <w:szCs w:val="24"/>
                <w:lang w:val="de-DE" w:eastAsia="en-US" w:bidi="en-US"/>
                <w:ins w:id="20" w:author="Mark Semmler" w:date="2024-07-10T17:09:29Z"/>
              </w:rPr>
            </w:pPr>
            <w:del w:id="19" w:author="Mark Semmler" w:date="2024-07-10T17:09:25Z">
              <w:r>
                <w:rPr>
                  <w:rFonts w:eastAsia="Bitstream Vera Sans" w:cs="Bitstream Vera Sans"/>
                  <w:color w:val="auto"/>
                  <w:kern w:val="0"/>
                  <w:sz w:val="20"/>
                  <w:szCs w:val="24"/>
                  <w:lang w:val="de-DE" w:eastAsia="en-US" w:bidi="en-US"/>
                </w:rPr>
                <w:delText>Zusammen mit der Empfehlung unten überdenken!</w:delText>
              </w:r>
            </w:del>
          </w:p>
          <w:p>
            <w:pPr>
              <w:pStyle w:val="TableContents"/>
              <w:bidi w:val="0"/>
              <w:jc w:val="start"/>
              <w:rPr/>
            </w:pPr>
            <w:ins w:id="21" w:author="Mark Semmler" w:date="2024-07-10T17:09:29Z">
              <w:r>
                <w:rPr>
                  <w:rFonts w:eastAsia="Bitstream Vera Sans" w:cs="Bitstream Vera Sans"/>
                  <w:color w:val="auto"/>
                  <w:kern w:val="0"/>
                  <w:sz w:val="20"/>
                  <w:szCs w:val="24"/>
                  <w:lang w:val="de-DE" w:eastAsia="en-US" w:bidi="en-US"/>
                </w:rPr>
                <w:t>Neuer Vorschlag.</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del w:id="22" w:author="Mark Semmler" w:date="2024-07-10T17:08:07Z">
              <w:r>
                <w:rPr/>
                <w:delText>Es MÜSSEN Zugänge bestehen, über die sämtliche administrative Tätigkeiten durchgeführt werden.</w:delText>
              </w:r>
            </w:del>
            <w:ins w:id="23" w:author="Mark Semmler" w:date="2024-07-10T17:08:07Z">
              <w:r>
                <w:rPr>
                  <w:u w:val="none"/>
                </w:rPr>
                <w:t>A</w:t>
              </w:r>
            </w:ins>
            <w:ins w:id="24" w:author="Mark Semmler" w:date="2024-07-10T17:08:07Z">
              <w:r>
                <w:rPr>
                  <w:u w:val="none"/>
                </w:rPr>
                <w:t xml:space="preserve">dministrative Tätigkeiten MÜSSEN über </w:t>
              </w:r>
            </w:ins>
            <w:ins w:id="25" w:author="Mark Semmler" w:date="2024-07-10T17:08:07Z">
              <w:r>
                <w:rPr>
                  <w:u w:val="none"/>
                </w:rPr>
                <w:t xml:space="preserve">die </w:t>
              </w:r>
            </w:ins>
            <w:ins w:id="26" w:author="Mark Semmler" w:date="2024-07-10T17:08:07Z">
              <w:r>
                <w:rPr>
                  <w:u w:val="none"/>
                </w:rPr>
                <w:t>speziell dafür vorgesehene</w:t>
              </w:r>
            </w:ins>
            <w:ins w:id="27" w:author="Mark Semmler" w:date="2024-07-10T17:08:07Z">
              <w:r>
                <w:rPr>
                  <w:u w:val="none"/>
                </w:rPr>
                <w:t>n</w:t>
              </w:r>
            </w:ins>
            <w:ins w:id="28" w:author="Mark Semmler" w:date="2024-07-10T17:08:07Z">
              <w:r>
                <w:rPr>
                  <w:u w:val="none"/>
                </w:rPr>
                <w:t xml:space="preserve"> Zugänge erfolgen. </w:t>
              </w:r>
            </w:ins>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8" w:name="__RefHeading___zusaetzliche_massnahmen_f"/>
      <w:bookmarkStart w:id="139" w:name="zusaetzliche_massnahmen_fuer_mobile_it-s"/>
      <w:bookmarkEnd w:id="138"/>
      <w:r>
        <w:rPr/>
        <w:t>10.4 Zusätzliche Maßnahmen für mobile IT-Systeme</w:t>
      </w:r>
      <w:bookmarkEnd w:id="1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40" w:name="__RefHeading___is-richtlinie_65"/>
      <w:bookmarkStart w:id="141" w:name="is-richtlinie"/>
      <w:bookmarkEnd w:id="140"/>
      <w:r>
        <w:rPr/>
        <w:t>10.4.1 IS-Richtlinie</w:t>
      </w:r>
      <w:bookmarkEnd w:id="1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42" w:name="__RefHeading___schutz_der_informationen_"/>
      <w:bookmarkStart w:id="143" w:name="schutz_der_informationen"/>
      <w:bookmarkEnd w:id="142"/>
      <w:r>
        <w:rPr/>
        <w:t>10.4.2 Schutz der Informationen</w:t>
      </w:r>
      <w:bookmarkEnd w:id="1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3"/>
        <w:numPr>
          <w:ilvl w:val="2"/>
          <w:numId w:val="1"/>
        </w:numPr>
        <w:tabs>
          <w:tab w:val="clear" w:pos="709"/>
          <w:tab w:val="left" w:pos="0" w:leader="none"/>
        </w:tabs>
        <w:bidi w:val="0"/>
        <w:ind w:hanging="0" w:start="0"/>
        <w:jc w:val="start"/>
        <w:rPr/>
      </w:pPr>
      <w:bookmarkStart w:id="144" w:name="__RefHeading___verlust_67"/>
      <w:bookmarkStart w:id="145" w:name="verlust"/>
      <w:bookmarkEnd w:id="144"/>
      <w:r>
        <w:rPr/>
        <w:t>10.4.3 Verlust</w:t>
      </w:r>
      <w:bookmarkEnd w:id="1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6" w:name="__RefHeading___zusaetzliche_massnahmen_1"/>
      <w:bookmarkStart w:id="147" w:name="zusaetzliche_massnahmen_fuer_kritische_i"/>
      <w:bookmarkEnd w:id="146"/>
      <w:r>
        <w:rPr/>
        <w:t>10.n1 Zusätzliche Maßnahmen für wichtige IT-Systeme</w:t>
      </w:r>
      <w:bookmarkEnd w:id="1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Zusätzlich zur Risikoanalyse und –behandlung MÜSSEN für alle wichtigen IT-Systeme die Maßnahmen </w:t>
            </w:r>
            <w:r>
              <w:rPr>
                <w:rFonts w:eastAsia="Bitstream Vera Sans" w:cs="Bitstream Vera Sans"/>
                <w:color w:val="auto"/>
                <w:kern w:val="0"/>
                <w:sz w:val="20"/>
                <w:szCs w:val="24"/>
                <w:lang w:val="de-DE" w:eastAsia="en-US" w:bidi="en-US"/>
              </w:rPr>
              <w:t xml:space="preserve">der folgenden Abschnitte </w:t>
            </w:r>
            <w:r>
              <w:rPr>
                <w:rFonts w:eastAsia="Bitstream Vera Sans" w:cs="Bitstream Vera Sans"/>
                <w:color w:val="auto"/>
                <w:kern w:val="0"/>
                <w:sz w:val="20"/>
                <w:szCs w:val="24"/>
                <w:lang w:val="de-DE" w:eastAsia="en-US" w:bidi="en-US"/>
              </w:rPr>
              <w:t>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48" w:name="__RefHeading___dokumentation_74_Copy_1"/>
      <w:bookmarkStart w:id="149" w:name="dokumentation_Copy_1"/>
      <w:bookmarkEnd w:id="148"/>
      <w:r>
        <w:rPr/>
        <w:t>10.n1.1 Dokumentation</w:t>
      </w:r>
      <w:bookmarkEnd w:id="1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Für jedes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50" w:name="__RefHeading___datensicherung_75_Copy_1"/>
      <w:bookmarkStart w:id="151" w:name="datensicherung_Copy_1"/>
      <w:bookmarkEnd w:id="150"/>
      <w:r>
        <w:rPr/>
        <w:t>10.n1.2 Datensicherung</w:t>
      </w:r>
      <w:bookmarkEnd w:id="15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Alle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52" w:name="__RefHeading___ueberwachung_76_Copy_1"/>
      <w:bookmarkStart w:id="153" w:name="ueberwachung_Copy_1"/>
      <w:bookmarkEnd w:id="152"/>
      <w:r>
        <w:rPr/>
        <w:t>10.n1.3 Überwachung</w:t>
      </w:r>
      <w:bookmarkEnd w:id="1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1"/>
        </w:numPr>
        <w:tabs>
          <w:tab w:val="clear" w:pos="709"/>
          <w:tab w:val="left" w:pos="0" w:leader="none"/>
        </w:tabs>
        <w:bidi w:val="0"/>
        <w:ind w:hanging="0" w:start="0"/>
        <w:jc w:val="start"/>
        <w:rPr/>
      </w:pPr>
      <w:bookmarkStart w:id="154" w:name="__RefHeading___zusaetzliche_massnahmen_2"/>
      <w:bookmarkStart w:id="155" w:name="zusaetzliche_massnahmen_fuer_kritische_1"/>
      <w:bookmarkEnd w:id="154"/>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6" w:name="__RefHeading___notbetriebsniveau_70"/>
      <w:bookmarkStart w:id="157" w:name="notbetriebsniveau"/>
      <w:bookmarkEnd w:id="156"/>
      <w:r>
        <w:rPr/>
        <w:t>10.5.1 Notbetriebsniveau</w:t>
      </w:r>
      <w:bookmarkEnd w:id="1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8" w:name="__RefHeading___robustheit_71"/>
      <w:bookmarkStart w:id="159" w:name="robustheit"/>
      <w:bookmarkEnd w:id="158"/>
      <w:r>
        <w:rPr/>
        <w:t>10.5.2 Robustheit</w:t>
      </w:r>
      <w:bookmarkEnd w:id="15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60" w:name="__RefHeading___externe_schnittstellen_u1"/>
      <w:bookmarkStart w:id="161" w:name="externe_schnittstellen_und_laufwerke1"/>
      <w:bookmarkEnd w:id="160"/>
      <w:r>
        <w:rPr/>
        <w:t>10.5.3 Externe Schnittstellen und Laufwerke</w:t>
      </w:r>
      <w:bookmarkEnd w:id="1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62" w:name="__RefHeading___aenderungsmanagement_73"/>
      <w:bookmarkStart w:id="163" w:name="aenderungsmanagement"/>
      <w:bookmarkEnd w:id="162"/>
      <w:r>
        <w:rPr/>
        <w:t>10.5.4 Änderungsmanagement</w:t>
      </w:r>
      <w:bookmarkEnd w:id="16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64" w:name="__RefHeading___ersatzsysteme_und_-verfah"/>
      <w:bookmarkStart w:id="165" w:name="ersatzsysteme_und_-verfahren"/>
      <w:bookmarkEnd w:id="164"/>
      <w:r>
        <w:rPr/>
        <w:t>10.5.5 Ersatzsysteme und -verfahren</w:t>
      </w:r>
      <w:bookmarkEnd w:id="16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6" w:name="__RefHeading___kritische_individualsoftw"/>
      <w:bookmarkStart w:id="167" w:name="kritische_individualsoftware"/>
      <w:bookmarkEnd w:id="166"/>
      <w:r>
        <w:rPr/>
        <w:t>10.5.6 Besonders schützenswerte Individualsoftware</w:t>
      </w:r>
      <w:bookmarkEnd w:id="16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8" w:name="__RefHeading___netzwerke_und_verbindung1"/>
      <w:bookmarkStart w:id="169" w:name="netzwerke_und_verbindungen"/>
      <w:bookmarkEnd w:id="168"/>
      <w:r>
        <w:rPr/>
        <w:t>11 Netzwerke und Verbindungen</w:t>
      </w:r>
      <w:bookmarkEnd w:id="16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70" w:name="__RefHeading___netzwerkplan_80"/>
      <w:bookmarkStart w:id="171" w:name="netzwerkplan"/>
      <w:bookmarkEnd w:id="170"/>
      <w:r>
        <w:rPr/>
        <w:t>11.1 Netzwerkplan</w:t>
      </w:r>
      <w:bookmarkEnd w:id="1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2" w:name="__RefHeading___aktive_netzwerkkomponente"/>
      <w:bookmarkStart w:id="173" w:name="aktive_netzwerkkomponenten"/>
      <w:bookmarkEnd w:id="172"/>
      <w:r>
        <w:rPr/>
        <w:t>11.2 Aktive Netzwerkkomponenten</w:t>
      </w:r>
      <w:bookmarkEnd w:id="1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4" w:name="__RefHeading___netzuebergaenge_82"/>
      <w:bookmarkStart w:id="175" w:name="netzuebergaenge"/>
      <w:bookmarkEnd w:id="174"/>
      <w:r>
        <w:rPr/>
        <w:t>11.3 Netzübergänge</w:t>
      </w:r>
      <w:bookmarkEnd w:id="1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6" w:name="__RefHeading___basisschutz_83"/>
      <w:bookmarkStart w:id="177" w:name="basisschutz1"/>
      <w:bookmarkEnd w:id="176"/>
      <w:r>
        <w:rPr/>
        <w:t>11.4 Basisschutz</w:t>
      </w:r>
      <w:bookmarkEnd w:id="17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78" w:name="__RefHeading___netzwerkanschluesse_84"/>
      <w:bookmarkStart w:id="179" w:name="netzwerkanschluesse"/>
      <w:bookmarkEnd w:id="178"/>
      <w:r>
        <w:rPr/>
        <w:t>11.4.1 Netzwerkanschlüsse</w:t>
      </w:r>
      <w:bookmarkEnd w:id="17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80" w:name="__RefHeading___segmentierung_85"/>
      <w:bookmarkStart w:id="181" w:name="segmentierung"/>
      <w:bookmarkEnd w:id="180"/>
      <w:r>
        <w:rPr/>
        <w:t>11.4.2 Segmentierung</w:t>
      </w:r>
      <w:bookmarkEnd w:id="181"/>
    </w:p>
    <w:p>
      <w:pPr>
        <w:pStyle w:val="BodyText"/>
        <w:tabs>
          <w:tab w:val="clear" w:pos="709"/>
          <w:tab w:val="left" w:pos="0" w:leader="none"/>
        </w:tabs>
        <w:bidi w:val="0"/>
        <w:ind w:hanging="0" w:start="0"/>
        <w:jc w:val="start"/>
        <w:rPr/>
      </w:pPr>
      <w:r>
        <w:rPr/>
        <w:t xml:space="preserve">0.2.1: Diskussion: Umbenennen in </w:t>
      </w:r>
      <w:r>
        <w:rPr>
          <w:rFonts w:eastAsia="Bitstream Vera Sans" w:cs="Bitstream Vera Sans"/>
          <w:color w:val="auto"/>
          <w:kern w:val="0"/>
          <w:sz w:val="20"/>
          <w:szCs w:val="24"/>
          <w:lang w:val="de-DE" w:eastAsia="en-US" w:bidi="en-US"/>
        </w:rPr>
        <w:t>„ Netzwerkzonen“ oder „Sicherheitszonen“. Diese Begriffe wären ein generischer Ansatz.</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Schutzklassen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2" w:name="__RefHeading___fernzugang_86"/>
      <w:bookmarkStart w:id="183" w:name="fernzugang"/>
      <w:bookmarkEnd w:id="182"/>
      <w:r>
        <w:rPr/>
        <w:t>11.4.3 Fernzugang</w:t>
      </w:r>
      <w:bookmarkEnd w:id="18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4" w:name="__RefHeading___netzwerkkopplung_87"/>
      <w:bookmarkStart w:id="185" w:name="netzwerkkopplung"/>
      <w:bookmarkEnd w:id="184"/>
      <w:r>
        <w:rPr/>
        <w:t>11.4.4 Netzwerkkopplung</w:t>
      </w:r>
      <w:bookmarkEnd w:id="18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6" w:name="__RefHeading___zusaetzliche_massnahmen_9"/>
      <w:bookmarkStart w:id="187" w:name="zusaetzliche_massnahmen_fuer_kritische_v"/>
      <w:bookmarkEnd w:id="186"/>
      <w:r>
        <w:rPr/>
        <w:t>11.5 Zusätzliche Maßnahmen für wichtige Verbindungen</w:t>
      </w:r>
      <w:bookmarkEnd w:id="18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88" w:name="__RefHeading___mobile_datentraeger_89"/>
      <w:bookmarkStart w:id="189" w:name="mobile_datentraeger"/>
      <w:bookmarkEnd w:id="188"/>
      <w:r>
        <w:rPr/>
        <w:t>12 Mobile Datenträger</w:t>
      </w:r>
      <w:bookmarkEnd w:id="18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90" w:name="__RefHeading___is-richtlinie_90"/>
      <w:bookmarkStart w:id="191" w:name="is-richtlinie1"/>
      <w:bookmarkEnd w:id="190"/>
      <w:r>
        <w:rPr/>
        <w:t>12.1 IS-Richtlinie</w:t>
      </w:r>
      <w:bookmarkEnd w:id="19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2" w:name="__RefHeading___schutz_der_informationen1"/>
      <w:bookmarkStart w:id="193" w:name="schutz_der_informationen1"/>
      <w:bookmarkEnd w:id="192"/>
      <w:r>
        <w:rPr/>
        <w:t>12.2 Schutz der Informationen</w:t>
      </w:r>
      <w:bookmarkEnd w:id="19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bl>
    <w:p>
      <w:pPr>
        <w:pStyle w:val="Heading2"/>
        <w:numPr>
          <w:ilvl w:val="1"/>
          <w:numId w:val="1"/>
        </w:numPr>
        <w:tabs>
          <w:tab w:val="clear" w:pos="709"/>
          <w:tab w:val="left" w:pos="0" w:leader="none"/>
        </w:tabs>
        <w:bidi w:val="0"/>
        <w:ind w:hanging="0" w:start="0"/>
        <w:jc w:val="start"/>
        <w:rPr/>
      </w:pPr>
      <w:bookmarkStart w:id="194" w:name="__RefHeading___zusaetzliche_massnahmen_3"/>
      <w:bookmarkStart w:id="195" w:name="zusaetzliche_massnahmen_fuer_kritische_m"/>
      <w:bookmarkEnd w:id="194"/>
      <w:r>
        <w:rPr/>
        <w:t>12.3 Zusätzliche Maßnahmen für wichtige mobile Datenträger</w:t>
      </w:r>
      <w:bookmarkEnd w:id="19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6" w:name="__RefHeading___umgebung_93"/>
      <w:bookmarkStart w:id="197" w:name="umgebung"/>
      <w:bookmarkEnd w:id="196"/>
      <w:r>
        <w:rPr/>
        <w:t>13 Umgebung</w:t>
      </w:r>
      <w:bookmarkEnd w:id="19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8" w:name="__RefHeading___server_aktive_netzwerkkom"/>
      <w:bookmarkStart w:id="199" w:name="server_aktive_netzwerkkomponenten_und_ne"/>
      <w:bookmarkEnd w:id="198"/>
      <w:r>
        <w:rPr/>
        <w:t>13.1 Server, aktive Netzwerkkomponenten und Netzwerkverteilstellen</w:t>
      </w:r>
      <w:bookmarkEnd w:id="19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200" w:name="__RefHeading___datenleitungen_95"/>
      <w:bookmarkStart w:id="201" w:name="datenleitungen"/>
      <w:bookmarkEnd w:id="200"/>
      <w:r>
        <w:rPr/>
        <w:t>13.2 Datenleitungen</w:t>
      </w:r>
      <w:bookmarkEnd w:id="20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2" w:name="__RefHeading___zusaetzliche_massnahmen_4"/>
      <w:bookmarkStart w:id="203" w:name="zusaetzliche_massnahmen_fuer_kritische_2"/>
      <w:bookmarkEnd w:id="202"/>
      <w:r>
        <w:rPr/>
        <w:t>13.3 Zusätzliche Maßnahmen für wichtigen IT-Systeme</w:t>
      </w:r>
      <w:bookmarkEnd w:id="20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4" w:name="__RefHeading___it-outsourcing_und_cloud_"/>
      <w:bookmarkStart w:id="205" w:name="it-outsourcing_und_cloud_computing"/>
      <w:bookmarkEnd w:id="204"/>
      <w:r>
        <w:rPr/>
        <w:t>14 IT-Outsourcing und Cloud Computing</w:t>
      </w:r>
      <w:bookmarkEnd w:id="20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Copy 1 Copy 1 Copy 1 Copy 1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DISKUSSION/ToDo: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In dieses Kapitel sollten wir die Maßnahmen für die Lieferkette unterbringen.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6" w:name="__RefHeading___is-richtlinie_98"/>
      <w:bookmarkStart w:id="207" w:name="is-richtlinie2"/>
      <w:bookmarkEnd w:id="206"/>
      <w:r>
        <w:rPr/>
        <w:t>14.1 IS-Richtlinie</w:t>
      </w:r>
      <w:bookmarkEnd w:id="20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08" w:name="__RefHeading___vorbereitung_99"/>
      <w:bookmarkStart w:id="209" w:name="vorbereitung"/>
      <w:bookmarkEnd w:id="208"/>
      <w:r>
        <w:rPr/>
        <w:t>14.2 Vorbereitung</w:t>
      </w:r>
      <w:bookmarkEnd w:id="20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10" w:name="__RefHeading___vertragsgestaltung_100"/>
      <w:bookmarkStart w:id="211" w:name="vertragsgestaltung"/>
      <w:bookmarkEnd w:id="210"/>
      <w:r>
        <w:rPr/>
        <w:t>14.3 Vertragsgestaltung</w:t>
      </w:r>
      <w:bookmarkEnd w:id="21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2" w:name="__RefHeading___zusaetzliche_massnahmen_5"/>
      <w:bookmarkStart w:id="213" w:name="zusaetzliche_massnahmen_fuer_kritische_3"/>
      <w:bookmarkEnd w:id="212"/>
      <w:r>
        <w:rPr/>
        <w:t>14.4 Zusätzliche Maßnahmen für wichtige IT-Ressourcen</w:t>
      </w:r>
      <w:bookmarkEnd w:id="21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4" w:name="__RefHeading___zugaenge_und_zugriffsrech"/>
      <w:bookmarkStart w:id="215" w:name="zugaenge_und_zugriffsrechte"/>
      <w:bookmarkEnd w:id="214"/>
      <w:r>
        <w:rPr/>
        <w:t>15 Zugänge und Zugriffsrechte</w:t>
      </w:r>
      <w:bookmarkEnd w:id="21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6" w:name="__RefHeading___verwaltung_103"/>
      <w:bookmarkStart w:id="217" w:name="verwaltung"/>
      <w:bookmarkEnd w:id="216"/>
      <w:r>
        <w:rPr/>
        <w:t>15.1 Verwaltung</w:t>
      </w:r>
      <w:bookmarkEnd w:id="21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8" w:name="__RefHeading___zusaetzliche_massnahmen_6"/>
      <w:bookmarkStart w:id="219" w:name="zusaetzliche_massnahmen_fuer_kritische_4"/>
      <w:bookmarkEnd w:id="218"/>
      <w:r>
        <w:rPr/>
        <w:t>15.2 Zusätzliche Maßnahmen für besonders schützenswerte IT-Systeme und Informationen</w:t>
      </w:r>
      <w:bookmarkEnd w:id="2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20" w:name="__RefHeading___datensicherung_und_archiv"/>
      <w:bookmarkStart w:id="221" w:name="datensicherung_und_archivierung"/>
      <w:bookmarkEnd w:id="220"/>
      <w:r>
        <w:rPr/>
        <w:t>16 Datensicherung und Archivierung</w:t>
      </w:r>
      <w:bookmarkEnd w:id="22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2" w:name="__RefHeading___is-richtlinie_106"/>
      <w:bookmarkStart w:id="223" w:name="is-richtlinie3"/>
      <w:bookmarkEnd w:id="222"/>
      <w:r>
        <w:rPr/>
        <w:t>16.1 IS-Richtlinie</w:t>
      </w:r>
      <w:bookmarkEnd w:id="22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4" w:name="__RefHeading___archivierung_107"/>
      <w:bookmarkStart w:id="225" w:name="archivierung"/>
      <w:bookmarkEnd w:id="224"/>
      <w:r>
        <w:rPr/>
        <w:t>16.2 Archivierung</w:t>
      </w:r>
      <w:bookmarkEnd w:id="22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2"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rPr>
              <w:t xml:space="preserve">SOLLTE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0.8: 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6" w:name="__RefHeading___verfahren_108"/>
      <w:bookmarkStart w:id="227" w:name="verfahren"/>
      <w:bookmarkEnd w:id="226"/>
      <w:r>
        <w:rPr/>
        <w:t>16.3 Verfahren</w:t>
      </w:r>
      <w:bookmarkEnd w:id="22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1 Copy 2"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Maßnahmen der VdS 10005 wurden hier eingepflegt. Feedback welcome!</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die Maßnahmen für die 10k bestätigt sind, können wir den Text 1:1 in die VdS 10100 übernehmen.</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Mehrgenerationenprinzip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verteile Datensicherungen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redundante Medien/Anbieter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8" w:name="__RefHeading___weiterentwicklung_112"/>
      <w:bookmarkStart w:id="229" w:name="weiterentwicklung"/>
      <w:bookmarkEnd w:id="228"/>
      <w:r>
        <w:rPr/>
        <w:t>16.4 Weiterentwicklung</w:t>
      </w:r>
      <w:bookmarkEnd w:id="22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30" w:name="__RefHeading___basisschutz_113"/>
      <w:bookmarkStart w:id="231" w:name="basisschutz2"/>
      <w:bookmarkEnd w:id="230"/>
      <w:r>
        <w:rPr/>
        <w:t>16.5 Basisschutz</w:t>
      </w:r>
      <w:bookmarkEnd w:id="2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32" w:name="__RefHeading___is-richtlinie_106_Copy_1_"/>
      <w:bookmarkStart w:id="233" w:name="is-richtlinie3_Copy_1"/>
      <w:bookmarkEnd w:id="232"/>
      <w:r>
        <w:rPr/>
        <w:t>16.5.n1 I</w:t>
      </w:r>
      <w:bookmarkEnd w:id="233"/>
      <w:r>
        <w:rPr/>
        <w:t>T-Systeme 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1 Copy 2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4" w:name="__RefHeading___speicherorte_114"/>
      <w:bookmarkStart w:id="235" w:name="speicherorte"/>
      <w:bookmarkEnd w:id="234"/>
      <w:r>
        <w:rPr/>
        <w:t>16.5.1 Speicherorte</w:t>
      </w:r>
      <w:bookmarkEnd w:id="23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6" w:name="__RefHeading___server_115"/>
      <w:bookmarkStart w:id="237" w:name="server"/>
      <w:bookmarkEnd w:id="236"/>
      <w:r>
        <w:rPr/>
        <w:t>16.5.2 Server</w:t>
      </w:r>
      <w:bookmarkEnd w:id="2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38" w:name="__RefHeading___aktive_netzwerkkomponent1"/>
      <w:bookmarkStart w:id="239" w:name="aktive_netzwerkkomponenten1"/>
      <w:bookmarkEnd w:id="238"/>
      <w:r>
        <w:rPr/>
        <w:t>16.5.3 Aktive Netzwerkkomponenten</w:t>
      </w:r>
      <w:bookmarkEnd w:id="2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40" w:name="__RefHeading___mobile_it-systeme_117"/>
      <w:bookmarkStart w:id="241" w:name="mobile_it-systeme"/>
      <w:bookmarkEnd w:id="240"/>
      <w:r>
        <w:rPr/>
        <w:t>16.5.4 Mobile IT-Systeme</w:t>
      </w:r>
      <w:bookmarkEnd w:id="2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2" w:name="__RefHeading___zusaetzliche_massnahmen_7"/>
      <w:bookmarkStart w:id="243" w:name="zusaetzliche_massnahmen_fuer_kritische_5"/>
      <w:bookmarkEnd w:id="242"/>
      <w:r>
        <w:rPr/>
        <w:t>16.6 Zusätzliche Maßnahmen für wichtige IT-Systeme</w:t>
      </w:r>
      <w:bookmarkEnd w:id="2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4" w:name="__RefHeading___risikoanalyse_119"/>
      <w:bookmarkStart w:id="245" w:name="risikoanalyse"/>
      <w:bookmarkEnd w:id="244"/>
      <w:r>
        <w:rPr/>
        <w:t>16.6.1 Risikoanalyse</w:t>
      </w:r>
      <w:bookmarkEnd w:id="2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6" w:name="__RefHeading___verfahren_120"/>
      <w:bookmarkStart w:id="247" w:name="verfahren1"/>
      <w:bookmarkEnd w:id="246"/>
      <w:r>
        <w:rPr/>
        <w:t>16.6.2 Verfahren</w:t>
      </w:r>
      <w:bookmarkEnd w:id="2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48" w:name="__RefHeading___stoerungen_und_ausfaelle_"/>
      <w:bookmarkStart w:id="249" w:name="stoerungen_und_ausfaelle"/>
      <w:bookmarkEnd w:id="248"/>
      <w:r>
        <w:rPr/>
        <w:t xml:space="preserve">17 </w:t>
      </w:r>
      <w:bookmarkEnd w:id="249"/>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zusammengelegt.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50" w:name="__RefHeading___is-richtlinie_122"/>
      <w:bookmarkStart w:id="251" w:name="is-richtlinie4"/>
      <w:bookmarkEnd w:id="250"/>
      <w:r>
        <w:rPr/>
        <w:t>17.1 IS-Richtlinie</w:t>
      </w:r>
      <w:bookmarkEnd w:id="25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52" w:name="__RefHeading___erkennen_129_Copy_1"/>
      <w:bookmarkStart w:id="253" w:name="erkennen_Copy_1"/>
      <w:bookmarkEnd w:id="252"/>
      <w:r>
        <w:rPr/>
        <w:t>17.2 Erkennen</w:t>
      </w:r>
      <w:bookmarkEnd w:id="2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0"/>
              </w:numPr>
              <w:bidi w:val="0"/>
              <w:ind w:hanging="0" w:start="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DISKUSSION: 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numPr>
                <w:ilvl w:val="0"/>
                <w:numId w:val="1"/>
              </w:numPr>
              <w:bidi w:val="0"/>
              <w:jc w:val="start"/>
              <w:rPr/>
            </w:pPr>
            <w:r>
              <w:rPr/>
            </w:r>
          </w:p>
          <w:p>
            <w:pPr>
              <w:pStyle w:val="TableContents"/>
              <w:numPr>
                <w:ilvl w:val="0"/>
                <w:numId w:val="1"/>
              </w:numPr>
              <w:bidi w:val="0"/>
              <w:jc w:val="start"/>
              <w:rPr/>
            </w:pPr>
            <w:r>
              <w:rPr/>
              <w:t>DISKUSSION:</w:t>
            </w:r>
          </w:p>
          <w:p>
            <w:pPr>
              <w:pStyle w:val="TableContents"/>
              <w:numPr>
                <w:ilvl w:val="0"/>
                <w:numId w:val="1"/>
              </w:numPr>
              <w:bidi w:val="0"/>
              <w:jc w:val="start"/>
              <w:rPr/>
            </w:pPr>
            <w:r>
              <w:rPr/>
              <w:t>-Sind diese Anforderungen ausreichend?</w:t>
            </w:r>
          </w:p>
          <w:p>
            <w:pPr>
              <w:pStyle w:val="TableContents"/>
              <w:numPr>
                <w:ilvl w:val="0"/>
                <w:numId w:val="1"/>
              </w:numPr>
              <w:bidi w:val="0"/>
              <w:jc w:val="start"/>
              <w:rPr/>
            </w:pPr>
            <w:r>
              <w:rPr/>
              <w:t>- Sollte man sie ergänzen?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0.2.1: neu</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t>1n. Systeme zur Isolation und Analyse potenziell schädlicher Software (Sandboxing-Technologien)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DISKUSSION 0.2.1:</w:t>
            </w:r>
          </w:p>
          <w:p>
            <w:pPr>
              <w:pStyle w:val="TableContents"/>
              <w:bidi w:val="0"/>
              <w:jc w:val="start"/>
              <w:rPr/>
            </w:pPr>
            <w:r>
              <w:rPr/>
              <w:t>- MDR (Managed Detection and Response) aufnehmen?</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Diskussion 0.2.1:</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 Den Begriff „sensibel“ finde ich nicht passend.</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Schützenswert“ ist in unserem Kontext der treffendere Begriff.</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 Falle: „besonders schützenswert“ ist ein in Kapitel 9 verwendeter Begriff. Damit würde die Empfehlung ggf. für einen recht großen Datenbestand gelten. Andererseits: ist ja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numPr>
                <w:ilvl w:val="0"/>
                <w:numId w:val="1"/>
              </w:numPr>
              <w:bidi w:val="0"/>
              <w:jc w:val="start"/>
              <w:rPr/>
            </w:pPr>
            <w:r>
              <w:rPr/>
              <w:t>0.2.1:</w:t>
            </w:r>
          </w:p>
          <w:p>
            <w:pPr>
              <w:pStyle w:val="TableContents"/>
              <w:numPr>
                <w:ilvl w:val="0"/>
                <w:numId w:val="1"/>
              </w:numPr>
              <w:bidi w:val="0"/>
              <w:jc w:val="start"/>
              <w:rPr/>
            </w:pPr>
            <w:r>
              <w:rPr/>
              <w:t>- Erfassen und Auswerten von Systemprotokollen.</w:t>
            </w:r>
          </w:p>
          <w:p>
            <w:pPr>
              <w:pStyle w:val="TableContents"/>
              <w:numPr>
                <w:ilvl w:val="0"/>
                <w:numId w:val="1"/>
              </w:numPr>
              <w:bidi w:val="0"/>
              <w:jc w:val="start"/>
              <w:rPr/>
            </w:pPr>
            <w:r>
              <w:rPr/>
              <w:t>- Was sind Systemprotokolle?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4" w:name="__RefHeading___reaktion_123"/>
      <w:bookmarkStart w:id="255" w:name="reaktion"/>
      <w:bookmarkEnd w:id="254"/>
      <w:r>
        <w:rPr/>
        <w:t>17.3 Reaktion</w:t>
      </w:r>
      <w:bookmarkEnd w:id="2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bidi w:val="0"/>
              <w:jc w:val="start"/>
              <w:rPr/>
            </w:pPr>
            <w:r>
              <w:rPr/>
              <w:t>- Ggf. in die VdS 10000 aufnehmen?! Organisationen sind z. B. auch ohne NIS2 verpflichtet, Informationen an Dritte (z. B. an Versicherungen, Datenschutz-Aufsichtsbehörden usw.) weiterzugeben.</w:t>
            </w:r>
          </w:p>
          <w:p>
            <w:pPr>
              <w:pStyle w:val="TableContents"/>
              <w:bidi w:val="0"/>
              <w:jc w:val="start"/>
              <w:rPr/>
            </w:pPr>
            <w:r>
              <w:rPr/>
            </w:r>
          </w:p>
          <w:p>
            <w:pPr>
              <w:pStyle w:val="TableContents"/>
              <w:bidi w:val="0"/>
              <w:jc w:val="start"/>
              <w:rPr/>
            </w:pPr>
            <w:r>
              <w:rPr/>
              <w:t>0.2.1:</w:t>
            </w:r>
          </w:p>
          <w:p>
            <w:pPr>
              <w:pStyle w:val="TableContents"/>
              <w:bidi w:val="0"/>
              <w:jc w:val="start"/>
              <w:rPr/>
            </w:pPr>
            <w:r>
              <w:rPr/>
              <w:t>- In die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so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rPr/>
      </w:pPr>
      <w:bookmarkStart w:id="256" w:name="__RefHeading___zusaetzliche_massnahmen_a"/>
      <w:bookmarkStart w:id="257" w:name="zusaetzliche_massnahmen_fuer_kritische_7"/>
      <w:bookmarkEnd w:id="256"/>
      <w:r>
        <w:rPr/>
        <w:t>17.4 Zusätzliche Maßnahmen für wichtige IT-Systeme</w:t>
      </w:r>
      <w:bookmarkEnd w:id="2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p>
            <w:pPr>
              <w:pStyle w:val="Normal"/>
              <w:bidi w:val="0"/>
              <w:jc w:val="start"/>
              <w:rPr/>
            </w:pPr>
            <w:r>
              <w:rPr/>
              <w:t>DISKUSSION:</w:t>
            </w:r>
          </w:p>
          <w:p>
            <w:pPr>
              <w:pStyle w:val="Normal"/>
              <w:bidi w:val="0"/>
              <w:jc w:val="start"/>
              <w:rPr/>
            </w:pPr>
            <w:r>
              <w:rPr/>
              <w:t xml:space="preserve">- </w:t>
            </w:r>
            <w:r>
              <w:rPr>
                <w:rFonts w:eastAsia="Bitstream Vera Sans" w:cs="Bitstream Vera Sans"/>
                <w:color w:val="auto"/>
                <w:kern w:val="0"/>
                <w:sz w:val="20"/>
                <w:szCs w:val="24"/>
                <w:lang w:val="de-DE" w:eastAsia="en-US" w:bidi="en-US"/>
              </w:rPr>
              <w:t>„</w:t>
            </w:r>
            <w:r>
              <w:rPr/>
              <w:t>wichtig</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„besonders schützenswert“?</w:t>
            </w:r>
          </w:p>
          <w:p>
            <w:pPr>
              <w:pStyle w:val="Normal"/>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bidi w:val="0"/>
              <w:jc w:val="start"/>
              <w:rPr/>
            </w:pPr>
            <w:r>
              <w:rPr>
                <w:rFonts w:eastAsia="Bitstream Vera Sans" w:cs="Bitstream Vera Sans"/>
                <w:color w:val="auto"/>
                <w:kern w:val="0"/>
                <w:sz w:val="20"/>
                <w:szCs w:val="24"/>
                <w:lang w:val="de-DE" w:eastAsia="en-US" w:bidi="en-US"/>
              </w:rPr>
              <w:t>0.2.1:</w:t>
            </w:r>
          </w:p>
          <w:p>
            <w:pPr>
              <w:pStyle w:val="Normal"/>
              <w:rPr/>
            </w:pPr>
            <w:r>
              <w:rPr/>
              <w:t>- „Besonders schützenswert" ist treffender, da es impliziert, dass bestimmte Informationen oder Systeme aufgrund ihres Wertes, ihrer Sensitivität oder kritischen Bedeutung besonderen Schutz benötigen.</w:t>
            </w:r>
          </w:p>
          <w:p>
            <w:pPr>
              <w:pStyle w:val="Normal"/>
              <w:rPr/>
            </w:pPr>
            <w:r>
              <w:rPr/>
              <w:t>Im Gegensatz dazu kann "wichtig" subjektiver sein ohne spezifisch auf die Schutzbedürfnisse einzugehen.</w:t>
            </w:r>
          </w:p>
          <w:p>
            <w:pPr>
              <w:pStyle w:val="Normal"/>
              <w:rPr/>
            </w:pPr>
            <w:r>
              <w:rPr/>
              <w:t>Beispiel: Kaugummiautomat im Foyer.</w:t>
            </w:r>
          </w:p>
          <w:p>
            <w:pPr>
              <w:pStyle w:val="Normal"/>
              <w:rPr/>
            </w:pPr>
            <w:r>
              <w:rPr/>
              <w:t>- Quasi Beides, in der 10k die wichtigen und als logische Fortführung inder10100 noch ergänzend die besonders „schützenswerten“</w:t>
            </w:r>
          </w:p>
          <w:p>
            <w:pPr>
              <w:pStyle w:val="Normal"/>
              <w:rPr/>
            </w:pPr>
            <w:r>
              <w:rPr/>
            </w:r>
          </w:p>
          <w:p>
            <w:pPr>
              <w:pStyle w:val="Normal"/>
              <w:rPr/>
            </w:pPr>
            <w:r>
              <w:rPr/>
              <w:t>Entscheidung: JA!</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58" w:name="__RefHeading___wiederanlaufplaene_125"/>
      <w:bookmarkStart w:id="259" w:name="wiederanlaufplaene"/>
      <w:bookmarkEnd w:id="258"/>
      <w:r>
        <w:rPr/>
        <w:t>17.4.1 Wiederanlaufpläne</w:t>
      </w:r>
      <w:bookmarkEnd w:id="259"/>
    </w:p>
    <w:p>
      <w:pPr>
        <w:pStyle w:val="BodyText"/>
        <w:tabs>
          <w:tab w:val="clear" w:pos="709"/>
          <w:tab w:val="left" w:pos="0" w:leader="none"/>
        </w:tabs>
        <w:bidi w:val="0"/>
        <w:ind w:hanging="0" w:start="0"/>
        <w:jc w:val="start"/>
        <w:rPr/>
      </w:pPr>
      <w:r>
        <w:rPr/>
        <w:t>0.2.1: Diskussion: Wie können wir verhindern, dass die Anzahl der Verfahren durch die Menge der Wiederanlaufpläne (zu) hoch wird?</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 seit 0.2.1:</w:t>
            </w:r>
          </w:p>
          <w:p>
            <w:pPr>
              <w:pStyle w:val="TableContents"/>
              <w:bidi w:val="0"/>
              <w:jc w:val="start"/>
              <w:rPr/>
            </w:pPr>
            <w:r>
              <w:rPr/>
            </w:r>
          </w:p>
          <w:p>
            <w:pPr>
              <w:pStyle w:val="TableContents"/>
              <w:bidi w:val="0"/>
              <w:jc w:val="start"/>
              <w:rPr/>
            </w:pPr>
            <w:r>
              <w:rPr/>
              <w:t>DISKUSSON: In der Praxis haben die Organisationen immer wieder Probleme, das Konzept der MTA zu verstehen, was zu unrealistisch kurzen MTAs führt. Diese Empfehlung kann diesem Verhalten entgegenwirken?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i/>
                <w:i/>
                <w:iCs/>
              </w:rPr>
            </w:pPr>
            <w:r>
              <w:rPr>
                <w:i/>
                <w:iCs/>
              </w:rPr>
              <w:t xml:space="preserve">Die zu erreichenden Wiederherstellungszeit des IT-Systems SOLLTE durch eine Analyse der Schadensentwicklung über die Ausfallzeit </w:t>
            </w:r>
            <w:r>
              <w:rPr>
                <w:rFonts w:eastAsia="Bitstream Vera Sans" w:cs="Bitstream Vera Sans"/>
                <w:i/>
                <w:iCs/>
                <w:color w:val="auto"/>
                <w:kern w:val="0"/>
                <w:sz w:val="20"/>
                <w:szCs w:val="24"/>
                <w:lang w:val="de-DE" w:eastAsia="en-US" w:bidi="en-US"/>
              </w:rPr>
              <w:t>ermittelt</w:t>
            </w:r>
            <w:r>
              <w:rPr>
                <w:i/>
                <w:iCs/>
              </w:rPr>
              <w:t xml:space="preserve">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bl>
    <w:p>
      <w:pPr>
        <w:pStyle w:val="Heading3"/>
        <w:numPr>
          <w:ilvl w:val="2"/>
          <w:numId w:val="1"/>
        </w:numPr>
        <w:tabs>
          <w:tab w:val="clear" w:pos="709"/>
          <w:tab w:val="left" w:pos="0" w:leader="none"/>
        </w:tabs>
        <w:bidi w:val="0"/>
        <w:ind w:hanging="0" w:start="0"/>
        <w:jc w:val="start"/>
        <w:rPr/>
      </w:pPr>
      <w:bookmarkStart w:id="260" w:name="__RefHeading___abhaengigkeiten_126"/>
      <w:bookmarkStart w:id="261" w:name="abhaengigkeiten"/>
      <w:bookmarkEnd w:id="260"/>
      <w:r>
        <w:rPr/>
        <w:t>17.4.2 Abhängigkeiten</w:t>
      </w:r>
      <w:bookmarkEnd w:id="2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besonders schützenswerten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und besonders schützenswerten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62" w:name="__RefHeading___anhang_a_131"/>
      <w:bookmarkStart w:id="263" w:name="anhang_a"/>
      <w:bookmarkEnd w:id="262"/>
      <w:r>
        <w:rPr/>
        <w:t>Anhang A</w:t>
      </w:r>
      <w:bookmarkEnd w:id="263"/>
    </w:p>
    <w:p>
      <w:pPr>
        <w:pStyle w:val="Heading2"/>
        <w:numPr>
          <w:ilvl w:val="1"/>
          <w:numId w:val="1"/>
        </w:numPr>
        <w:tabs>
          <w:tab w:val="clear" w:pos="709"/>
          <w:tab w:val="left" w:pos="0" w:leader="none"/>
        </w:tabs>
        <w:bidi w:val="0"/>
        <w:ind w:hanging="0" w:start="0"/>
        <w:jc w:val="start"/>
        <w:rPr/>
      </w:pPr>
      <w:bookmarkStart w:id="264" w:name="__RefHeading___a_1_verfahren_132"/>
      <w:bookmarkStart w:id="265" w:name="a_1_verfahren"/>
      <w:bookmarkEnd w:id="264"/>
      <w:r>
        <w:rPr/>
        <w:t>A 1 Verfahren</w:t>
      </w:r>
      <w:bookmarkEnd w:id="26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66" w:name="__RefHeading___a_2_risikoanalyse_und_-be"/>
      <w:bookmarkStart w:id="267" w:name="a_2_risikoanalyse_und_-behandlung"/>
      <w:bookmarkEnd w:id="266"/>
      <w:r>
        <w:rPr/>
        <w:t>A 2 Risiko</w:t>
      </w:r>
      <w:bookmarkEnd w:id="267"/>
      <w:r>
        <w:rPr/>
        <w:t>management</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8" w:name="__RefHeading___a_2.1_risikoanalyse_134_C"/>
      <w:bookmarkStart w:id="269" w:name="a_2.1_risikoanalyse_Copy_1"/>
      <w:bookmarkEnd w:id="268"/>
      <w:r>
        <w:rPr/>
        <w:t xml:space="preserve">A 2.1 </w:t>
      </w:r>
      <w:bookmarkEnd w:id="269"/>
      <w:r>
        <w:rPr/>
        <w:t>Methodik</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70" w:name="__RefHeading___a_2.1_risikoanalyse_134"/>
      <w:bookmarkStart w:id="271" w:name="a_2.1_risikoanalyse"/>
      <w:bookmarkEnd w:id="270"/>
      <w:r>
        <w:rPr/>
        <w:t>A 2.2 Risikoanalyse</w:t>
      </w:r>
      <w:bookmarkEnd w:id="2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p>
            <w:pPr>
              <w:pStyle w:val="TableContents"/>
              <w:bidi w:val="0"/>
              <w:jc w:val="start"/>
              <w:rPr/>
            </w:pPr>
            <w:r>
              <w:rPr/>
            </w:r>
          </w:p>
          <w:p>
            <w:pPr>
              <w:pStyle w:val="TableContents"/>
              <w:bidi w:val="0"/>
              <w:jc w:val="start"/>
              <w:rPr>
                <w:u w:val="single"/>
              </w:rPr>
            </w:pPr>
            <w:r>
              <w:rPr>
                <w:u w:val="single"/>
              </w:rPr>
              <w:t>ACHTUNG!</w:t>
            </w:r>
          </w:p>
          <w:p>
            <w:pPr>
              <w:pStyle w:val="TableContents"/>
              <w:bidi w:val="0"/>
              <w:jc w:val="start"/>
              <w:rPr/>
            </w:pPr>
            <w:r>
              <w:rPr/>
              <w:t>Als Grundlage der Risikoidentifikation benötigen wir konkrete Anforderungen an die Verfügbarkeit, Integrität und Vertraulichkeit von Prozessen (9.1), Informationen (9.2) und IT-Ressourcen (9.3). Dabei sollten die Anforderungen an Informationen und IT-Ressourcen von denen der Prozesse vereerbt werden. Noch unklar!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Für die Umsetzung eines schlagkräftigen Risikomanagements ist es sicher hilfreich, das Rad nicht neu erfinden zu müssen. Es bestehen verschiedene Sammlungen von Bedrohungen bzw. Gefährdungen, die hinzugezogen werden können.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72" w:name="__RefHeading___a_2.2_risikobehandlung_13"/>
      <w:bookmarkStart w:id="273" w:name="a_2.2_risikobehandlung"/>
      <w:bookmarkEnd w:id="272"/>
      <w:r>
        <w:rPr/>
        <w:t>A 2.3 Risikobehandlung</w:t>
      </w:r>
      <w:bookmarkEnd w:id="2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4" w:name="__RefHeading___a_2.3_wiederholung_und_an"/>
      <w:bookmarkStart w:id="275" w:name="a_2.3_wiederholung_und_anpassung"/>
      <w:bookmarkEnd w:id="274"/>
      <w:r>
        <w:rPr/>
        <w:t>A 2.4 Wiederholung und Anpassung</w:t>
      </w:r>
      <w:bookmarkEnd w:id="2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6" w:name="__RefHeading___a_2.3_wiederholung_und_a1"/>
      <w:bookmarkStart w:id="277" w:name="a_2.3_wiederholung_und_anpassung_Copy_1_"/>
      <w:bookmarkEnd w:id="276"/>
      <w:r>
        <w:rPr/>
        <w:t xml:space="preserve">A 2.5 </w:t>
      </w:r>
      <w:bookmarkEnd w:id="277"/>
      <w:r>
        <w:rPr/>
        <w:t>Überwachung</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18"/>
      <w:headerReference w:type="default" r:id="rId19"/>
      <w:headerReference w:type="first" r:id="rId20"/>
      <w:footerReference w:type="even" r:id="rId21"/>
      <w:footerReference w:type="default" r:id="rId22"/>
      <w:footerReference w:type="first" r:id="rId23"/>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0</w:t>
    </w:r>
    <w:r>
      <w:rPr/>
      <w:fldChar w:fldCharType="end"/>
    </w:r>
    <w:r>
      <w:rPr/>
      <w:t xml:space="preserve"> von </w:t>
    </w:r>
    <w:r>
      <w:rPr/>
      <w:fldChar w:fldCharType="begin"/>
    </w:r>
    <w:r>
      <w:rPr/>
      <w:instrText xml:space="preserve"> NUMPAGES </w:instrText>
    </w:r>
    <w:r>
      <w:rPr/>
      <w:fldChar w:fldCharType="separate"/>
    </w:r>
    <w:r>
      <w:rPr/>
      <w:t>92</w:t>
    </w:r>
    <w:r>
      <w:rPr/>
      <w:fldChar w:fldCharType="end"/>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92</w:t>
    </w:r>
    <w:r>
      <w:rPr/>
      <w:fldChar w:fldCharType="end"/>
    </w:r>
    <w:r>
      <w:rPr/>
      <w:t xml:space="preserve"> von </w:t>
    </w:r>
    <w:r>
      <w:rPr/>
      <w:fldChar w:fldCharType="begin"/>
    </w:r>
    <w:r>
      <w:rPr/>
      <w:instrText xml:space="preserve"> NUMPAGES </w:instrText>
    </w:r>
    <w:r>
      <w:rPr/>
      <w:fldChar w:fldCharType="separate"/>
    </w:r>
    <w:r>
      <w:rPr/>
      <w:t>92</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92</w:t>
    </w:r>
    <w:r>
      <w:rPr/>
      <w:fldChar w:fldCharType="end"/>
    </w:r>
    <w:r>
      <w:rPr/>
      <w:t xml:space="preserve"> von </w:t>
    </w:r>
    <w:r>
      <w:rPr/>
      <w:fldChar w:fldCharType="begin"/>
    </w:r>
    <w:r>
      <w:rPr/>
      <w:instrText xml:space="preserve"> NUMPAGES </w:instrText>
    </w:r>
    <w:r>
      <w:rPr/>
      <w:fldChar w:fldCharType="separate"/>
    </w:r>
    <w:r>
      <w:rPr/>
      <w:t>92</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0.2.1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0.2.</w:t>
    </w:r>
    <w:del w:id="29" w:author="Mark Semmler" w:date="2024-07-10T16:29:42Z">
      <w:r>
        <w:rPr>
          <w:u w:val="single"/>
        </w:rPr>
        <w:delText>3</w:delText>
      </w:r>
    </w:del>
    <w:ins w:id="30" w:author="Mark Semmler" w:date="2024-07-10T16:29:42Z">
      <w:r>
        <w:rPr>
          <w:u w:val="single"/>
        </w:rPr>
        <w:t>4</w:t>
      </w:r>
    </w:ins>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0.2.</w:t>
    </w:r>
    <w:del w:id="31" w:author="Mark Semmler" w:date="2024-07-10T16:29:42Z">
      <w:r>
        <w:rPr>
          <w:u w:val="single"/>
        </w:rPr>
        <w:delText>3</w:delText>
      </w:r>
    </w:del>
    <w:ins w:id="32" w:author="Mark Semmler" w:date="2024-07-10T16:29:42Z">
      <w:r>
        <w:rPr>
          <w:u w:val="single"/>
        </w:rPr>
        <w:t>4</w:t>
      </w:r>
    </w:ins>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40"/>
  <w:embedTrueTypeFonts/>
  <w:defaultTabStop w:val="709"/>
  <w:autoHyphenation w:val="true"/>
  <w:compat>
    <w:doNotBreakWrappedTables/>
    <w:compatSetting w:name="compatibilityMode" w:uri="http://schemas.microsoft.com/office/word" w:val="12"/>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header" Target="header1.xml"/><Relationship Id="rId19" Type="http://schemas.openxmlformats.org/officeDocument/2006/relationships/header" Target="header2.xml"/><Relationship Id="rId20" Type="http://schemas.openxmlformats.org/officeDocument/2006/relationships/header" Target="header3.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oter" Target="footer3.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1.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9525</TotalTime>
  <Application>LibreOffice/24.2.4.2$Linux_X86_64 LibreOffice_project/51a6219feb6075d9a4c46691dcfe0cd9c4fff3c2</Application>
  <AppVersion>15.0000</AppVersion>
  <Pages>92</Pages>
  <Words>24359</Words>
  <Characters>165406</Characters>
  <CharactersWithSpaces>186238</CharactersWithSpaces>
  <Paragraphs>3529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2024-07-10T15:35:40Z</cp:lastPrinted>
  <dcterms:modified xsi:type="dcterms:W3CDTF">2024-07-10T17:21:53Z</dcterms:modified>
  <cp:revision>194</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