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 xml:space="preserve">Übersicht: Welche </w:t>
      </w:r>
      <w:r>
        <w:rPr/>
        <w:t xml:space="preserve">(technischen) </w:t>
      </w:r>
      <w:r>
        <w:rPr/>
        <w:t xml:space="preserve">Maßnahmen für welche </w:t>
      </w:r>
      <w:r>
        <w:rPr/>
        <w:t>Schutzkategorien</w:t>
      </w:r>
      <w:r>
        <w:rPr/>
        <w:t>?</w:t>
      </w:r>
    </w:p>
    <w:tbl>
      <w:tblPr>
        <w:tblW w:w="5000" w:type="pct"/>
        <w:jc w:val="start"/>
        <w:tblInd w:w="55" w:type="dxa"/>
        <w:tblLayout w:type="fixed"/>
        <w:tblCellMar>
          <w:top w:w="55" w:type="dxa"/>
          <w:start w:w="55" w:type="dxa"/>
          <w:bottom w:w="55" w:type="dxa"/>
          <w:end w:w="55" w:type="dxa"/>
        </w:tblCellMar>
      </w:tblPr>
      <w:tblGrid>
        <w:gridCol w:w="1875"/>
        <w:gridCol w:w="13829"/>
      </w:tblGrid>
      <w:tr>
        <w:trPr/>
        <w:tc>
          <w:tcPr>
            <w:tcW w:w="1875"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29"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5"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29"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5" w:type="dxa"/>
            <w:tcBorders>
              <w:start w:val="single" w:sz="4" w:space="0" w:color="000000"/>
              <w:bottom w:val="single" w:sz="4" w:space="0" w:color="000000"/>
            </w:tcBorders>
            <w:shd w:fill="FFFF99" w:val="clear"/>
          </w:tcPr>
          <w:p>
            <w:pPr>
              <w:pStyle w:val="TableContents"/>
              <w:jc w:val="center"/>
              <w:rPr/>
            </w:pPr>
            <w:r>
              <w:rPr/>
              <w:t>vermeidbar</w:t>
            </w:r>
          </w:p>
        </w:tc>
        <w:tc>
          <w:tcPr>
            <w:tcW w:w="13829"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 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11"/>
        <w:gridCol w:w="6471"/>
        <w:gridCol w:w="1414"/>
        <w:gridCol w:w="1352"/>
        <w:gridCol w:w="1648"/>
      </w:tblGrid>
      <w:tr>
        <w:trPr/>
        <w:tc>
          <w:tcPr>
            <w:tcW w:w="4811"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1"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c>
          <w:tcPr>
            <w:tcW w:w="4811"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1"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2"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8"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1" w:type="dxa"/>
            <w:tcBorders>
              <w:start w:val="single" w:sz="4" w:space="0" w:color="000000"/>
              <w:bottom w:val="single" w:sz="4" w:space="0" w:color="000000"/>
            </w:tcBorders>
          </w:tcPr>
          <w:p>
            <w:pPr>
              <w:pStyle w:val="TableContents"/>
              <w:rPr/>
            </w:pPr>
            <w:r>
              <w:rPr/>
              <w:t>10.1 IT-Systeme → Inventarisierung</w:t>
            </w:r>
          </w:p>
        </w:tc>
        <w:tc>
          <w:tcPr>
            <w:tcW w:w="6471"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10.3 IT-Systeme → Basisschutz</w:t>
            </w:r>
          </w:p>
        </w:tc>
        <w:tc>
          <w:tcPr>
            <w:tcW w:w="6471"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10.2.1 IT-Systeme → Inbetriebnahme und Änderung</w:t>
            </w:r>
          </w:p>
        </w:tc>
        <w:tc>
          <w:tcPr>
            <w:tcW w:w="6471"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1" w:type="dxa"/>
            <w:tcBorders>
              <w:start w:val="single" w:sz="4" w:space="0" w:color="000000"/>
              <w:bottom w:val="single" w:sz="4" w:space="0" w:color="000000"/>
            </w:tcBorders>
          </w:tcPr>
          <w:p>
            <w:pPr>
              <w:pStyle w:val="TableContents"/>
              <w:rPr/>
            </w:pPr>
            <w:r>
              <w:rPr/>
              <w:t xml:space="preserve">individuelle Risikoanalyse und -behandlung </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1"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471"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1"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1"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w:t>
            </w:r>
            <w:r>
              <w:rPr/>
              <w:t xml:space="preserve">12.2 </w:t>
            </w:r>
            <w:r>
              <w:rPr/>
              <w:t xml:space="preserve">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1"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1"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1"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13.2 Umgebung → Datenleitungen</w:t>
            </w:r>
          </w:p>
        </w:tc>
        <w:tc>
          <w:tcPr>
            <w:tcW w:w="6471"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13.3 Umgebung → Zusätzliche Maßnahmen für wichtigen IT-Systeme</w:t>
            </w:r>
          </w:p>
        </w:tc>
        <w:tc>
          <w:tcPr>
            <w:tcW w:w="6471"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14.2 IT-Outsourcing und Cloud Computing → Vorbereitung</w:t>
            </w:r>
          </w:p>
        </w:tc>
        <w:tc>
          <w:tcPr>
            <w:tcW w:w="6471"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14.3 IT-Outsourcing und Cloud Computing → Vertragsgestaltung</w:t>
            </w:r>
          </w:p>
        </w:tc>
        <w:tc>
          <w:tcPr>
            <w:tcW w:w="6471"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1"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t>noch unklar</w:t>
            </w:r>
          </w:p>
        </w:tc>
        <w:tc>
          <w:tcPr>
            <w:tcW w:w="1648"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1" w:type="dxa"/>
            <w:tcBorders>
              <w:start w:val="single" w:sz="4" w:space="0" w:color="000000"/>
              <w:bottom w:val="single" w:sz="4" w:space="0" w:color="000000"/>
            </w:tcBorders>
          </w:tcPr>
          <w:p>
            <w:pPr>
              <w:pStyle w:val="TableContents"/>
              <w:rPr/>
            </w:pPr>
            <w:r>
              <w:rPr/>
              <w:t>15.1 Zugänge und Zugriffsrechte → Verwaltung</w:t>
            </w:r>
          </w:p>
        </w:tc>
        <w:tc>
          <w:tcPr>
            <w:tcW w:w="6471"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1"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restart"/>
            <w:tcBorders>
              <w:start w:val="single" w:sz="4" w:space="0" w:color="000000"/>
              <w:bottom w:val="single" w:sz="4" w:space="0" w:color="000000"/>
            </w:tcBorders>
          </w:tcPr>
          <w:p>
            <w:pPr>
              <w:pStyle w:val="TableContents"/>
              <w:rPr/>
            </w:pPr>
            <w:r>
              <w:rPr/>
              <w:t>16.5 Datensicherung → Basisschutz</w:t>
            </w:r>
          </w:p>
        </w:tc>
        <w:tc>
          <w:tcPr>
            <w:tcW w:w="6471"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1" w:type="dxa"/>
            <w:tcBorders>
              <w:start w:val="single" w:sz="4" w:space="0" w:color="000000"/>
              <w:bottom w:val="single" w:sz="4" w:space="0" w:color="000000"/>
            </w:tcBorders>
          </w:tcPr>
          <w:p>
            <w:pPr>
              <w:pStyle w:val="TableContents"/>
              <w:rPr/>
            </w:pPr>
            <w:r>
              <w:rPr/>
              <w:t>Risikoanalyse: Folgen eines Datenverlusts analysier</w:t>
            </w:r>
            <w:r>
              <w:rPr/>
              <w:t>en</w:t>
            </w:r>
            <w:r>
              <w:rPr/>
              <w:t xml:space="preserve"> und  MTD </w:t>
            </w:r>
            <w:r>
              <w:rPr/>
              <w:t>bestimmen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1"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11" w:type="dxa"/>
            <w:vMerge w:val="continue"/>
            <w:tcBorders>
              <w:start w:val="single" w:sz="4" w:space="0" w:color="000000"/>
              <w:bottom w:val="single" w:sz="4" w:space="0" w:color="000000"/>
            </w:tcBorders>
          </w:tcPr>
          <w:p>
            <w:pPr>
              <w:pStyle w:val="TableContents"/>
              <w:rPr/>
            </w:pPr>
            <w:r>
              <w:rPr/>
            </w:r>
          </w:p>
        </w:tc>
        <w:tc>
          <w:tcPr>
            <w:tcW w:w="6471"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r>
        <w:rPr/>
        <w:t>4</w:t>
      </w:r>
      <w:r>
        <w:rPr/>
        <w:t xml:space="preserve"> vom </w:t>
      </w:r>
      <w:r>
        <w:rPr/>
        <w:t>10</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0.2.4 vom 10.07.2024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14</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26</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27</w:t>
            </w:r>
          </w:hyperlink>
        </w:p>
        <w:p>
          <w:pPr>
            <w:pStyle w:val="TOC2"/>
            <w:rPr/>
          </w:pPr>
          <w:hyperlink w:anchor="__RefHeading___informationssicherheitste">
            <w:r>
              <w:rPr>
                <w:rStyle w:val="IndexLink"/>
              </w:rPr>
              <w:t>4.4 Informationssicherheitsteam (IST)</w:t>
              <w:tab/>
              <w:t>28</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29</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30</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31</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32</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33</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35</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37</w:t>
            </w:r>
          </w:hyperlink>
        </w:p>
        <w:p>
          <w:pPr>
            <w:pStyle w:val="TOC2"/>
            <w:rPr/>
          </w:pPr>
          <w:hyperlink w:anchor="__RefHeading___aktualitaet_des_wissens_4">
            <w:r>
              <w:rPr>
                <w:rStyle w:val="IndexLink"/>
              </w:rPr>
              <w:t>8.1 Aktualität des Wissens</w:t>
              <w:tab/>
              <w:t>37</w:t>
            </w:r>
          </w:hyperlink>
        </w:p>
        <w:p>
          <w:pPr>
            <w:pStyle w:val="TOC2"/>
            <w:rPr/>
          </w:pPr>
          <w:hyperlink w:anchor="__RefHeading___schulung_und_sensibilisie">
            <w:r>
              <w:rPr>
                <w:rStyle w:val="IndexLink"/>
              </w:rPr>
              <w:t>8.2 Schulung und Sensibilisierung</w:t>
              <w:tab/>
              <w:t>38</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41</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45</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46</w:t>
            </w:r>
          </w:hyperlink>
        </w:p>
        <w:p>
          <w:pPr>
            <w:pStyle w:val="TOC2"/>
            <w:rPr/>
          </w:pPr>
          <w:hyperlink w:anchor="__RefHeading___inventarisierung_51">
            <w:r>
              <w:rPr>
                <w:rStyle w:val="IndexLink"/>
              </w:rPr>
              <w:t>10.1 Inventarisierung</w:t>
              <w:tab/>
              <w:t>46</w:t>
            </w:r>
          </w:hyperlink>
        </w:p>
        <w:p>
          <w:pPr>
            <w:pStyle w:val="TOC2"/>
            <w:rPr/>
          </w:pPr>
          <w:hyperlink w:anchor="__RefHeading___lebenszyklus_52">
            <w:r>
              <w:rPr>
                <w:rStyle w:val="IndexLink"/>
              </w:rPr>
              <w:t>10.2 Lebenszyklus</w:t>
              <w:tab/>
              <w:t>47</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48</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50</w:t>
            </w:r>
          </w:hyperlink>
        </w:p>
        <w:p>
          <w:pPr>
            <w:pStyle w:val="TOC3"/>
            <w:rPr/>
          </w:pPr>
          <w:hyperlink w:anchor="__RefHeading___protokollierung_58">
            <w:r>
              <w:rPr>
                <w:rStyle w:val="IndexLink"/>
              </w:rPr>
              <w:t>10.3.3 Protokollierung</w:t>
              <w:tab/>
              <w:t>51</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54</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55</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57</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externe_schnittstellen_u1">
            <w:r>
              <w:rPr>
                <w:rStyle w:val="IndexLink"/>
              </w:rPr>
              <w:t>10.5.3 Externe Schnittstellen und Laufwerke</w:t>
              <w:tab/>
              <w:t>59</w:t>
            </w:r>
          </w:hyperlink>
        </w:p>
        <w:p>
          <w:pPr>
            <w:pStyle w:val="TOC3"/>
            <w:rPr/>
          </w:pPr>
          <w:hyperlink w:anchor="__RefHeading___aenderungsmanagement_73">
            <w:r>
              <w:rPr>
                <w:rStyle w:val="IndexLink"/>
              </w:rPr>
              <w:t>10.5.4 Änderungsmanagement</w:t>
              <w:tab/>
              <w:t>59</w:t>
            </w:r>
          </w:hyperlink>
        </w:p>
        <w:p>
          <w:pPr>
            <w:pStyle w:val="TOC3"/>
            <w:rPr/>
          </w:pPr>
          <w:hyperlink w:anchor="__RefHeading___ersatzsysteme_und_-verfah">
            <w:r>
              <w:rPr>
                <w:rStyle w:val="IndexLink"/>
              </w:rPr>
              <w:t>10.5.5 Ersatzsysteme und -verfahren</w:t>
              <w:tab/>
              <w:t>60</w:t>
            </w:r>
          </w:hyperlink>
        </w:p>
        <w:p>
          <w:pPr>
            <w:pStyle w:val="TOC3"/>
            <w:rPr/>
          </w:pPr>
          <w:hyperlink w:anchor="__RefHeading___kritische_individualsoftw">
            <w:r>
              <w:rPr>
                <w:rStyle w:val="IndexLink"/>
              </w:rPr>
              <w:t>10.5.6 Besonders schützenswerte Individualsoftware</w:t>
              <w:tab/>
              <w:t>60</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a">
            <w:r>
              <w:rPr>
                <w:rStyle w:val="IndexLink"/>
              </w:rPr>
              <w:t>17.4 Zusätzliche Maßnahmen für wichtige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vom BSI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0.4: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u w:val="none"/>
              </w:rPr>
              <w:t>A</w:t>
            </w:r>
            <w:r>
              <w:rPr>
                <w:u w:val="none"/>
              </w:rPr>
              <w:t xml:space="preserve">dministrative Tätigkeiten MÜSSEN über </w:t>
            </w:r>
            <w:r>
              <w:rPr>
                <w:u w:val="none"/>
              </w:rPr>
              <w:t xml:space="preserve">die </w:t>
            </w:r>
            <w:r>
              <w:rPr>
                <w:u w:val="none"/>
              </w:rPr>
              <w:t>speziell dafür vorgesehene</w:t>
            </w:r>
            <w:r>
              <w:rPr>
                <w:u w:val="none"/>
              </w:rPr>
              <w:t>n</w:t>
            </w:r>
            <w:r>
              <w:rPr>
                <w:u w:val="none"/>
              </w:rPr>
              <w:t xml:space="preserve"> Zugänge erfolgen.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Zusätzlich zur Risikoanalyse und –behandlung MÜSSEN für alle wichtigen IT-Systeme die Maßnahmen </w:t>
            </w:r>
            <w:r>
              <w:rPr>
                <w:rFonts w:eastAsia="Bitstream Vera Sans" w:cs="Bitstream Vera Sans"/>
                <w:color w:val="auto"/>
                <w:kern w:val="0"/>
                <w:sz w:val="20"/>
                <w:szCs w:val="24"/>
                <w:lang w:val="de-DE" w:eastAsia="en-US" w:bidi="en-US"/>
              </w:rPr>
              <w:t xml:space="preserve">der folgenden Abschnitte </w:t>
            </w:r>
            <w:r>
              <w:rPr>
                <w:rFonts w:eastAsia="Bitstream Vera Sans" w:cs="Bitstream Vera Sans"/>
                <w:color w:val="auto"/>
                <w:kern w:val="0"/>
                <w:sz w:val="20"/>
                <w:szCs w:val="24"/>
                <w:lang w:val="de-DE" w:eastAsia="en-US" w:bidi="en-US"/>
              </w:rPr>
              <w:t>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Schutzklassen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92</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5</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0.2.</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9530</TotalTime>
  <Application>LibreOffice/24.2.4.2$Linux_X86_64 LibreOffice_project/51a6219feb6075d9a4c46691dcfe0cd9c4fff3c2</Application>
  <AppVersion>15.0000</AppVersion>
  <Pages>92</Pages>
  <Words>24359</Words>
  <Characters>165402</Characters>
  <CharactersWithSpaces>186235</CharactersWithSpaces>
  <Paragraphs>3525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2024-07-10T15:35:40Z</cp:lastPrinted>
  <dcterms:modified xsi:type="dcterms:W3CDTF">2024-07-10T17:26:02Z</dcterms:modified>
  <cp:revision>195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