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comments.xml" ContentType="application/vnd.openxmlformats-officedocument.wordprocessingml.comment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Klassen,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Klasse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unbenannt</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(2) unbenannt</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Maßnahmen für welche IT-Ressourcen?</w:t>
      </w:r>
    </w:p>
    <w:tbl>
      <w:tblPr>
        <w:tblW w:w="15700" w:type="dxa"/>
        <w:jc w:val="start"/>
        <w:tblInd w:w="55" w:type="dxa"/>
        <w:tblLayout w:type="fixed"/>
        <w:tblCellMar>
          <w:top w:w="55" w:type="dxa"/>
          <w:start w:w="55" w:type="dxa"/>
          <w:bottom w:w="55" w:type="dxa"/>
          <w:end w:w="55" w:type="dxa"/>
        </w:tblCellMar>
      </w:tblPr>
      <w:tblGrid>
        <w:gridCol w:w="6113"/>
        <w:gridCol w:w="5836"/>
        <w:gridCol w:w="1138"/>
        <w:gridCol w:w="961"/>
        <w:gridCol w:w="1652"/>
      </w:tblGrid>
      <w:tr>
        <w:trPr/>
        <w:tc>
          <w:tcPr>
            <w:tcW w:w="6113" w:type="dxa"/>
            <w:tcBorders>
              <w:top w:val="single" w:sz="4" w:space="0" w:color="000000"/>
              <w:start w:val="single" w:sz="4" w:space="0" w:color="000000"/>
              <w:bottom w:val="single" w:sz="4" w:space="0" w:color="000000"/>
            </w:tcBorders>
            <w:shd w:fill="DDDDDD" w:val="clear"/>
          </w:tcPr>
          <w:p>
            <w:pPr>
              <w:pStyle w:val="TableContents"/>
              <w:rPr>
                <w:b/>
                <w:bCs/>
              </w:rPr>
            </w:pPr>
            <w:r>
              <w:rPr>
                <w:b/>
                <w:bCs/>
              </w:rPr>
              <w:t>Abschnitt</w:t>
            </w:r>
          </w:p>
        </w:tc>
        <w:tc>
          <w:tcPr>
            <w:tcW w:w="5836" w:type="dxa"/>
            <w:tcBorders>
              <w:top w:val="single" w:sz="4" w:space="0" w:color="000000"/>
              <w:start w:val="single" w:sz="4" w:space="0" w:color="000000"/>
              <w:bottom w:val="single" w:sz="4" w:space="0" w:color="000000"/>
            </w:tcBorders>
            <w:shd w:fill="DDDDDD" w:val="clear"/>
          </w:tcPr>
          <w:p>
            <w:pPr>
              <w:pStyle w:val="TableContents"/>
              <w:rPr>
                <w:b/>
                <w:bCs/>
              </w:rPr>
            </w:pPr>
            <w:r>
              <w:rPr>
                <w:b/>
                <w:bCs/>
              </w:rPr>
              <w:t>technische Maßnahme (Stichwort)</w:t>
            </w:r>
          </w:p>
        </w:tc>
        <w:tc>
          <w:tcPr>
            <w:tcW w:w="1138" w:type="dxa"/>
            <w:tcBorders>
              <w:top w:val="single" w:sz="4" w:space="0" w:color="000000"/>
              <w:start w:val="single" w:sz="4" w:space="0" w:color="000000"/>
              <w:bottom w:val="single" w:sz="4" w:space="0" w:color="000000"/>
            </w:tcBorders>
            <w:shd w:fill="DDDDDD" w:val="clear"/>
          </w:tcPr>
          <w:p>
            <w:pPr>
              <w:pStyle w:val="TableContents"/>
              <w:jc w:val="center"/>
              <w:rPr>
                <w:b/>
                <w:bCs/>
              </w:rPr>
            </w:pPr>
            <w:r>
              <w:rPr>
                <w:b/>
                <w:bCs/>
              </w:rPr>
              <w:t>standard</w:t>
            </w:r>
          </w:p>
        </w:tc>
        <w:tc>
          <w:tcPr>
            <w:tcW w:w="961" w:type="dxa"/>
            <w:tcBorders>
              <w:top w:val="single" w:sz="4" w:space="0" w:color="000000"/>
              <w:start w:val="single" w:sz="4" w:space="0" w:color="000000"/>
              <w:bottom w:val="single" w:sz="4" w:space="0" w:color="000000"/>
            </w:tcBorders>
            <w:shd w:fill="DDDDDD" w:val="clear"/>
          </w:tcPr>
          <w:p>
            <w:pPr>
              <w:pStyle w:val="TableContents"/>
              <w:jc w:val="center"/>
              <w:rPr>
                <w:b/>
                <w:bCs/>
              </w:rPr>
            </w:pPr>
            <w:r>
              <w:rPr>
                <w:b/>
                <w:bCs/>
              </w:rPr>
              <w:t>wichtig</w:t>
            </w:r>
          </w:p>
        </w:tc>
        <w:tc>
          <w:tcPr>
            <w:tcW w:w="1652" w:type="dxa"/>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6113" w:type="dxa"/>
            <w:tcBorders>
              <w:start w:val="single" w:sz="4" w:space="0" w:color="000000"/>
              <w:bottom w:val="single" w:sz="4" w:space="0" w:color="000000"/>
            </w:tcBorders>
          </w:tcPr>
          <w:p>
            <w:pPr>
              <w:pStyle w:val="TableContents"/>
              <w:rPr/>
            </w:pPr>
            <w:r>
              <w:rPr/>
              <w:t>10.1 IT-Systeme → Inventarisierung</w:t>
            </w:r>
          </w:p>
        </w:tc>
        <w:tc>
          <w:tcPr>
            <w:tcW w:w="5836"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10.3 IT-Systeme → Basisschutz</w:t>
            </w:r>
          </w:p>
        </w:tc>
        <w:tc>
          <w:tcPr>
            <w:tcW w:w="5836" w:type="dxa"/>
            <w:tcBorders>
              <w:start w:val="single" w:sz="4" w:space="0" w:color="000000"/>
              <w:bottom w:val="single" w:sz="4" w:space="0" w:color="000000"/>
            </w:tcBorders>
          </w:tcPr>
          <w:p>
            <w:pPr>
              <w:pStyle w:val="TableContents"/>
              <w:rPr/>
            </w:pPr>
            <w:r>
              <w:rPr/>
              <w:t>Basisschutz</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10.2.1 IT-Systeme → Inbetriebnahme und Änderung</w:t>
            </w:r>
          </w:p>
        </w:tc>
        <w:tc>
          <w:tcPr>
            <w:tcW w:w="5836" w:type="dxa"/>
            <w:tcBorders>
              <w:start w:val="single" w:sz="4" w:space="0" w:color="000000"/>
              <w:bottom w:val="single" w:sz="4" w:space="0" w:color="000000"/>
            </w:tcBorders>
          </w:tcPr>
          <w:p>
            <w:pPr>
              <w:pStyle w:val="TableContents"/>
              <w:rPr/>
            </w:pPr>
            <w:r>
              <w:rPr/>
              <w:t>Schutzklasse des IT-Systems ermitteln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10.n1 IT-Systeme → Zusätzliche Maßnahmen für wichtige IT-Systeme</w:t>
            </w:r>
          </w:p>
        </w:tc>
        <w:tc>
          <w:tcPr>
            <w:tcW w:w="5836" w:type="dxa"/>
            <w:tcBorders>
              <w:start w:val="single" w:sz="4" w:space="0" w:color="000000"/>
              <w:bottom w:val="single" w:sz="4" w:space="0" w:color="000000"/>
            </w:tcBorders>
          </w:tcPr>
          <w:p>
            <w:pPr>
              <w:pStyle w:val="TableContents"/>
              <w:rPr/>
            </w:pPr>
            <w:r>
              <w:rPr/>
              <w:t>individuelle 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5836" w:type="dxa"/>
            <w:tcBorders>
              <w:start w:val="single" w:sz="4" w:space="0" w:color="000000"/>
              <w:bottom w:val="single" w:sz="4" w:space="0" w:color="000000"/>
            </w:tcBorders>
          </w:tcPr>
          <w:p>
            <w:pPr>
              <w:pStyle w:val="TableContents"/>
              <w:rPr/>
            </w:pPr>
            <w:r>
              <w:rPr/>
              <w:t>Definieren eines Notbetriebsniveaus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keine Entwicklungen oder Tests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abschalten aller nicht benötigten Dienste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Änderungen in Testumgebung testen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Roll-back-Mechanismus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Dokumentation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Datensicherung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Überwachung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vorhalten von Ersatzsystemen oder -verfahren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5836" w:type="dxa"/>
            <w:tcBorders>
              <w:start w:val="single" w:sz="4" w:space="0" w:color="000000"/>
              <w:bottom w:val="single" w:sz="4" w:space="0" w:color="000000"/>
            </w:tcBorders>
          </w:tcPr>
          <w:p>
            <w:pPr>
              <w:pStyle w:val="TableContents"/>
              <w:rPr/>
            </w:pPr>
            <w:r>
              <w:rPr/>
              <w:t>Dauerhaft nicht genutzte Netzwerkanschlüsse deaktivieren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Segmentierung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Fernzugang absichern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Kopplung von Netzwerken absichern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5836" w:type="dxa"/>
            <w:tcBorders>
              <w:start w:val="single" w:sz="4" w:space="0" w:color="000000"/>
              <w:bottom w:val="single" w:sz="4" w:space="0" w:color="000000"/>
            </w:tcBorders>
          </w:tcPr>
          <w:p>
            <w:pPr>
              <w:pStyle w:val="TableContents"/>
              <w:rPr/>
            </w:pPr>
            <w:r>
              <w:rPr/>
              <w:t>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5836" w:type="dxa"/>
            <w:tcBorders>
              <w:start w:val="single" w:sz="4" w:space="0" w:color="000000"/>
              <w:bottom w:val="single" w:sz="4" w:space="0" w:color="000000"/>
            </w:tcBorders>
          </w:tcPr>
          <w:p>
            <w:pPr>
              <w:pStyle w:val="TableContents"/>
              <w:rPr/>
            </w:pPr>
            <w:r>
              <w:rPr/>
              <w:t>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5836" w:type="dxa"/>
            <w:tcBorders>
              <w:start w:val="single" w:sz="4" w:space="0" w:color="000000"/>
              <w:bottom w:val="single" w:sz="4" w:space="0" w:color="000000"/>
            </w:tcBorders>
          </w:tcPr>
          <w:p>
            <w:pPr>
              <w:pStyle w:val="TableContents"/>
              <w:rPr/>
            </w:pPr>
            <w:r>
              <w:rPr/>
              <w:t>Schutz vor Beschädigung und unberechtigtem Zutritt</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13.2 Umgebung → Datenleitungen</w:t>
            </w:r>
          </w:p>
        </w:tc>
        <w:tc>
          <w:tcPr>
            <w:tcW w:w="5836" w:type="dxa"/>
            <w:tcBorders>
              <w:start w:val="single" w:sz="4" w:space="0" w:color="000000"/>
              <w:bottom w:val="single" w:sz="4" w:space="0" w:color="000000"/>
            </w:tcBorders>
          </w:tcPr>
          <w:p>
            <w:pPr>
              <w:pStyle w:val="TableContents"/>
              <w:rPr/>
            </w:pPr>
            <w:r>
              <w:rPr/>
              <w:t>Schutz vor Beschädigung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13.3 Umgebung → Zusätzliche Maßnahmen für wichtigen IT-Systeme</w:t>
            </w:r>
          </w:p>
        </w:tc>
        <w:tc>
          <w:tcPr>
            <w:tcW w:w="5836"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14.2 IT-Outsourcing und Cloud Computing → Vorbereitung</w:t>
            </w:r>
          </w:p>
        </w:tc>
        <w:tc>
          <w:tcPr>
            <w:tcW w:w="5836"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14.3 IT-Outsourcing und Cloud Computing → Vertragsgestaltung</w:t>
            </w:r>
          </w:p>
        </w:tc>
        <w:tc>
          <w:tcPr>
            <w:tcW w:w="5836" w:type="dxa"/>
            <w:tcBorders>
              <w:start w:val="single" w:sz="4" w:space="0" w:color="000000"/>
              <w:bottom w:val="single" w:sz="4" w:space="0" w:color="000000"/>
            </w:tcBorders>
          </w:tcPr>
          <w:p>
            <w:pPr>
              <w:pStyle w:val="TableContents"/>
              <w:rPr/>
            </w:pPr>
            <w:r>
              <w:rPr/>
              <w:t>Vertrag mit Anbieter gem 14.2 schließen.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5836" w:type="dxa"/>
            <w:tcBorders>
              <w:start w:val="single" w:sz="4" w:space="0" w:color="000000"/>
              <w:bottom w:val="single" w:sz="4" w:space="0" w:color="000000"/>
            </w:tcBorders>
          </w:tcPr>
          <w:p>
            <w:pPr>
              <w:pStyle w:val="TableContents"/>
              <w:rPr/>
            </w:pPr>
            <w:r>
              <w:rPr/>
              <w:t>erhöhte Anforderungen an den zu schließenden Vertrag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15.1 Zugänge und Zugriffsrechte → Verwaltung</w:t>
            </w:r>
          </w:p>
        </w:tc>
        <w:tc>
          <w:tcPr>
            <w:tcW w:w="5836" w:type="dxa"/>
            <w:tcBorders>
              <w:start w:val="single" w:sz="4" w:space="0" w:color="000000"/>
              <w:bottom w:val="single" w:sz="4" w:space="0" w:color="000000"/>
            </w:tcBorders>
          </w:tcPr>
          <w:p>
            <w:pPr>
              <w:pStyle w:val="TableContents"/>
              <w:rPr/>
            </w:pPr>
            <w:r>
              <w:rPr/>
              <w:t>Zugänge und Zugriffsrechte strukturiert verwalten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5836"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16.5 Datensicherung → Basisschutz</w:t>
            </w:r>
          </w:p>
        </w:tc>
        <w:tc>
          <w:tcPr>
            <w:tcW w:w="5836"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Speicherorte</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Server</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aktiven Netzwerkkomponenten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mobilen IT-Systeme</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5836" w:type="dxa"/>
            <w:tcBorders>
              <w:start w:val="single" w:sz="4" w:space="0" w:color="000000"/>
              <w:bottom w:val="single" w:sz="4" w:space="0" w:color="000000"/>
            </w:tcBorders>
          </w:tcPr>
          <w:p>
            <w:pPr>
              <w:pStyle w:val="TableContents"/>
              <w:rPr/>
            </w:pPr>
            <w:r>
              <w:rPr/>
              <w:t>Risikoanalyse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Zusätzliche Anforderungen an die Verfahren (MTA und MTD)</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5836" w:type="dxa"/>
            <w:tcBorders>
              <w:start w:val="single" w:sz="4" w:space="0" w:color="000000"/>
              <w:bottom w:val="single" w:sz="4" w:space="0" w:color="000000"/>
            </w:tcBorders>
          </w:tcPr>
          <w:p>
            <w:pPr>
              <w:pStyle w:val="TableContents"/>
              <w:rPr/>
            </w:pPr>
            <w:r>
              <w:rPr/>
              <w:t>Wiederanlaufpläne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Abhängigkeiten erfassen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bl>
    <w:p>
      <w:pPr>
        <w:pStyle w:val="Heading1"/>
        <w:numPr>
          <w:ilvl w:val="0"/>
          <w:numId w:val="0"/>
        </w:numPr>
        <w:tabs>
          <w:tab w:val="clear" w:pos="709"/>
          <w:tab w:val="left" w:pos="0" w:leader="none"/>
        </w:tabs>
        <w:bidi w:val="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 xml:space="preserve">dS 10100, Version 0.2.1 vom </w:t>
      </w:r>
      <w:r>
        <w:rPr/>
        <w:t>09</w:t>
      </w:r>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Maßnahmen für welche Teile der IT-Ressourcen?</w:t>
              <w:tab/>
              <w:t>4</w:t>
            </w:r>
          </w:hyperlink>
        </w:p>
        <w:p>
          <w:pPr>
            <w:pStyle w:val="TOC1"/>
            <w:rPr/>
          </w:pPr>
          <w:hyperlink w:anchor="__RefHeading___vorlage_fuer_assessment_d">
            <w:r>
              <w:rPr>
                <w:rStyle w:val="IndexLink"/>
              </w:rPr>
              <w:t>VdS 10100, Version 0.2.1 vom 09.07.2024</w:t>
              <w:tab/>
              <w:t>6</w:t>
            </w:r>
          </w:hyperlink>
        </w:p>
        <w:p>
          <w:pPr>
            <w:pStyle w:val="TOC4"/>
            <w:rPr/>
          </w:pPr>
          <w:hyperlink w:anchor="__RefHeading___vds-richtlinien_fuer_die_">
            <w:r>
              <w:rPr>
                <w:rStyle w:val="IndexLink"/>
              </w:rPr>
              <w:t>0 VdS-Richtlinien für die Informationsverarbeitung</w:t>
              <w:tab/>
              <w:t>6</w:t>
            </w:r>
          </w:hyperlink>
        </w:p>
        <w:p>
          <w:pPr>
            <w:pStyle w:val="TOC1"/>
            <w:rPr/>
          </w:pPr>
          <w:hyperlink w:anchor="__RefHeading___informationssicherheitsma">
            <w:r>
              <w:rPr>
                <w:rStyle w:val="IndexLink"/>
              </w:rPr>
              <w:t>Strukturierte Informationssicherheit gemäß NIS2</w:t>
              <w:tab/>
              <w:t>6</w:t>
            </w:r>
          </w:hyperlink>
        </w:p>
        <w:p>
          <w:pPr>
            <w:pStyle w:val="TOC4"/>
            <w:rPr/>
          </w:pPr>
          <w:hyperlink w:anchor="__RefHeading___anforderungen_4">
            <w:r>
              <w:rPr>
                <w:rStyle w:val="IndexLink"/>
              </w:rPr>
              <w:t>Anforderungen</w:t>
              <w:tab/>
              <w:t>10</w:t>
            </w:r>
          </w:hyperlink>
        </w:p>
        <w:p>
          <w:pPr>
            <w:pStyle w:val="TOC1"/>
            <w:rPr/>
          </w:pPr>
          <w:hyperlink w:anchor="__RefHeading___allgemeines_5">
            <w:r>
              <w:rPr>
                <w:rStyle w:val="IndexLink"/>
              </w:rPr>
              <w:t>1 Allgemeines</w:t>
              <w:tab/>
              <w:t>10</w:t>
            </w:r>
          </w:hyperlink>
        </w:p>
        <w:p>
          <w:pPr>
            <w:pStyle w:val="TOC2"/>
            <w:rPr/>
          </w:pPr>
          <w:hyperlink w:anchor="__RefHeading___anwendungshinweise_6">
            <w:r>
              <w:rPr>
                <w:rStyle w:val="IndexLink"/>
              </w:rPr>
              <w:t>1.1 Anwendungshinweise</w:t>
              <w:tab/>
              <w:t>10</w:t>
            </w:r>
          </w:hyperlink>
        </w:p>
        <w:p>
          <w:pPr>
            <w:pStyle w:val="TOC2"/>
            <w:rPr/>
          </w:pPr>
          <w:hyperlink w:anchor="__RefHeading___anwendungs-_und_geltungsb">
            <w:r>
              <w:rPr>
                <w:rStyle w:val="IndexLink"/>
              </w:rPr>
              <w:t>1.2 Anwendungs- und Geltungsbereich</w:t>
              <w:tab/>
              <w:t>12</w:t>
            </w:r>
          </w:hyperlink>
        </w:p>
        <w:p>
          <w:pPr>
            <w:pStyle w:val="TOC3"/>
            <w:rPr/>
          </w:pPr>
          <w:hyperlink w:anchor="__RefHeading___Toc49840_1658012805">
            <w:r>
              <w:rPr>
                <w:rStyle w:val="IndexLink"/>
              </w:rPr>
              <w:t>1.2.1 Analyse und Registrierung</w:t>
              <w:tab/>
              <w:t>12</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14</w:t>
            </w:r>
          </w:hyperlink>
        </w:p>
        <w:p>
          <w:pPr>
            <w:pStyle w:val="TOC1"/>
            <w:rPr/>
          </w:pPr>
          <w:hyperlink w:anchor="__RefHeading___begriffe_10">
            <w:r>
              <w:rPr>
                <w:rStyle w:val="IndexLink"/>
              </w:rPr>
              <w:t>Begriffe</w:t>
              <w:tab/>
              <w:t>16</w:t>
            </w:r>
          </w:hyperlink>
        </w:p>
        <w:p>
          <w:pPr>
            <w:pStyle w:val="TOC1"/>
            <w:rPr/>
          </w:pPr>
          <w:hyperlink w:anchor="__RefHeading___organisation_der_informat">
            <w:r>
              <w:rPr>
                <w:rStyle w:val="IndexLink"/>
              </w:rPr>
              <w:t>4 Organisation der Informationssicherheit</w:t>
              <w:tab/>
              <w:t>24</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25</w:t>
            </w:r>
          </w:hyperlink>
        </w:p>
        <w:p>
          <w:pPr>
            <w:pStyle w:val="TOC3"/>
            <w:rPr/>
          </w:pPr>
          <w:hyperlink w:anchor="__RefHeading___zeitliche_ressourcen_15">
            <w:r>
              <w:rPr>
                <w:rStyle w:val="IndexLink"/>
              </w:rPr>
              <w:t>4.1.3 Zeitliche Ressourcen</w:t>
              <w:tab/>
              <w:t>26</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27</w:t>
            </w:r>
          </w:hyperlink>
        </w:p>
        <w:p>
          <w:pPr>
            <w:pStyle w:val="TOC2"/>
            <w:rPr/>
          </w:pPr>
          <w:hyperlink w:anchor="__RefHeading___informationssicherheitste">
            <w:r>
              <w:rPr>
                <w:rStyle w:val="IndexLink"/>
              </w:rPr>
              <w:t>4.4 Informationssicherheitsteam (IST)</w:t>
              <w:tab/>
              <w:t>28</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29</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30</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31</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49</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53</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54</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56</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57</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58</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risikoanalyse_und_-behand">
            <w:r>
              <w:rPr>
                <w:rStyle w:val="IndexLink"/>
              </w:rPr>
              <w:t>10.5.1 Risikoanalyse und behandlung</w:t>
              <w:tab/>
              <w:t>59</w:t>
            </w:r>
          </w:hyperlink>
        </w:p>
        <w:p>
          <w:pPr>
            <w:pStyle w:val="TOC3"/>
            <w:rPr/>
          </w:pPr>
          <w:hyperlink w:anchor="__RefHeading___notbetriebsniveau_70">
            <w:r>
              <w:rPr>
                <w:rStyle w:val="IndexLink"/>
              </w:rPr>
              <w:t>10.5.2 Notbetriebsniveau</w:t>
              <w:tab/>
              <w:t>59</w:t>
            </w:r>
          </w:hyperlink>
        </w:p>
        <w:p>
          <w:pPr>
            <w:pStyle w:val="TOC3"/>
            <w:rPr/>
          </w:pPr>
          <w:hyperlink w:anchor="__RefHeading___robustheit_71">
            <w:r>
              <w:rPr>
                <w:rStyle w:val="IndexLink"/>
              </w:rPr>
              <w:t>10.5.3 Robustheit</w:t>
              <w:tab/>
              <w:t>59</w:t>
            </w:r>
          </w:hyperlink>
        </w:p>
        <w:p>
          <w:pPr>
            <w:pStyle w:val="TOC3"/>
            <w:rPr/>
          </w:pPr>
          <w:hyperlink w:anchor="__RefHeading___externe_schnittstellen_u1">
            <w:r>
              <w:rPr>
                <w:rStyle w:val="IndexLink"/>
              </w:rPr>
              <w:t>10.5.4 Externe Schnittstellen und Laufwerke</w:t>
              <w:tab/>
              <w:t>59</w:t>
            </w:r>
          </w:hyperlink>
        </w:p>
        <w:p>
          <w:pPr>
            <w:pStyle w:val="TOC3"/>
            <w:rPr/>
          </w:pPr>
          <w:hyperlink w:anchor="__RefHeading___aenderungsmanagement_73">
            <w:r>
              <w:rPr>
                <w:rStyle w:val="IndexLink"/>
              </w:rPr>
              <w:t>10.5.5 Änderungsmanagement</w:t>
              <w:tab/>
              <w:t>60</w:t>
            </w:r>
          </w:hyperlink>
        </w:p>
        <w:p>
          <w:pPr>
            <w:pStyle w:val="TOC3"/>
            <w:rPr/>
          </w:pPr>
          <w:hyperlink w:anchor="__RefHeading___dokumentation_74">
            <w:r>
              <w:rPr>
                <w:rStyle w:val="IndexLink"/>
              </w:rPr>
              <w:t>10.5.6 Dokumentation</w:t>
              <w:tab/>
              <w:t>60</w:t>
            </w:r>
          </w:hyperlink>
        </w:p>
        <w:p>
          <w:pPr>
            <w:pStyle w:val="TOC3"/>
            <w:rPr/>
          </w:pPr>
          <w:hyperlink w:anchor="__RefHeading___datensicherung_75">
            <w:r>
              <w:rPr>
                <w:rStyle w:val="IndexLink"/>
              </w:rPr>
              <w:t>10.5.7 Datensicherung</w:t>
              <w:tab/>
              <w:t>61</w:t>
            </w:r>
          </w:hyperlink>
        </w:p>
        <w:p>
          <w:pPr>
            <w:pStyle w:val="TOC3"/>
            <w:rPr/>
          </w:pPr>
          <w:hyperlink w:anchor="__RefHeading___ueberwachung_76">
            <w:r>
              <w:rPr>
                <w:rStyle w:val="IndexLink"/>
              </w:rPr>
              <w:t>10.5.8 Überwachung</w:t>
              <w:tab/>
              <w:t>61</w:t>
            </w:r>
          </w:hyperlink>
        </w:p>
        <w:p>
          <w:pPr>
            <w:pStyle w:val="TOC3"/>
            <w:rPr/>
          </w:pPr>
          <w:hyperlink w:anchor="__RefHeading___ersatzsysteme_und_-verfah">
            <w:r>
              <w:rPr>
                <w:rStyle w:val="IndexLink"/>
              </w:rPr>
              <w:t>10.5.9 Ersatzsysteme und -verfahren</w:t>
              <w:tab/>
              <w:t>61</w:t>
            </w:r>
          </w:hyperlink>
        </w:p>
        <w:p>
          <w:pPr>
            <w:pStyle w:val="TOC3"/>
            <w:rPr/>
          </w:pPr>
          <w:hyperlink w:anchor="__RefHeading___kritische_individualsoftw">
            <w:r>
              <w:rPr>
                <w:rStyle w:val="IndexLink"/>
              </w:rPr>
              <w:t>10.5.10 Besonders schützenswerte Individualsoftware</w:t>
              <w:tab/>
              <w:t>62</w:t>
            </w:r>
          </w:hyperlink>
        </w:p>
        <w:p>
          <w:pPr>
            <w:pStyle w:val="TOC1"/>
            <w:rPr/>
          </w:pPr>
          <w:hyperlink w:anchor="__RefHeading___netzwerke_und_verbindung1">
            <w:r>
              <w:rPr>
                <w:rStyle w:val="IndexLink"/>
              </w:rPr>
              <w:t>11 Netzwerke und Verbindungen</w:t>
              <w:tab/>
              <w:t>62</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63</w:t>
            </w:r>
          </w:hyperlink>
        </w:p>
        <w:p>
          <w:pPr>
            <w:pStyle w:val="TOC2"/>
            <w:rPr/>
          </w:pPr>
          <w:hyperlink w:anchor="__RefHeading___netzuebergaenge_82">
            <w:r>
              <w:rPr>
                <w:rStyle w:val="IndexLink"/>
              </w:rPr>
              <w:t>11.3 Netzübergänge</w:t>
              <w:tab/>
              <w:t>63</w:t>
            </w:r>
          </w:hyperlink>
        </w:p>
        <w:p>
          <w:pPr>
            <w:pStyle w:val="TOC2"/>
            <w:rPr/>
          </w:pPr>
          <w:hyperlink w:anchor="__RefHeading___basisschutz_83">
            <w:r>
              <w:rPr>
                <w:rStyle w:val="IndexLink"/>
              </w:rPr>
              <w:t>11.4 Basisschutz</w:t>
              <w:tab/>
              <w:t>64</w:t>
            </w:r>
          </w:hyperlink>
        </w:p>
        <w:p>
          <w:pPr>
            <w:pStyle w:val="TOC3"/>
            <w:rPr/>
          </w:pPr>
          <w:hyperlink w:anchor="__RefHeading___netzwerkanschluesse_84">
            <w:r>
              <w:rPr>
                <w:rStyle w:val="IndexLink"/>
              </w:rPr>
              <w:t>11.4.1 Netzwerkanschlüsse</w:t>
              <w:tab/>
              <w:t>65</w:t>
            </w:r>
          </w:hyperlink>
        </w:p>
        <w:p>
          <w:pPr>
            <w:pStyle w:val="TOC3"/>
            <w:rPr/>
          </w:pPr>
          <w:hyperlink w:anchor="__RefHeading___segmentierung_85">
            <w:r>
              <w:rPr>
                <w:rStyle w:val="IndexLink"/>
              </w:rPr>
              <w:t>11.4.2 Segmentierung</w:t>
              <w:tab/>
              <w:t>65</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67</w:t>
            </w:r>
          </w:hyperlink>
        </w:p>
        <w:p>
          <w:pPr>
            <w:pStyle w:val="TOC1"/>
            <w:rPr/>
          </w:pPr>
          <w:hyperlink w:anchor="__RefHeading___mobile_datentraeger_89">
            <w:r>
              <w:rPr>
                <w:rStyle w:val="IndexLink"/>
              </w:rPr>
              <w:t>12 Mobile Datenträger</w:t>
              <w:tab/>
              <w:t>67</w:t>
            </w:r>
          </w:hyperlink>
        </w:p>
        <w:p>
          <w:pPr>
            <w:pStyle w:val="TOC2"/>
            <w:rPr/>
          </w:pPr>
          <w:hyperlink w:anchor="__RefHeading___is-richtlinie_90">
            <w:r>
              <w:rPr>
                <w:rStyle w:val="IndexLink"/>
              </w:rPr>
              <w:t>12.1 IS-Richtlinie</w:t>
              <w:tab/>
              <w:t>67</w:t>
            </w:r>
          </w:hyperlink>
        </w:p>
        <w:p>
          <w:pPr>
            <w:pStyle w:val="TOC2"/>
            <w:rPr/>
          </w:pPr>
          <w:hyperlink w:anchor="__RefHeading___schutz_der_informationen1">
            <w:r>
              <w:rPr>
                <w:rStyle w:val="IndexLink"/>
              </w:rPr>
              <w:t>12.2 Schutz der Informationen</w:t>
              <w:tab/>
              <w:t>68</w:t>
            </w:r>
          </w:hyperlink>
        </w:p>
        <w:p>
          <w:pPr>
            <w:pStyle w:val="TOC2"/>
            <w:rPr/>
          </w:pPr>
          <w:hyperlink w:anchor="__RefHeading___zusaetzliche_massnahmen_3">
            <w:r>
              <w:rPr>
                <w:rStyle w:val="IndexLink"/>
              </w:rPr>
              <w:t>12.3 Zusätzliche Maßnahmen für wichtige mobile Datenträger</w:t>
              <w:tab/>
              <w:t>68</w:t>
            </w:r>
          </w:hyperlink>
        </w:p>
        <w:p>
          <w:pPr>
            <w:pStyle w:val="TOC1"/>
            <w:rPr/>
          </w:pPr>
          <w:hyperlink w:anchor="__RefHeading___umgebung_93">
            <w:r>
              <w:rPr>
                <w:rStyle w:val="IndexLink"/>
              </w:rPr>
              <w:t>13 Umgebung</w:t>
              <w:tab/>
              <w:t>68</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70</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71</w:t>
            </w:r>
          </w:hyperlink>
        </w:p>
        <w:p>
          <w:pPr>
            <w:pStyle w:val="TOC2"/>
            <w:rPr/>
          </w:pPr>
          <w:hyperlink w:anchor="__RefHeading___vorbereitung_99">
            <w:r>
              <w:rPr>
                <w:rStyle w:val="IndexLink"/>
              </w:rPr>
              <w:t>14.2 Vorbereitung</w:t>
              <w:tab/>
              <w:t>71</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72</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74</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75</w:t>
            </w:r>
          </w:hyperlink>
        </w:p>
        <w:p>
          <w:pPr>
            <w:pStyle w:val="TOC2"/>
            <w:rPr/>
          </w:pPr>
          <w:hyperlink w:anchor="__RefHeading___is-richtlinie_106">
            <w:r>
              <w:rPr>
                <w:rStyle w:val="IndexLink"/>
              </w:rPr>
              <w:t>16.1 IS-Richtlinie</w:t>
              <w:tab/>
              <w:t>75</w:t>
            </w:r>
          </w:hyperlink>
        </w:p>
        <w:p>
          <w:pPr>
            <w:pStyle w:val="TOC2"/>
            <w:rPr/>
          </w:pPr>
          <w:hyperlink w:anchor="__RefHeading___archivierung_107">
            <w:r>
              <w:rPr>
                <w:rStyle w:val="IndexLink"/>
              </w:rPr>
              <w:t>16.2 Archivierung</w:t>
              <w:tab/>
              <w:t>76</w:t>
            </w:r>
          </w:hyperlink>
        </w:p>
        <w:p>
          <w:pPr>
            <w:pStyle w:val="TOC2"/>
            <w:rPr/>
          </w:pPr>
          <w:hyperlink w:anchor="__RefHeading___verfahren_108">
            <w:r>
              <w:rPr>
                <w:rStyle w:val="IndexLink"/>
              </w:rPr>
              <w:t>16.3 Verfahren</w:t>
              <w:tab/>
              <w:t>76</w:t>
            </w:r>
          </w:hyperlink>
        </w:p>
        <w:p>
          <w:pPr>
            <w:pStyle w:val="TOC2"/>
            <w:rPr/>
          </w:pPr>
          <w:hyperlink w:anchor="__RefHeading___weiterentwicklung_112">
            <w:r>
              <w:rPr>
                <w:rStyle w:val="IndexLink"/>
              </w:rPr>
              <w:t>16.4 Weiterentwicklung</w:t>
              <w:tab/>
              <w:t>78</w:t>
            </w:r>
          </w:hyperlink>
        </w:p>
        <w:p>
          <w:pPr>
            <w:pStyle w:val="TOC2"/>
            <w:rPr/>
          </w:pPr>
          <w:hyperlink w:anchor="__RefHeading___basisschutz_113">
            <w:r>
              <w:rPr>
                <w:rStyle w:val="IndexLink"/>
              </w:rPr>
              <w:t>16.5 Basisschutz</w:t>
              <w:tab/>
              <w:t>78</w:t>
            </w:r>
          </w:hyperlink>
        </w:p>
        <w:p>
          <w:pPr>
            <w:pStyle w:val="TOC3"/>
            <w:rPr/>
          </w:pPr>
          <w:hyperlink w:anchor="__RefHeading___is-richtlinie_106_Copy_1_">
            <w:r>
              <w:rPr>
                <w:rStyle w:val="IndexLink"/>
              </w:rPr>
              <w:t>16.5.n1 IT-Systeme für die Datensicherung und -wiederherstellung</w:t>
              <w:tab/>
              <w:t>79</w:t>
            </w:r>
          </w:hyperlink>
        </w:p>
        <w:p>
          <w:pPr>
            <w:pStyle w:val="TOC3"/>
            <w:rPr/>
          </w:pPr>
          <w:hyperlink w:anchor="__RefHeading___speicherorte_114">
            <w:r>
              <w:rPr>
                <w:rStyle w:val="IndexLink"/>
              </w:rPr>
              <w:t>16.5.1 Speicherorte</w:t>
              <w:tab/>
              <w:t>80</w:t>
            </w:r>
          </w:hyperlink>
        </w:p>
        <w:p>
          <w:pPr>
            <w:pStyle w:val="TOC3"/>
            <w:rPr/>
          </w:pPr>
          <w:hyperlink w:anchor="__RefHeading___server_115">
            <w:r>
              <w:rPr>
                <w:rStyle w:val="IndexLink"/>
              </w:rPr>
              <w:t>16.5.2 Server</w:t>
              <w:tab/>
              <w:t>80</w:t>
            </w:r>
          </w:hyperlink>
        </w:p>
        <w:p>
          <w:pPr>
            <w:pStyle w:val="TOC3"/>
            <w:rPr/>
          </w:pPr>
          <w:hyperlink w:anchor="__RefHeading___aktive_netzwerkkomponent1">
            <w:r>
              <w:rPr>
                <w:rStyle w:val="IndexLink"/>
              </w:rPr>
              <w:t>16.5.3 Aktive Netzwerkkomponenten</w:t>
              <w:tab/>
              <w:t>80</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81</w:t>
            </w:r>
          </w:hyperlink>
        </w:p>
        <w:p>
          <w:pPr>
            <w:pStyle w:val="TOC3"/>
            <w:rPr/>
          </w:pPr>
          <w:hyperlink w:anchor="__RefHeading___risikoanalyse_119">
            <w:r>
              <w:rPr>
                <w:rStyle w:val="IndexLink"/>
              </w:rPr>
              <w:t>16.6.1 Risikoanalyse</w:t>
              <w:tab/>
              <w:t>81</w:t>
            </w:r>
          </w:hyperlink>
        </w:p>
        <w:p>
          <w:pPr>
            <w:pStyle w:val="TOC3"/>
            <w:rPr/>
          </w:pPr>
          <w:hyperlink w:anchor="__RefHeading___verfahren_120">
            <w:r>
              <w:rPr>
                <w:rStyle w:val="IndexLink"/>
              </w:rPr>
              <w:t>16.6.2 Verfahren</w:t>
              <w:tab/>
              <w:t>81</w:t>
            </w:r>
          </w:hyperlink>
        </w:p>
        <w:p>
          <w:pPr>
            <w:pStyle w:val="TOC1"/>
            <w:rPr/>
          </w:pPr>
          <w:hyperlink w:anchor="__RefHeading___stoerungen_und_ausfaelle_">
            <w:r>
              <w:rPr>
                <w:rStyle w:val="IndexLink"/>
              </w:rPr>
              <w:t>17 Sicherheitsvorfälle</w:t>
              <w:tab/>
              <w:t>82</w:t>
            </w:r>
          </w:hyperlink>
        </w:p>
        <w:p>
          <w:pPr>
            <w:pStyle w:val="TOC2"/>
            <w:rPr/>
          </w:pPr>
          <w:hyperlink w:anchor="__RefHeading___is-richtlinie_122">
            <w:r>
              <w:rPr>
                <w:rStyle w:val="IndexLink"/>
              </w:rPr>
              <w:t>17.1 IS-Richtlinie</w:t>
              <w:tab/>
              <w:t>82</w:t>
            </w:r>
          </w:hyperlink>
        </w:p>
        <w:p>
          <w:pPr>
            <w:pStyle w:val="TOC2"/>
            <w:rPr/>
          </w:pPr>
          <w:hyperlink w:anchor="__RefHeading___erkennen_129_Copy_1">
            <w:r>
              <w:rPr>
                <w:rStyle w:val="IndexLink"/>
              </w:rPr>
              <w:t>17.2 Erkennen</w:t>
              <w:tab/>
              <w:t>83</w:t>
            </w:r>
          </w:hyperlink>
        </w:p>
        <w:p>
          <w:pPr>
            <w:pStyle w:val="TOC2"/>
            <w:rPr/>
          </w:pPr>
          <w:hyperlink w:anchor="__RefHeading___reaktion_123">
            <w:r>
              <w:rPr>
                <w:rStyle w:val="IndexLink"/>
              </w:rPr>
              <w:t>17.3 Reaktion</w:t>
              <w:tab/>
              <w:t>84</w:t>
            </w:r>
          </w:hyperlink>
        </w:p>
        <w:p>
          <w:pPr>
            <w:pStyle w:val="TOC2"/>
            <w:rPr/>
          </w:pPr>
          <w:hyperlink w:anchor="__RefHeading___zusaetzliche_massnahmen_8">
            <w:r>
              <w:rPr>
                <w:rStyle w:val="IndexLink"/>
              </w:rPr>
              <w:t>17.4 Zusätzliche Maßnahmen für wichtig IT-Systeme</w:t>
              <w:tab/>
              <w:t>86</w:t>
            </w:r>
          </w:hyperlink>
        </w:p>
        <w:p>
          <w:pPr>
            <w:pStyle w:val="TOC3"/>
            <w:rPr/>
          </w:pPr>
          <w:hyperlink w:anchor="__RefHeading___wiederanlaufplaene_125">
            <w:r>
              <w:rPr>
                <w:rStyle w:val="IndexLink"/>
              </w:rPr>
              <w:t>17.4.1 Wiederanlaufpläne</w:t>
              <w:tab/>
              <w:t>87</w:t>
            </w:r>
          </w:hyperlink>
        </w:p>
        <w:p>
          <w:pPr>
            <w:pStyle w:val="TOC3"/>
            <w:rPr/>
          </w:pPr>
          <w:hyperlink w:anchor="__RefHeading___abhaengigkeiten_126">
            <w:r>
              <w:rPr>
                <w:rStyle w:val="IndexLink"/>
              </w:rPr>
              <w:t>17.4.2 Abhängigkeiten</w:t>
              <w:tab/>
              <w:t>88</w:t>
            </w:r>
          </w:hyperlink>
        </w:p>
        <w:p>
          <w:pPr>
            <w:pStyle w:val="TOC1"/>
            <w:rPr/>
          </w:pPr>
          <w:hyperlink w:anchor="__RefHeading___anhang_a_131">
            <w:r>
              <w:rPr>
                <w:rStyle w:val="IndexLink"/>
              </w:rPr>
              <w:t>Anhang A</w:t>
              <w:tab/>
              <w:t>88</w:t>
            </w:r>
          </w:hyperlink>
        </w:p>
        <w:p>
          <w:pPr>
            <w:pStyle w:val="TOC2"/>
            <w:rPr/>
          </w:pPr>
          <w:hyperlink w:anchor="__RefHeading___a_1_verfahren_132">
            <w:r>
              <w:rPr>
                <w:rStyle w:val="IndexLink"/>
              </w:rPr>
              <w:t>A 1 Verfahren</w:t>
              <w:tab/>
              <w:t>88</w:t>
            </w:r>
          </w:hyperlink>
        </w:p>
        <w:p>
          <w:pPr>
            <w:pStyle w:val="TOC2"/>
            <w:rPr/>
          </w:pPr>
          <w:hyperlink w:anchor="__RefHeading___a_2_risikoanalyse_und_-be">
            <w:r>
              <w:rPr>
                <w:rStyle w:val="IndexLink"/>
              </w:rPr>
              <w:t>A 2 Risikomanagement</w:t>
              <w:tab/>
              <w:t>90</w:t>
            </w:r>
          </w:hyperlink>
        </w:p>
        <w:p>
          <w:pPr>
            <w:pStyle w:val="TOC3"/>
            <w:rPr/>
          </w:pPr>
          <w:hyperlink w:anchor="__RefHeading___a_2.1_risikoanalyse_134_C">
            <w:r>
              <w:rPr>
                <w:rStyle w:val="IndexLink"/>
              </w:rPr>
              <w:t>A 2.1 Methodik</w:t>
              <w:tab/>
              <w:t>90</w:t>
            </w:r>
          </w:hyperlink>
        </w:p>
        <w:p>
          <w:pPr>
            <w:pStyle w:val="TOC3"/>
            <w:rPr/>
          </w:pPr>
          <w:hyperlink w:anchor="__RefHeading___a_2.1_risikoanalyse_134">
            <w:r>
              <w:rPr>
                <w:rStyle w:val="IndexLink"/>
              </w:rPr>
              <w:t>A 2.2 Risikoanalyse</w:t>
              <w:tab/>
              <w:t>91</w:t>
            </w:r>
          </w:hyperlink>
        </w:p>
        <w:p>
          <w:pPr>
            <w:pStyle w:val="TOC3"/>
            <w:rPr/>
          </w:pPr>
          <w:hyperlink w:anchor="__RefHeading___a_2.2_risikobehandlung_13">
            <w:r>
              <w:rPr>
                <w:rStyle w:val="IndexLink"/>
              </w:rPr>
              <w:t>A 2.3 Risikobehandlung</w:t>
              <w:tab/>
              <w:t>92</w:t>
            </w:r>
          </w:hyperlink>
        </w:p>
        <w:p>
          <w:pPr>
            <w:pStyle w:val="TOC3"/>
            <w:rPr/>
          </w:pPr>
          <w:hyperlink w:anchor="__RefHeading___a_2.3_wiederholung_und_an">
            <w:r>
              <w:rPr>
                <w:rStyle w:val="IndexLink"/>
              </w:rPr>
              <w:t>A 2.4 Wiederholung und Anpassung</w:t>
              <w:tab/>
              <w:t>93</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DISKUSSION:</w:t>
            </w:r>
          </w:p>
          <w:p>
            <w:pPr>
              <w:pStyle w:val="TableContents"/>
              <w:bidi w:val="0"/>
              <w:ind w:hanging="0" w:start="0"/>
              <w:jc w:val="start"/>
              <w:rPr/>
            </w:pPr>
            <w:r>
              <w:rPr/>
              <w:t>- Sinnvoll?</w:t>
            </w:r>
          </w:p>
          <w:p>
            <w:pPr>
              <w:pStyle w:val="TableContents"/>
              <w:bidi w:val="0"/>
              <w:ind w:hanging="0" w:start="0"/>
              <w:jc w:val="start"/>
              <w:rPr/>
            </w:pPr>
            <w:r>
              <w:rPr/>
            </w:r>
          </w:p>
          <w:p>
            <w:pPr>
              <w:pStyle w:val="TableContents"/>
              <w:bidi w:val="0"/>
              <w:ind w:hanging="0" w:start="0"/>
              <w:jc w:val="start"/>
              <w:rPr/>
            </w:pPr>
            <w:r>
              <w:rPr/>
              <w:t>0.2.1:</w:t>
            </w:r>
          </w:p>
          <w:p>
            <w:pPr>
              <w:pStyle w:val="TableContents"/>
              <w:bidi w:val="0"/>
              <w:ind w:hanging="0" w:start="0"/>
              <w:jc w:val="start"/>
              <w:rPr/>
            </w:pPr>
            <w:r>
              <w:rPr/>
              <w:t>- Ja, aufnehmen.</w:t>
            </w:r>
          </w:p>
          <w:p>
            <w:pPr>
              <w:pStyle w:val="TableContents"/>
              <w:bidi w:val="0"/>
              <w:ind w:hanging="0" w:start="0"/>
              <w:jc w:val="start"/>
              <w:rPr/>
            </w:pPr>
            <w:r>
              <w:rPr/>
              <w:t>- Ich schlage vor, den Passus zu übernehmen, da der Kunde sich bewusster mit dem Thema auseinandersetzt. Zudem hat er einen Nachweis für sich, warum er das Ganze macht.</w:t>
            </w:r>
          </w:p>
          <w:p>
            <w:pPr>
              <w:pStyle w:val="TableContents"/>
              <w:bidi w:val="0"/>
              <w:ind w:hanging="0" w:start="0"/>
              <w:jc w:val="start"/>
              <w:rPr/>
            </w:pPr>
            <w:r>
              <w:rPr/>
            </w:r>
          </w:p>
          <w:p>
            <w:pPr>
              <w:pStyle w:val="TableContents"/>
              <w:bidi w:val="0"/>
              <w:ind w:hanging="0" w:start="0"/>
              <w:jc w:val="start"/>
              <w:rPr/>
            </w:pPr>
            <w:r>
              <w:rPr/>
              <w:t>- In VdS 10k übernehmen?</w:t>
            </w:r>
          </w:p>
          <w:p>
            <w:pPr>
              <w:pStyle w:val="TableContents"/>
              <w:bidi w:val="0"/>
              <w:ind w:hanging="0" w:start="0"/>
              <w:jc w:val="start"/>
              <w:rPr/>
            </w:pPr>
            <w:r>
              <w:rPr/>
            </w:r>
          </w:p>
          <w:p>
            <w:pPr>
              <w:pStyle w:val="TableContents"/>
              <w:bidi w:val="0"/>
              <w:ind w:hanging="0" w:start="0"/>
              <w:jc w:val="start"/>
              <w:rPr/>
            </w:pPr>
            <w:r>
              <w:rPr/>
              <w:t>0.2.1.:</w:t>
            </w:r>
          </w:p>
          <w:p>
            <w:pPr>
              <w:pStyle w:val="TableContents"/>
              <w:bidi w:val="0"/>
              <w:ind w:hanging="0" w:start="0"/>
              <w:jc w:val="start"/>
              <w:rPr/>
            </w:pPr>
            <w:r>
              <w:rPr/>
              <w:t>- Auch in VdS 10k aufnehmen als SOLLTE.</w:t>
            </w:r>
          </w:p>
          <w:p>
            <w:pPr>
              <w:pStyle w:val="TableContents"/>
              <w:bidi w:val="0"/>
              <w:ind w:hanging="0" w:start="0"/>
              <w:jc w:val="start"/>
              <w:rPr/>
            </w:pPr>
            <w:r>
              <w:rPr/>
            </w:r>
          </w:p>
          <w:p>
            <w:pPr>
              <w:pStyle w:val="TableContents"/>
              <w:bidi w:val="0"/>
              <w:ind w:hanging="0" w:start="0"/>
              <w:jc w:val="start"/>
              <w:rPr/>
            </w:pPr>
            <w:r>
              <w:rPr/>
              <w:t>- Besser formulieren?!</w:t>
            </w:r>
          </w:p>
          <w:p>
            <w:pPr>
              <w:pStyle w:val="TableContents"/>
              <w:bidi w:val="0"/>
              <w:ind w:hanging="0" w:start="0"/>
              <w:jc w:val="start"/>
              <w:rPr/>
            </w:pPr>
            <w:r>
              <w:rPr/>
            </w:r>
          </w:p>
          <w:p>
            <w:pPr>
              <w:pStyle w:val="TableContents"/>
              <w:bidi w:val="0"/>
              <w:ind w:hanging="0" w:start="0"/>
              <w:jc w:val="start"/>
              <w:rPr/>
            </w:pPr>
            <w:r>
              <w:rPr/>
              <w:t>0.2.1:</w:t>
            </w:r>
          </w:p>
          <w:p>
            <w:pPr>
              <w:pStyle w:val="TableContents"/>
              <w:bidi w:val="0"/>
              <w:ind w:hanging="0" w:start="0"/>
              <w:jc w:val="start"/>
              <w:rPr/>
            </w:pPr>
            <w:r>
              <w:rPr/>
              <w:t xml:space="preserve">Die Organisation SOLLTE analysieren und dokumentieren, welche Parteien gesetzliche, vertragliche und betriebliche Anforderungen an die </w:t>
            </w:r>
            <w:r>
              <w:rPr>
                <w:rFonts w:eastAsia="Bitstream Vera Sans" w:cs="Bitstream Vera Sans"/>
                <w:color w:val="auto"/>
                <w:kern w:val="0"/>
                <w:sz w:val="20"/>
                <w:szCs w:val="24"/>
                <w:lang w:val="de-DE" w:eastAsia="en-US" w:bidi="en-US"/>
              </w:rPr>
              <w:t>Vertraulichkeit</w:t>
            </w:r>
            <w:r>
              <w:rPr/>
              <w:t xml:space="preserve">, Verfügbarkeit und </w:t>
            </w:r>
            <w:r>
              <w:rPr>
                <w:rFonts w:eastAsia="Bitstream Vera Sans" w:cs="Bitstream Vera Sans"/>
                <w:color w:val="auto"/>
                <w:kern w:val="0"/>
                <w:sz w:val="20"/>
                <w:szCs w:val="24"/>
                <w:lang w:val="de-DE" w:eastAsia="en-US" w:bidi="en-US"/>
              </w:rPr>
              <w:t>Integrität</w:t>
            </w:r>
            <w:r>
              <w:rPr/>
              <w:t xml:space="preserve"> der Informnationen und der Informationsverarbeitung stellen.</w:t>
            </w:r>
          </w:p>
          <w:p>
            <w:pPr>
              <w:pStyle w:val="TableContents"/>
              <w:bidi w:val="0"/>
              <w:ind w:hanging="0" w:start="0"/>
              <w:jc w:val="start"/>
              <w:rPr/>
            </w:pPr>
            <w:r>
              <w:rPr/>
            </w:r>
          </w:p>
          <w:p>
            <w:pPr>
              <w:pStyle w:val="TableContents"/>
              <w:bidi w:val="0"/>
              <w:ind w:hanging="0" w:start="0"/>
              <w:jc w:val="start"/>
              <w:rPr/>
            </w:pPr>
            <w:r>
              <w:rPr/>
              <w:t>Entscheidung:</w:t>
            </w:r>
          </w:p>
          <w:p>
            <w:pPr>
              <w:pStyle w:val="TableContents"/>
              <w:bidi w:val="0"/>
              <w:ind w:hanging="0" w:start="0"/>
              <w:jc w:val="start"/>
              <w:rPr/>
            </w:pPr>
            <w:r>
              <w:rPr/>
              <w:t>Nicht aufnehmen, da die Inhalte nicht für ein Regelwerk relevant sind (Analyse im Vorfeld sollte kein Bestandteil des Regelwerks sein, wohl aber in einer Kommentierung oder einer Unterstützung aufgenommen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strike/>
              </w:rPr>
            </w:pPr>
            <w:r>
              <w:rPr>
                <w:rFonts w:eastAsia="Bitstream Vera Sans" w:cs="Bitstream Vera Sans"/>
                <w:strike/>
                <w:color w:val="auto"/>
                <w:lang w:val="de-DE" w:eastAsia="en-US" w:bidi="en-US"/>
              </w:rPr>
              <w:t>Die Organisation SOLLTE dokumentieren, welche Anforderungen an die Informationssicherheit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strike/>
              </w:rPr>
            </w:pPr>
            <w:r>
              <w:rPr>
                <w:rFonts w:eastAsia="Bitstream Vera Sans" w:cs="Bitstream Vera Sans"/>
                <w:strike/>
                <w:color w:val="auto"/>
                <w:lang w:val="de-DE" w:eastAsia="en-US" w:bidi="en-US"/>
              </w:rPr>
              <w:t>1. Welche Parteien die Anforderungen stellen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strike/>
              </w:rPr>
            </w:pPr>
            <w:r>
              <w:rPr>
                <w:rFonts w:eastAsia="Bitstream Vera Sans" w:cs="Bitstream Vera Sans"/>
                <w:strike/>
                <w:color w:val="auto"/>
                <w:lang w:val="de-DE" w:eastAsia="en-US" w:bidi="en-US"/>
              </w:rPr>
              <w:t>2. Welche gesetzlichen, vertraglichen und betrieblichen Anforderungen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strike/>
              </w:rPr>
            </w:pPr>
            <w:r>
              <w:rPr>
                <w:rFonts w:eastAsia="Bitstream Vera Sans" w:cs="Bitstream Vera Sans"/>
                <w:strike/>
                <w:color w:val="auto"/>
                <w:lang w:val="de-DE" w:eastAsia="en-US" w:bidi="en-US"/>
              </w:rPr>
              <w:t>3. Welche Anforderungen an die Vertraulichkeit, Verfügbarkeit und Integrität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Start w:id="29" w:name="begriffe"/>
      <w:bookmarkEnd w:id="28"/>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5441"/>
        <w:gridCol w:w="6194"/>
        <w:gridCol w:w="3361"/>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544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619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336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6194" w:type="dxa"/>
            <w:tcBorders>
              <w:start w:val="single" w:sz="2" w:space="0" w:color="000000"/>
              <w:bottom w:val="single" w:sz="2" w:space="0" w:color="000000"/>
            </w:tcBorders>
          </w:tcPr>
          <w:p>
            <w:pPr>
              <w:pStyle w:val="Normal"/>
              <w:bidi w:val="0"/>
              <w:jc w:val="start"/>
              <w:rPr/>
            </w:pPr>
            <w:r>
              <w:rPr/>
              <w:t>‍</w:t>
            </w:r>
          </w:p>
        </w:tc>
        <w:tc>
          <w:tcPr>
            <w:tcW w:w="3361"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r>
              <w:rPr/>
              <w:t>DISKUSSION:</w:t>
            </w:r>
          </w:p>
          <w:p>
            <w:pPr>
              <w:pStyle w:val="Normal"/>
              <w:bidi w:val="0"/>
              <w:jc w:val="start"/>
              <w:rPr/>
            </w:pPr>
            <w:r>
              <w:rPr/>
              <w:t xml:space="preserve">-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pPr>
            <w:r>
              <w:rPr>
                <w:rFonts w:eastAsia="Bitstream Vera Sans" w:cs="Bitstream Vera Sans"/>
                <w:color w:val="auto"/>
                <w:kern w:val="0"/>
                <w:sz w:val="20"/>
                <w:szCs w:val="24"/>
                <w:lang w:val="de-DE" w:eastAsia="en-US" w:bidi="en-US"/>
              </w:rPr>
              <w:t>- Begriff könnte im Zusammenhang mit Risikomanagement weiterhin eine Bedeutung haben.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Entscheidung 0.2.1: In Version 0.8 prüfen</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3361" w:type="dxa"/>
            <w:tcBorders>
              <w:start w:val="single" w:sz="2" w:space="0" w:color="000000"/>
              <w:bottom w:val="single" w:sz="2" w:space="0" w:color="000000"/>
              <w:end w:val="single" w:sz="2" w:space="0" w:color="000000"/>
            </w:tcBorders>
          </w:tcPr>
          <w:p>
            <w:pPr>
              <w:pStyle w:val="Normal"/>
              <w:bidi w:val="0"/>
              <w:jc w:val="start"/>
              <w:rPr/>
            </w:pPr>
            <w:r>
              <w:rPr/>
              <w:t>Dienst:</w:t>
            </w:r>
          </w:p>
          <w:p>
            <w:pPr>
              <w:pStyle w:val="Normal"/>
              <w:bidi w:val="0"/>
              <w:jc w:val="start"/>
              <w:rPr/>
            </w:pP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r>
              <w:rPr/>
              <w:t>ToDo für Version 0.8: überarbeitren/entscheiden</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r>
              <w:rPr/>
              <w:t>0.2.1: Neu definiert gem. NIS2-Richtlinie (siehe unten). Übernehmen in die VdS 10k</w:t>
            </w:r>
          </w:p>
          <w:p>
            <w:pPr>
              <w:pStyle w:val="TableContents"/>
              <w:bidi w:val="0"/>
              <w:jc w:val="start"/>
              <w:rPr/>
            </w:pPr>
            <w:r>
              <w:rPr/>
              <w:t>Version 0.8: prüfen, ob NIS2-konform</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bidi w:val="0"/>
              <w:jc w:val="start"/>
              <w:rPr/>
            </w:pPr>
            <w:r>
              <w:rPr>
                <w:rFonts w:eastAsia="Bitstream Vera Sans" w:cs="Bitstream Vera Sans"/>
                <w:color w:val="auto"/>
                <w:kern w:val="0"/>
                <w:sz w:val="20"/>
                <w:szCs w:val="24"/>
                <w:lang w:val="de-DE" w:eastAsia="en-US" w:bidi="en-US"/>
              </w:rPr>
              <w:t>ToDo für 0.8: Begriff könnte im Zusammenhang mit Risikomanagement weiterhin eine Bedeutung haben. In Version 0.8 erneut prüfen.</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w:t>
            </w:r>
          </w:p>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Organisation:</w:t>
            </w:r>
          </w:p>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Einrichtung: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r>
          </w:p>
        </w:tc>
        <w:tc>
          <w:tcPr>
            <w:tcW w:w="3361"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Ist dieser Hinweis hier sinnvoll oder sollte er in die Kommentierung verschoben werden?</w:t>
            </w:r>
          </w:p>
          <w:p>
            <w:pPr>
              <w:pStyle w:val="TableContents"/>
              <w:bidi w:val="0"/>
              <w:jc w:val="start"/>
              <w:rPr/>
            </w:pPr>
            <w:r>
              <w:rPr/>
            </w:r>
          </w:p>
          <w:p>
            <w:pPr>
              <w:pStyle w:val="TableContents"/>
              <w:bidi w:val="0"/>
              <w:jc w:val="start"/>
              <w:rPr/>
            </w:pPr>
            <w:r>
              <w:rPr/>
              <w:t>0.2.1:</w:t>
            </w:r>
          </w:p>
          <w:p>
            <w:pPr>
              <w:pStyle w:val="TableContents"/>
              <w:bidi w:val="0"/>
              <w:jc w:val="start"/>
              <w:rPr/>
            </w:pPr>
            <w:r>
              <w:rPr/>
              <w:t>Pack es in die Kommentierung, da es eigentlich (für mich zumindest) eine logische Maßnahme zur Risikobehandlung ist und es daher nicht wirklich Bestandteil der Richtlinie sein sollte</w:t>
            </w:r>
          </w:p>
          <w:p>
            <w:pPr>
              <w:pStyle w:val="TableContents"/>
              <w:bidi w:val="0"/>
              <w:jc w:val="start"/>
              <w:rPr/>
            </w:pPr>
            <w:r>
              <w:rPr/>
            </w:r>
          </w:p>
          <w:p>
            <w:pPr>
              <w:pStyle w:val="TableContents"/>
              <w:bidi w:val="0"/>
              <w:jc w:val="start"/>
              <w:rPr/>
            </w:pPr>
            <w:r>
              <w:rPr/>
              <w:t>Entscheidung: Streichen, da reine Information.</w:t>
            </w:r>
          </w:p>
        </w:tc>
        <w:tc>
          <w:tcPr>
            <w:tcW w:w="4712" w:type="dxa"/>
            <w:tcBorders>
              <w:start w:val="single" w:sz="2" w:space="0" w:color="000000"/>
              <w:bottom w:val="single" w:sz="2" w:space="0" w:color="000000"/>
              <w:end w:val="single" w:sz="2" w:space="0" w:color="000000"/>
            </w:tcBorders>
          </w:tcPr>
          <w:p>
            <w:pPr>
              <w:pStyle w:val="TableContents"/>
              <w:bidi w:val="0"/>
              <w:jc w:val="start"/>
              <w:rPr>
                <w:strike/>
              </w:rPr>
            </w:pPr>
            <w:r>
              <w:rPr>
                <w:rFonts w:eastAsia="Bitstream Vera Sans" w:cs="Bitstream Vera Sans"/>
                <w:strike/>
                <w:color w:val="auto"/>
                <w:kern w:val="0"/>
                <w:sz w:val="20"/>
                <w:szCs w:val="24"/>
                <w:lang w:val="de-DE" w:eastAsia="en-US" w:bidi="en-US"/>
              </w:rPr>
              <w:t>IT-Richtlinien SOLLTEN genutzt werden, d</w:t>
            </w:r>
            <w:r>
              <w:rPr>
                <w:rFonts w:eastAsia="Bitstream Vera Sans" w:cs="Bitstream Vera Sans"/>
                <w:strike/>
                <w:color w:val="auto"/>
                <w:lang w:val="de-DE" w:eastAsia="en-US" w:bidi="en-US"/>
              </w:rPr>
              <w:t xml:space="preserve">ie im Zuge der Risikobehandlung (siehe Anhang A 2.x) erkannten </w:t>
            </w:r>
            <w:r>
              <w:rPr>
                <w:rFonts w:eastAsia="Bitstream Vera Sans" w:cs="Bitstream Vera Sans"/>
                <w:strike/>
                <w:color w:val="auto"/>
                <w:kern w:val="0"/>
                <w:sz w:val="20"/>
                <w:szCs w:val="24"/>
                <w:lang w:val="de-DE" w:eastAsia="en-US" w:bidi="en-US"/>
              </w:rPr>
              <w:t>organisatorischen</w:t>
            </w:r>
            <w:r>
              <w:rPr>
                <w:rFonts w:eastAsia="Bitstream Vera Sans" w:cs="Bitstream Vera Sans"/>
                <w:strike/>
                <w:color w:val="auto"/>
                <w:lang w:val="de-DE" w:eastAsia="en-US" w:bidi="en-US"/>
              </w:rPr>
              <w:t xml:space="preserve"> Sicherheitsmaßnahmen in der Organisation zu verankern.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rFonts w:eastAsia="Bitstream Vera Sans" w:cs="Bitstream Vera Sans"/>
          <w:b w:val="false"/>
          <w:bCs/>
          <w:color w:val="auto"/>
          <w:kern w:val="0"/>
          <w:sz w:val="36"/>
          <w:szCs w:val="48"/>
          <w:lang w:val="de-DE" w:eastAsia="en-US" w:bidi="en-US"/>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b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Diskussion:Als SOLLTE in die VdS 10k aufnehmen?</w:t>
            </w:r>
          </w:p>
          <w:p>
            <w:pPr>
              <w:pStyle w:val="TableContents"/>
              <w:bidi w:val="0"/>
              <w:jc w:val="start"/>
              <w:rPr/>
            </w:pPr>
            <w:r>
              <w:rPr>
                <w:rFonts w:eastAsia="Bitstream Vera Sans" w:cs="Bitstream Vera Sans"/>
                <w:color w:val="auto"/>
                <w:kern w:val="0"/>
                <w:sz w:val="20"/>
                <w:szCs w:val="24"/>
                <w:lang w:val="de-DE" w:eastAsia="en-US" w:bidi="en-US"/>
              </w:rPr>
              <w:t>Entscheidung: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Begründete Ausnahmen!, ggf durch GL sind möglich</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neu, </w:t>
            </w:r>
            <w:r>
              <w:rPr>
                <w:rFonts w:eastAsia="Bitstream Vera Sans" w:cs="Bitstream Vera Sans"/>
                <w:color w:val="auto"/>
                <w:kern w:val="0"/>
                <w:sz w:val="20"/>
                <w:szCs w:val="24"/>
                <w:lang w:val="de-DE" w:eastAsia="en-US" w:bidi="en-US"/>
              </w:rPr>
              <w:t>„oder für die Datensicherung“ hinzugefügt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Definition „Prozess mit hohem Schadenspotential“ in Kap. 3 aufnehmen und dabei explizit die Datensicherung erwähnen.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w:t>
            </w:r>
            <w:r>
              <w:rPr>
                <w:rFonts w:eastAsia="Bitstream Vera Sans" w:cs="Bitstream Vera Sans"/>
                <w:strike/>
                <w:color w:val="auto"/>
                <w:lang w:val="de-DE" w:eastAsia="en-US" w:bidi="en-US"/>
              </w:rPr>
              <w:t>oder für die Datensicherung</w:t>
            </w:r>
            <w:r>
              <w:rPr/>
              <w:t xml:space="preserve">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 in 0.2.1: Hinweis zur Ermittlung der MTA</w:t>
            </w:r>
          </w:p>
          <w:p>
            <w:pPr>
              <w:pStyle w:val="TableContents"/>
              <w:bidi w:val="0"/>
              <w:jc w:val="start"/>
              <w:rPr/>
            </w:pPr>
            <w:r>
              <w:rPr/>
            </w:r>
          </w:p>
          <w:p>
            <w:pPr>
              <w:pStyle w:val="TableContents"/>
              <w:bidi w:val="0"/>
              <w:jc w:val="start"/>
              <w:rPr/>
            </w:pPr>
            <w:r>
              <w:rPr/>
              <w:t>Zwar wichtiges Thema, jedoch beschreibt die Analyse das Ermitteln der TA (tolerierbaren Ausfallzeit). Beratungsleistung, nicht Gegenstand de Regelwerks.</w:t>
            </w:r>
          </w:p>
        </w:tc>
        <w:tc>
          <w:tcPr>
            <w:tcW w:w="4712" w:type="dxa"/>
            <w:tcBorders>
              <w:start w:val="single" w:sz="2" w:space="0" w:color="000000"/>
              <w:bottom w:val="single" w:sz="2" w:space="0" w:color="000000"/>
              <w:end w:val="single" w:sz="2" w:space="0" w:color="000000"/>
            </w:tcBorders>
          </w:tcPr>
          <w:p>
            <w:pPr>
              <w:pStyle w:val="TableContents"/>
              <w:bidi w:val="0"/>
              <w:jc w:val="start"/>
              <w:rPr>
                <w:strike/>
              </w:rPr>
            </w:pPr>
            <w:r>
              <w:rPr>
                <w:i/>
                <w:iCs/>
                <w:strike/>
              </w:rPr>
              <w:t>Zur Bestimmung der MTA KANN/SOLLTE eine Analyse der Schadenshöhe bei verschieden langen Ausfallzeiten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Klassen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t>
            </w:r>
            <w:r>
              <w:rPr>
                <w:rFonts w:eastAsia="Bitstream Vera Sans" w:cs="Bitstream Vera Sans"/>
                <w:color w:val="auto"/>
                <w:kern w:val="0"/>
                <w:sz w:val="20"/>
                <w:szCs w:val="24"/>
                <w:lang w:val="de-DE" w:eastAsia="en-US" w:bidi="en-US"/>
              </w:rPr>
              <w:t>“Begriff „Schutzklasse“ ist unglücklich, weil er z. B. in verschiedenen Kontexten wie der Elektrotechnik verwendet, um den Schutzgrad von Geräten zu klassifizieren.</w:t>
            </w:r>
          </w:p>
          <w:p>
            <w:pPr>
              <w:pStyle w:val="TableContents"/>
              <w:bidi w:val="0"/>
              <w:jc w:val="start"/>
              <w:rPr/>
            </w:pPr>
            <w:r>
              <w:rPr/>
            </w:r>
          </w:p>
          <w:p>
            <w:pPr>
              <w:pStyle w:val="TableContents"/>
              <w:bidi w:val="0"/>
              <w:jc w:val="start"/>
              <w:rPr/>
            </w:pPr>
            <w:r>
              <w:rPr/>
              <w:t>Bessere Bezeichnungen könnten sein:;</w:t>
            </w:r>
          </w:p>
          <w:p>
            <w:pPr>
              <w:pStyle w:val="TableContents"/>
              <w:bidi w:val="0"/>
              <w:jc w:val="start"/>
              <w:rPr/>
            </w:pPr>
            <w:r>
              <w:rPr/>
              <w:t>- „Schutzkategorie“</w:t>
            </w:r>
          </w:p>
          <w:p>
            <w:pPr>
              <w:pStyle w:val="TableContents"/>
              <w:bidi w:val="0"/>
              <w:jc w:val="start"/>
              <w:rPr/>
            </w:pPr>
            <w:r>
              <w:rPr/>
              <w:t>- „Schutzniveau“</w:t>
            </w:r>
          </w:p>
          <w:p>
            <w:pPr>
              <w:pStyle w:val="TableContents"/>
              <w:bidi w:val="0"/>
              <w:jc w:val="start"/>
              <w:rPr/>
            </w:pPr>
            <w:r>
              <w:rPr/>
              <w:t>- „Schutzbedarfsgruppen“</w:t>
            </w:r>
          </w:p>
          <w:p>
            <w:pPr>
              <w:pStyle w:val="TableContents"/>
              <w:bidi w:val="0"/>
              <w:jc w:val="start"/>
              <w:rPr/>
            </w:pPr>
            <w:r>
              <w:rPr/>
            </w:r>
          </w:p>
          <w:p>
            <w:pPr>
              <w:pStyle w:val="TableContents"/>
              <w:bidi w:val="0"/>
              <w:jc w:val="start"/>
              <w:rPr/>
            </w:pPr>
            <w:r>
              <w:rPr/>
              <w:t>Entscheidung: Schutzkategorie</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4. ob das IT-System wichtig (siehe Abschnitt 9.x) oder besonders schützenswert (siehe Abschnitt 9.x)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p>
            <w:pPr>
              <w:pStyle w:val="TableContents"/>
              <w:bidi w:val="0"/>
              <w:jc w:val="start"/>
              <w:rPr/>
            </w:pPr>
            <w:r>
              <w:rPr>
                <w:rFonts w:eastAsia="Bitstream Vera Sans" w:cs="Bitstream Vera Sans"/>
                <w:color w:val="auto"/>
                <w:kern w:val="0"/>
                <w:sz w:val="20"/>
                <w:szCs w:val="24"/>
                <w:lang w:val="de-DE" w:eastAsia="en-US" w:bidi="en-US"/>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0.2.1:</w:t>
              <w:br/>
              <w:t>Wir werden die Formulierungen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Es MÜSSEN Zugänge eingerichtet werden, über die sämtliche administrative Tätigkeiten durchgeführt werden. Diese DÜRFEN NICHT für die alltägliche Nutzung der IT-Systeme verwendet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 Ich könnte mir eine Kombination vorstellen. Dann haben wir eine eindeutige Regelungen….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Bessere Formulierung:</w:t>
            </w:r>
          </w:p>
          <w:p>
            <w:pPr>
              <w:pStyle w:val="TableContents"/>
              <w:bidi w:val="0"/>
              <w:jc w:val="start"/>
              <w:rPr/>
            </w:pPr>
            <w:r>
              <w:rPr>
                <w:rFonts w:eastAsia="Bitstream Vera Sans" w:cs="Bitstream Vera Sans"/>
                <w:color w:val="auto"/>
                <w:kern w:val="0"/>
                <w:sz w:val="20"/>
                <w:szCs w:val="24"/>
                <w:lang w:val="de-DE" w:eastAsia="en-US" w:bidi="en-US"/>
              </w:rPr>
              <w:t>Administrative Tätigkeiten MÜSSEN von der alltäglichen Nutzung der IT-Infrastruktur getrennt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Zusammen mit der Empfehlung unten überdenken!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Zugänge bestehen, über die sämtliche administrative Tätigkeiten durchgeführt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Besonders schützenswerte“ IT-Systeme sind eine Untermenge der „wichtigen“ IT-Systeme. Welche Maßnahmen sollten wir aus 10.5  bereits für die „wichtigen“ IT-Systeme verpflichtend machen?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- 10.5.6 Dokumentation (MUSS)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- 10.5.7 Datensicherung (MUSS)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- 10.5.8 Überwachung (MUSS)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Entscheidung: Riskaomanagement → Maßnahmen sinnvoll/notwendig?!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8" w:name="__RefHeading___zusaetzliche_massnahmen_2"/>
      <w:bookmarkStart w:id="149" w:name="zusaetzliche_massnahmen_fuer_kritische_1"/>
      <w:bookmarkEnd w:id="148"/>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50" w:name="__RefHeading___risikoanalyse_und_-behand"/>
      <w:bookmarkStart w:id="151" w:name="risikoanalyse_und_-behandlung"/>
      <w:bookmarkEnd w:id="150"/>
      <w:r>
        <w:rPr>
          <w:strike/>
        </w:rPr>
        <w:t>10.5.1 Risikoanalyse und behandlung</w:t>
      </w:r>
      <w:bookmarkEnd w:id="151"/>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52" w:name="__RefHeading___notbetriebsniveau_70"/>
      <w:bookmarkStart w:id="153" w:name="notbetriebsniveau"/>
      <w:bookmarkEnd w:id="152"/>
      <w:r>
        <w:rPr/>
        <w:t>10.5.2 Notbetriebsniveau</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4" w:name="__RefHeading___robustheit_71"/>
      <w:bookmarkStart w:id="155" w:name="robustheit"/>
      <w:bookmarkEnd w:id="154"/>
      <w:r>
        <w:rPr/>
        <w:t>10.5.3 Robustheit</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6" w:name="__RefHeading___externe_schnittstellen_u1"/>
      <w:bookmarkStart w:id="157" w:name="externe_schnittstellen_und_laufwerke1"/>
      <w:bookmarkEnd w:id="156"/>
      <w:r>
        <w:rPr/>
        <w:t>10.5.4 Externe Schnittstellen und Laufwerke</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8" w:name="__RefHeading___aenderungsmanagement_73"/>
      <w:bookmarkStart w:id="159" w:name="aenderungsmanagement"/>
      <w:bookmarkEnd w:id="158"/>
      <w:r>
        <w:rPr/>
        <w:t>10.5.5 Änderungsmanagement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0" w:name="__RefHeading___dokumentation_74"/>
      <w:bookmarkStart w:id="161" w:name="dokumentation"/>
      <w:bookmarkEnd w:id="160"/>
      <w:r>
        <w:rPr/>
        <w:t>10.5.6 Dokumentation</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62" w:name="__RefHeading___datensicherung_75"/>
      <w:bookmarkStart w:id="163" w:name="datensicherung"/>
      <w:bookmarkEnd w:id="162"/>
      <w:r>
        <w:rPr/>
        <w:t>10.5.7 Datensicherung</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besonders schützenswerten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4" w:name="__RefHeading___ueberwachung_76"/>
      <w:bookmarkStart w:id="165" w:name="ueberwachung"/>
      <w:bookmarkEnd w:id="164"/>
      <w:r>
        <w:rPr/>
        <w:t>10.5.8 Überwachung</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6" w:name="__RefHeading___ersatzsysteme_und_-verfah"/>
      <w:bookmarkStart w:id="167" w:name="ersatzsysteme_und_-verfahren"/>
      <w:bookmarkEnd w:id="166"/>
      <w:r>
        <w:rPr/>
        <w:t>10.5.9 Ersatzsysteme und -verfahren</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8" w:name="__RefHeading___kritische_individualsoftw"/>
      <w:bookmarkStart w:id="169" w:name="kritische_individualsoftware"/>
      <w:bookmarkEnd w:id="168"/>
      <w:r>
        <w:rPr/>
        <w:t>10.5.10 Besonders schützenswerte Individualsoftware</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70" w:name="__RefHeading___netzwerke_und_verbindung1"/>
      <w:bookmarkStart w:id="171" w:name="netzwerke_und_verbindungen"/>
      <w:bookmarkEnd w:id="170"/>
      <w:r>
        <w:rPr/>
        <w:t>11 Netzwerke und Verbindungen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2" w:name="__RefHeading___netzwerkplan_80"/>
      <w:bookmarkStart w:id="173" w:name="netzwerkplan"/>
      <w:bookmarkEnd w:id="172"/>
      <w:r>
        <w:rPr/>
        <w:t>11.1 Netzwerkplan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4" w:name="__RefHeading___aktive_netzwerkkomponente"/>
      <w:bookmarkStart w:id="175" w:name="aktive_netzwerkkomponenten"/>
      <w:bookmarkEnd w:id="174"/>
      <w:r>
        <w:rPr/>
        <w:t>11.2 Aktive Netzwerkkomponenten</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6" w:name="__RefHeading___netzuebergaenge_82"/>
      <w:bookmarkStart w:id="177" w:name="netzuebergaenge"/>
      <w:bookmarkEnd w:id="176"/>
      <w:r>
        <w:rPr/>
        <w:t>11.3 Netzübergänge</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8" w:name="__RefHeading___basisschutz_83"/>
      <w:bookmarkStart w:id="179" w:name="basisschutz1"/>
      <w:bookmarkEnd w:id="178"/>
      <w:r>
        <w:rPr/>
        <w:t>11.4 Basisschutz</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80" w:name="__RefHeading___netzwerkanschluesse_84"/>
      <w:bookmarkStart w:id="181" w:name="netzwerkanschluesse"/>
      <w:bookmarkEnd w:id="180"/>
      <w:r>
        <w:rPr/>
        <w:t>11.4.1 Netzwerkanschlüsse</w:t>
      </w:r>
      <w:bookmarkEnd w:id="1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2" w:name="__RefHeading___segmentierung_85"/>
      <w:bookmarkStart w:id="183" w:name="segmentierung"/>
      <w:bookmarkEnd w:id="182"/>
      <w:r>
        <w:rPr/>
        <w:t>11.4.2 Segmentierung</w:t>
      </w:r>
      <w:bookmarkEnd w:id="183"/>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br/>
              <w:t xml:space="preserve">Verbesserung notwendig. Wir arbeiten hier mit dem Begriff </w:t>
            </w:r>
            <w:r>
              <w:rPr>
                <w:rFonts w:eastAsia="Bitstream Vera Sans" w:cs="Bitstream Vera Sans"/>
                <w:color w:val="auto"/>
                <w:kern w:val="0"/>
                <w:sz w:val="20"/>
                <w:szCs w:val="24"/>
                <w:lang w:val="de-DE" w:eastAsia="en-US" w:bidi="en-US"/>
              </w:rPr>
              <w:t>„Schutzklasse“. Unschön?!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unterschiedlichem Schutzniveau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4" w:name="__RefHeading___fernzugang_86"/>
      <w:bookmarkStart w:id="185" w:name="fernzugang"/>
      <w:bookmarkEnd w:id="184"/>
      <w:r>
        <w:rPr/>
        <w:t>11.4.3 Fernzugang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6" w:name="__RefHeading___netzwerkkopplung_87"/>
      <w:bookmarkStart w:id="187" w:name="netzwerkkopplung"/>
      <w:bookmarkEnd w:id="186"/>
      <w:r>
        <w:rPr/>
        <w:t>11.4.4 Netzwerkkopplung</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9"/>
      <w:bookmarkStart w:id="189" w:name="zusaetzliche_massnahmen_fuer_kritische_v"/>
      <w:bookmarkEnd w:id="188"/>
      <w:r>
        <w:rPr/>
        <w:t>11.5 Zusätzliche Maßnahmen für wichtige Verbindungen</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0" w:name="__RefHeading___mobile_datentraeger_89"/>
      <w:bookmarkStart w:id="191" w:name="mobile_datentraeger"/>
      <w:bookmarkEnd w:id="190"/>
      <w:r>
        <w:rPr/>
        <w:t>12 Mobile Datenträger</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2" w:name="__RefHeading___is-richtlinie_90"/>
      <w:bookmarkStart w:id="193" w:name="is-richtlinie1"/>
      <w:bookmarkEnd w:id="192"/>
      <w:r>
        <w:rPr/>
        <w:t>12.1 IS-Richtlinie</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4" w:name="__RefHeading___schutz_der_informationen1"/>
      <w:bookmarkStart w:id="195" w:name="schutz_der_informationen1"/>
      <w:bookmarkEnd w:id="194"/>
      <w:r>
        <w:rPr/>
        <w:t>12.2 Schutz der Informationen</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(siehe Anhang A 2) festgelegt werden, welche Informationen auf mobilen Datenträgern 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6" w:name="__RefHeading___zusaetzliche_massnahmen_3"/>
      <w:bookmarkStart w:id="197" w:name="zusaetzliche_massnahmen_fuer_kritische_m"/>
      <w:bookmarkEnd w:id="196"/>
      <w:r>
        <w:rPr/>
        <w:t>12.3 Zusätzliche Maßnahmen für wichtige mobile Datenträger</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8" w:name="__RefHeading___umgebung_93"/>
      <w:bookmarkStart w:id="199" w:name="umgebung"/>
      <w:bookmarkEnd w:id="198"/>
      <w:r>
        <w:rPr/>
        <w:t>13 Umgebung</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0" w:name="__RefHeading___server_aktive_netzwerkkom"/>
      <w:bookmarkStart w:id="201" w:name="server_aktive_netzwerkkomponenten_und_ne"/>
      <w:bookmarkEnd w:id="200"/>
      <w:r>
        <w:rPr/>
        <w:t>13.1 Server, aktive Netzwerkkomponenten und Netzwerkverteilstellen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2" w:name="__RefHeading___datenleitungen_95"/>
      <w:bookmarkStart w:id="203" w:name="datenleitungen"/>
      <w:bookmarkEnd w:id="202"/>
      <w:r>
        <w:rPr/>
        <w:t>13.2 Datenleitungen</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4" w:name="__RefHeading___zusaetzliche_massnahmen_4"/>
      <w:bookmarkStart w:id="205" w:name="zusaetzliche_massnahmen_fuer_kritische_2"/>
      <w:bookmarkEnd w:id="204"/>
      <w:r>
        <w:rPr/>
        <w:t>13.3 Zusätzliche Maßnahmen für wichtigen IT-Systeme</w:t>
      </w:r>
      <w:bookmarkEnd w:id="20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6" w:name="__RefHeading___it-outsourcing_und_cloud_"/>
      <w:bookmarkStart w:id="207" w:name="it-outsourcing_und_cloud_computing"/>
      <w:bookmarkEnd w:id="206"/>
      <w:r>
        <w:rPr/>
        <w:t>14 IT-Outsourcing und Cloud Computing</w:t>
      </w:r>
      <w:bookmarkEnd w:id="20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8" w:name="__RefHeading___is-richtlinie_98"/>
      <w:bookmarkStart w:id="209" w:name="is-richtlinie2"/>
      <w:bookmarkEnd w:id="208"/>
      <w:r>
        <w:rPr/>
        <w:t>14.1 IS-Richtlinie</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0" w:name="__RefHeading___vorbereitung_99"/>
      <w:bookmarkStart w:id="211" w:name="vorbereitung"/>
      <w:bookmarkEnd w:id="210"/>
      <w:r>
        <w:rPr/>
        <w:t>14.2 Vorbereitung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2" w:name="__RefHeading___vertragsgestaltung_100"/>
      <w:bookmarkStart w:id="213" w:name="vertragsgestaltung"/>
      <w:bookmarkEnd w:id="212"/>
      <w:r>
        <w:rPr/>
        <w:t>14.3 Vertragsgestaltung</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4" w:name="__RefHeading___zusaetzliche_massnahmen_5"/>
      <w:bookmarkStart w:id="215" w:name="zusaetzliche_massnahmen_fuer_kritische_3"/>
      <w:bookmarkEnd w:id="214"/>
      <w:r>
        <w:rPr/>
        <w:t>14.4 Zusätzliche Maßnahmen für wichtige IT-Ressourcen</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6" w:name="__RefHeading___zugaenge_und_zugriffsrech"/>
      <w:bookmarkStart w:id="217" w:name="zugaenge_und_zugriffsrechte"/>
      <w:bookmarkEnd w:id="216"/>
      <w:r>
        <w:rPr/>
        <w:t>15 Zugänge und Zugriffsrechte</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8" w:name="__RefHeading___verwaltung_103"/>
      <w:bookmarkStart w:id="219" w:name="verwaltung"/>
      <w:bookmarkEnd w:id="218"/>
      <w:r>
        <w:rPr/>
        <w:t>15.1 Verwaltung</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0" w:name="__RefHeading___zusaetzliche_massnahmen_6"/>
      <w:bookmarkStart w:id="221" w:name="zusaetzliche_massnahmen_fuer_kritische_4"/>
      <w:bookmarkEnd w:id="220"/>
      <w:r>
        <w:rPr/>
        <w:t>15.2 Zusätzliche Maßnahmen für besonders schützenswerte IT-Systeme und Informationen</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2" w:name="__RefHeading___datensicherung_und_archiv"/>
      <w:bookmarkStart w:id="223" w:name="datensicherung_und_archivierung"/>
      <w:bookmarkEnd w:id="222"/>
      <w:r>
        <w:rPr/>
        <w:t>16 Datensicherung und Archivierung</w:t>
      </w:r>
      <w:bookmarkEnd w:id="223"/>
    </w:p>
    <w:p>
      <w:pPr>
        <w:pStyle w:val="Heading1"/>
        <w:keepNext w:val="true"/>
        <w:widowControl w:val="false"/>
        <w:numPr>
          <w:ilvl w:val="0"/>
          <w:numId w:val="1"/>
        </w:numPr>
        <w:tabs>
          <w:tab w:val="clear" w:pos="709"/>
          <w:tab w:val="left" w:pos="0" w:leader="none"/>
        </w:tabs>
        <w:suppressAutoHyphens w:val="true"/>
        <w:overflowPunct w:val="false"/>
        <w:bidi w:val="0"/>
        <w:spacing w:before="24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4" w:name="__RefHeading___is-richtlinie_106"/>
      <w:bookmarkStart w:id="225" w:name="is-richtlinie3"/>
      <w:bookmarkEnd w:id="224"/>
      <w:r>
        <w:rPr/>
        <w:t>16.1 IS-Richtlinie</w:t>
      </w:r>
      <w:bookmarkEnd w:id="2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6" w:name="__RefHeading___archivierung_107"/>
      <w:bookmarkStart w:id="227" w:name="archivierung"/>
      <w:bookmarkEnd w:id="226"/>
      <w:r>
        <w:rPr/>
        <w:t>16.2 Archivierung</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rPr>
              <w:t xml:space="preserve">SOLLTE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0.8: Übernahme in VdS 10100 vermeiden?! Achtung: § 30 fordert Kryptografie vor , hier wird eine Archivierung von Schlüsselmaterial notwedig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verfahren_108"/>
      <w:bookmarkStart w:id="229" w:name="verfahren"/>
      <w:bookmarkEnd w:id="228"/>
      <w:r>
        <w:rPr/>
        <w:t>16.3 Verfahren</w:t>
      </w:r>
      <w:bookmarkEnd w:id="2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0" w:name="__RefHeading___weiterentwicklung_112"/>
      <w:bookmarkStart w:id="231" w:name="weiterentwicklung"/>
      <w:bookmarkEnd w:id="230"/>
      <w:r>
        <w:rPr/>
        <w:t>16.4 Weiterentwicklung</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2" w:name="__RefHeading___basisschutz_113"/>
      <w:bookmarkStart w:id="233" w:name="basisschutz2"/>
      <w:bookmarkEnd w:id="232"/>
      <w:r>
        <w:rPr/>
        <w:t>16.5 Basisschutz</w:t>
      </w:r>
      <w:bookmarkEnd w:id="2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4" w:name="__RefHeading___is-richtlinie_106_Copy_1_"/>
      <w:bookmarkStart w:id="235" w:name="is-richtlinie3_Copy_1"/>
      <w:bookmarkEnd w:id="234"/>
      <w:r>
        <w:rPr/>
        <w:t>16.5.n1 I</w:t>
      </w:r>
      <w:bookmarkEnd w:id="235"/>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6" w:name="__RefHeading___speicherorte_114"/>
      <w:bookmarkStart w:id="237" w:name="speicherorte"/>
      <w:bookmarkEnd w:id="236"/>
      <w:r>
        <w:rPr/>
        <w:t>16.5.1 Speicherorte</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server_115"/>
      <w:bookmarkStart w:id="239" w:name="server"/>
      <w:bookmarkEnd w:id="238"/>
      <w:r>
        <w:rPr/>
        <w:t>16.5.2 Server</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0" w:name="__RefHeading___aktive_netzwerkkomponent1"/>
      <w:bookmarkStart w:id="241" w:name="aktive_netzwerkkomponenten1"/>
      <w:bookmarkEnd w:id="240"/>
      <w:r>
        <w:rPr/>
        <w:t>16.5.3 Aktive Netzwerkkomponenten</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2" w:name="__RefHeading___mobile_it-systeme_117"/>
      <w:bookmarkStart w:id="243" w:name="mobile_it-systeme"/>
      <w:bookmarkEnd w:id="242"/>
      <w:r>
        <w:rPr/>
        <w:t>16.5.4 Mobile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4" w:name="__RefHeading___zusaetzliche_massnahmen_7"/>
      <w:bookmarkStart w:id="245" w:name="zusaetzliche_massnahmen_fuer_kritische_5"/>
      <w:bookmarkEnd w:id="244"/>
      <w:r>
        <w:rPr/>
        <w:t>16.6 Zusätzliche Maßnahmen für wichtige IT-Systeme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6" w:name="__RefHeading___risikoanalyse_119"/>
      <w:bookmarkStart w:id="247" w:name="risikoanalyse"/>
      <w:bookmarkEnd w:id="246"/>
      <w:r>
        <w:rPr/>
        <w:t>16.6.1 Risikoanalyse</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8" w:name="__RefHeading___verfahren_120"/>
      <w:bookmarkStart w:id="249" w:name="verfahren1"/>
      <w:bookmarkEnd w:id="248"/>
      <w:r>
        <w:rPr/>
        <w:t>16.6.2 Verfahren</w:t>
      </w:r>
      <w:bookmarkEnd w:id="2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0" w:name="__RefHeading___stoerungen_und_ausfaelle_"/>
      <w:bookmarkStart w:id="251" w:name="stoerungen_und_ausfaelle"/>
      <w:bookmarkEnd w:id="250"/>
      <w:r>
        <w:rPr/>
        <w:t xml:space="preserve">17 </w:t>
      </w:r>
      <w:bookmarkEnd w:id="251"/>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2" w:name="__RefHeading___is-richtlinie_122"/>
      <w:bookmarkStart w:id="253" w:name="is-richtlinie4"/>
      <w:bookmarkEnd w:id="252"/>
      <w:r>
        <w:rPr/>
        <w:t>17.1 IS-Richtlinie</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Definition </w:t>
            </w:r>
            <w:r>
              <w:rPr>
                <w:rFonts w:eastAsia="Bitstream Vera Sans" w:cs="Bitstream Vera Sans"/>
                <w:color w:val="auto"/>
                <w:kern w:val="0"/>
                <w:sz w:val="20"/>
                <w:szCs w:val="24"/>
                <w:lang w:val="de-DE" w:eastAsia="en-US" w:bidi="en-US"/>
              </w:rPr>
              <w:t>„erheblicher Sicherheitsvorfall“ in Kap. 3 aufnehmen. Hierbei an NIS2 orientieren bzw. die Definition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4" w:name="__RefHeading___erkennen_129_Copy_1"/>
      <w:bookmarkStart w:id="255" w:name="erkennen_Copy_1"/>
      <w:bookmarkEnd w:id="254"/>
      <w:r>
        <w:rPr/>
        <w:t>17.2 Erkennen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0.2.1:</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Style w:val="Emphasis"/>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6" w:name="__RefHeading___reaktion_123"/>
      <w:bookmarkStart w:id="257" w:name="reaktion"/>
      <w:bookmarkEnd w:id="256"/>
      <w:r>
        <w:rPr/>
        <w:t>17.3 Reaktion</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 Ggf. in die VdS 10000 aufnehmen?! Organisationen sind z. B. auch ohne NIS2 verpflichtet, Informationen an Dritte (z. B. an Versicherungen, Datenschutz-Aufsichtsbehörden usw.) weiterzugeben.</w:t>
            </w:r>
          </w:p>
          <w:p>
            <w:pPr>
              <w:pStyle w:val="TableContents"/>
              <w:bidi w:val="0"/>
              <w:jc w:val="start"/>
              <w:rPr/>
            </w:pPr>
            <w:r>
              <w:rPr/>
            </w:r>
          </w:p>
          <w:p>
            <w:pPr>
              <w:pStyle w:val="TableContents"/>
              <w:bidi w:val="0"/>
              <w:jc w:val="start"/>
              <w:rPr/>
            </w:pPr>
            <w:r>
              <w:rPr/>
              <w:t>0.2.1:</w:t>
            </w:r>
          </w:p>
          <w:p>
            <w:pPr>
              <w:pStyle w:val="TableContents"/>
              <w:bidi w:val="0"/>
              <w:jc w:val="start"/>
              <w:rPr/>
            </w:pPr>
            <w:r>
              <w:rPr/>
              <w:t>-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8" w:name="__RefHeading___zusaetzliche_massnahmen_8"/>
      <w:bookmarkStart w:id="259" w:name="zusaetzliche_massnahmen_fuer_kritische_6"/>
      <w:bookmarkEnd w:id="258"/>
      <w:r>
        <w:rPr/>
        <w:t>17.4 Zusätzliche Maßnahmen für wichtig IT-Systeme</w:t>
      </w:r>
      <w:bookmarkEnd w:id="2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rPr/>
            </w:pPr>
            <w:r>
              <w:rPr/>
              <w:t>- „Besonders schützenswert" ist treffender, da es impliziert, dass bestimmte Informationen oder Systeme aufgrund ihres Wertes, ihrer Sensitivität oder kritischen Bedeutung besonderen Schutz benötigen.</w:t>
            </w:r>
          </w:p>
          <w:p>
            <w:pPr>
              <w:pStyle w:val="Normal"/>
              <w:rPr/>
            </w:pPr>
            <w:r>
              <w:rPr/>
              <w:t>Im Gegensatz dazu kann "wichtig" subjektiver sein ohne spezifisch auf die Schutzbedürfnisse einzugehen.</w:t>
            </w:r>
          </w:p>
          <w:p>
            <w:pPr>
              <w:pStyle w:val="Normal"/>
              <w:rPr/>
            </w:pPr>
            <w:r>
              <w:rPr/>
              <w:t>Beispiel: Kaugummiautomat im Foyer.</w:t>
            </w:r>
          </w:p>
          <w:p>
            <w:pPr>
              <w:pStyle w:val="Normal"/>
              <w:rPr/>
            </w:pPr>
            <w:r>
              <w:rPr/>
              <w:t>- Quasi Beides, in der 10k die wichtigen und als logische Fortführung inder10100 noch ergänzend die besonders „schützenswerten“</w:t>
            </w:r>
          </w:p>
          <w:p>
            <w:pPr>
              <w:pStyle w:val="Normal"/>
              <w:rPr/>
            </w:pPr>
            <w:r>
              <w:rPr/>
            </w:r>
          </w:p>
          <w:p>
            <w:pPr>
              <w:pStyle w:val="Normal"/>
              <w:rPr/>
            </w:pPr>
            <w:r>
              <w:rPr/>
              <w:t>Entscheidung: JA!</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0" w:name="__RefHeading___wiederanlaufplaene_125"/>
      <w:bookmarkStart w:id="261" w:name="wiederanlaufplaene"/>
      <w:bookmarkEnd w:id="260"/>
      <w:r>
        <w:rPr/>
        <w:t>17.4.1 Wiederanlaufpläne</w:t>
      </w:r>
      <w:bookmarkEnd w:id="261"/>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 seit 0.2.1:</w:t>
            </w:r>
          </w:p>
          <w:p>
            <w:pPr>
              <w:pStyle w:val="TableContents"/>
              <w:bidi w:val="0"/>
              <w:jc w:val="start"/>
              <w:rPr/>
            </w:pPr>
            <w:r>
              <w:rPr/>
            </w:r>
          </w:p>
          <w:p>
            <w:pPr>
              <w:pStyle w:val="TableContents"/>
              <w:bidi w:val="0"/>
              <w:jc w:val="start"/>
              <w:rPr/>
            </w:pPr>
            <w:r>
              <w:rPr/>
              <w:t>DISKUSSON: In der Praxis haben die Organisationen immer wieder Probleme, das Konzept der MTA zu verstehen, was zu unrealistisch kurzen MTAs führt. Diese Empfehlung kann diesem Verhalten entgegenwirken?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i/>
                <w:i/>
                <w:iCs/>
              </w:rPr>
            </w:pPr>
            <w:r>
              <w:rPr>
                <w:i/>
                <w:iCs/>
              </w:rPr>
              <w:t xml:space="preserve">Die zu erreichenden Wiederherstellungszeit des IT-Systems SOLLTE durch eine Analyse der Schadensentwicklung über die Ausfallzeit </w:t>
            </w:r>
            <w:r>
              <w:rPr>
                <w:rFonts w:eastAsia="Bitstream Vera Sans" w:cs="Bitstream Vera Sans"/>
                <w:i/>
                <w:iCs/>
                <w:color w:val="auto"/>
                <w:kern w:val="0"/>
                <w:sz w:val="20"/>
                <w:szCs w:val="24"/>
                <w:lang w:val="de-DE" w:eastAsia="en-US" w:bidi="en-US"/>
              </w:rPr>
              <w:t>ermittelt</w:t>
            </w:r>
            <w:r>
              <w:rPr>
                <w:i/>
                <w:iCs/>
              </w:rPr>
              <w:t xml:space="preserve">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2" w:name="__RefHeading___abhaengigkeiten_126"/>
      <w:bookmarkStart w:id="263" w:name="abhaengigkeiten"/>
      <w:bookmarkEnd w:id="262"/>
      <w:r>
        <w:rPr/>
        <w:t>17.4.2 Abhängigkeiten</w:t>
      </w:r>
      <w:bookmarkEnd w:id="2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kritischen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4" w:name="__RefHeading___anhang_a_131"/>
      <w:bookmarkStart w:id="265" w:name="anhang_a"/>
      <w:bookmarkEnd w:id="264"/>
      <w:r>
        <w:rPr/>
        <w:t>Anhang A</w:t>
      </w:r>
      <w:bookmarkEnd w:id="265"/>
    </w:p>
    <w:p>
      <w:pPr>
        <w:pStyle w:val="Heading2"/>
        <w:numPr>
          <w:ilvl w:val="1"/>
          <w:numId w:val="1"/>
        </w:numPr>
        <w:tabs>
          <w:tab w:val="clear" w:pos="709"/>
          <w:tab w:val="left" w:pos="0" w:leader="none"/>
        </w:tabs>
        <w:bidi w:val="0"/>
        <w:ind w:hanging="0" w:start="0"/>
        <w:jc w:val="start"/>
        <w:rPr/>
      </w:pPr>
      <w:bookmarkStart w:id="266" w:name="__RefHeading___a_1_verfahren_132"/>
      <w:bookmarkStart w:id="267" w:name="a_1_verfahren"/>
      <w:bookmarkEnd w:id="266"/>
      <w:r>
        <w:rPr/>
        <w:t>A 1 Verfahren</w:t>
      </w:r>
      <w:bookmarkEnd w:id="2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i/>
                <w:i/>
                <w:iCs/>
              </w:rPr>
            </w:pPr>
            <w:r>
              <w:rPr>
                <w:i/>
                <w:iCs/>
              </w:rPr>
              <w:t>Zusätzlich SOLLTE definiert werden, wer für seine Etablierung in die Strukturen, und Arbeitsabläufe der Organisation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 in der VdS 10k.</w:t>
            </w:r>
          </w:p>
          <w:p>
            <w:pPr>
              <w:pStyle w:val="TableContents"/>
              <w:bidi w:val="0"/>
              <w:jc w:val="start"/>
              <w:rPr/>
            </w:pPr>
            <w:r>
              <w:rPr/>
            </w:r>
          </w:p>
          <w:p>
            <w:pPr>
              <w:pStyle w:val="TableContents"/>
              <w:bidi w:val="0"/>
              <w:jc w:val="start"/>
              <w:rPr/>
            </w:pPr>
            <w:r>
              <w:rPr/>
              <w:t>DISKUSSION:</w:t>
            </w:r>
          </w:p>
          <w:p>
            <w:pPr>
              <w:pStyle w:val="TableContents"/>
              <w:bidi w:val="0"/>
              <w:jc w:val="start"/>
              <w:rPr/>
            </w:pPr>
            <w:r>
              <w:rPr/>
              <w:t>- Sinnvoll für die VdS 10k?</w:t>
            </w:r>
          </w:p>
          <w:p>
            <w:pPr>
              <w:pStyle w:val="TableContents"/>
              <w:bidi w:val="0"/>
              <w:jc w:val="start"/>
              <w:rPr/>
            </w:pPr>
            <w:r>
              <w:rPr/>
            </w:r>
          </w:p>
          <w:p>
            <w:pPr>
              <w:pStyle w:val="TableContents"/>
              <w:bidi w:val="0"/>
              <w:jc w:val="start"/>
              <w:rPr/>
            </w:pPr>
            <w:r>
              <w:rPr/>
              <w:t>0.2.1:</w:t>
            </w:r>
          </w:p>
          <w:p>
            <w:pPr>
              <w:pStyle w:val="TableContents"/>
              <w:bidi w:val="0"/>
              <w:jc w:val="start"/>
              <w:rPr/>
            </w:pPr>
            <w:r>
              <w:rPr/>
              <w:t>- Ja</w:t>
            </w:r>
          </w:p>
          <w:p>
            <w:pPr>
              <w:pStyle w:val="TableContents"/>
              <w:bidi w:val="0"/>
              <w:jc w:val="start"/>
              <w:rPr/>
            </w:pPr>
            <w:r>
              <w:rPr/>
            </w:r>
          </w:p>
          <w:p>
            <w:pPr>
              <w:pStyle w:val="TableContents"/>
              <w:bidi w:val="0"/>
              <w:jc w:val="start"/>
              <w:rPr/>
            </w:pPr>
            <w:r>
              <w:rPr/>
              <w:t>DISKUSSION:</w:t>
            </w:r>
          </w:p>
          <w:p>
            <w:pPr>
              <w:pStyle w:val="TableContents"/>
              <w:bidi w:val="0"/>
              <w:jc w:val="start"/>
              <w:rPr/>
            </w:pPr>
            <w:r>
              <w:rPr/>
              <w:t>- Sinnvoll für die VdS 10100?</w:t>
            </w:r>
          </w:p>
          <w:p>
            <w:pPr>
              <w:pStyle w:val="TableContents"/>
              <w:bidi w:val="0"/>
              <w:jc w:val="start"/>
              <w:rPr/>
            </w:pPr>
            <w:r>
              <w:rPr/>
            </w:r>
          </w:p>
          <w:p>
            <w:pPr>
              <w:pStyle w:val="TableContents"/>
              <w:bidi w:val="0"/>
              <w:jc w:val="start"/>
              <w:rPr/>
            </w:pPr>
            <w:r>
              <w:rPr/>
              <w:t>0.2.1_</w:t>
            </w:r>
          </w:p>
          <w:p>
            <w:pPr>
              <w:pStyle w:val="TableContents"/>
              <w:bidi w:val="0"/>
              <w:jc w:val="start"/>
              <w:rPr/>
            </w:pPr>
            <w:r>
              <w:rPr/>
              <w:t>Nur, wenn explizit von NIS2 gefordert. Ansonsten Verweis auf die VdS 10000.</w:t>
            </w:r>
          </w:p>
          <w:p>
            <w:pPr>
              <w:pStyle w:val="TableContents"/>
              <w:bidi w:val="0"/>
              <w:jc w:val="start"/>
              <w:rPr/>
            </w:pPr>
            <w:r>
              <w:rPr/>
            </w:r>
          </w:p>
          <w:p>
            <w:pPr>
              <w:pStyle w:val="TableContents"/>
              <w:bidi w:val="0"/>
              <w:jc w:val="start"/>
              <w:rPr/>
            </w:pPr>
            <w:r>
              <w:rPr/>
              <w:t>- SOLLTE oder MUSS)?</w:t>
            </w:r>
          </w:p>
          <w:p>
            <w:pPr>
              <w:pStyle w:val="TableContents"/>
              <w:bidi w:val="0"/>
              <w:jc w:val="start"/>
              <w:rPr/>
            </w:pPr>
            <w:r>
              <w:rPr/>
            </w:r>
          </w:p>
          <w:p>
            <w:pPr>
              <w:pStyle w:val="TableContents"/>
              <w:bidi w:val="0"/>
              <w:jc w:val="start"/>
              <w:rPr/>
            </w:pPr>
            <w:r>
              <w:rPr/>
              <w:t>Macht in beiden Richtlinien Sinn und weiter als SOLLTE, dann bleibt es flexibel auf verschiedene Organisationen und Strukturen anwendbar.</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commentReference w:id="0"/>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8" w:name="__RefHeading___a_2_risikoanalyse_und_-be"/>
      <w:bookmarkStart w:id="269" w:name="a_2_risikoanalyse_und_-behandlung"/>
      <w:bookmarkEnd w:id="268"/>
      <w:r>
        <w:rPr/>
        <w:t>A 2 Risiko</w:t>
      </w:r>
      <w:bookmarkEnd w:id="269"/>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_C"/>
      <w:bookmarkStart w:id="271" w:name="a_2.1_risikoanalyse_Copy_1"/>
      <w:bookmarkEnd w:id="270"/>
      <w:r>
        <w:rPr/>
        <w:t xml:space="preserve">A 2.1 </w:t>
      </w:r>
      <w:bookmarkEnd w:id="271"/>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2" w:name="__RefHeading___a_2.1_risikoanalyse_134"/>
      <w:bookmarkStart w:id="273" w:name="a_2.1_risikoanalyse"/>
      <w:bookmarkEnd w:id="272"/>
      <w:r>
        <w:rPr/>
        <w:t>A 2.2 Risikoanalyse</w:t>
      </w:r>
      <w:bookmarkEnd w:id="2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4" w:name="__RefHeading___a_2.2_risikobehandlung_13"/>
      <w:bookmarkStart w:id="275" w:name="a_2.2_risikobehandlung"/>
      <w:bookmarkEnd w:id="274"/>
      <w:r>
        <w:rPr/>
        <w:t>A 2.3 Risikobehandlung</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n"/>
      <w:bookmarkStart w:id="277" w:name="a_2.3_wiederholung_und_anpassung"/>
      <w:bookmarkEnd w:id="276"/>
      <w:r>
        <w:rPr/>
        <w:t>A 2.4 Wiederholung und Anpassung</w:t>
      </w:r>
      <w:bookmarkEnd w:id="2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8" w:name="__RefHeading___a_2.3_wiederholung_und_a1"/>
      <w:bookmarkStart w:id="279" w:name="a_2.3_wiederholung_und_anpassung_Copy_1_"/>
      <w:bookmarkEnd w:id="278"/>
      <w:r>
        <w:rPr/>
        <w:t xml:space="preserve">A 2.5 </w:t>
      </w:r>
      <w:bookmarkEnd w:id="279"/>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Mark Semmler" w:date="2024-07-08T09:53:10Z" w:initials="MSe">
    <w:p>
      <w:pPr>
        <w:overflowPunct w:val="true"/>
        <w:rPr/>
      </w:pPr>
      <w:r>
        <w:rPr>
          <w:rFonts w:ascii="Liberation Serif" w:hAnsi="Liberation Serif" w:eastAsia="DejaVu Sans" w:cs="Noto Sans Arabic UI"/>
          <w:sz w:val="24"/>
          <w:lang w:val="en-US" w:eastAsia="en-US" w:bidi="en-US"/>
        </w:rPr>
        <w:t>Vorschlag:</w:t>
      </w:r>
    </w:p>
    <w:p>
      <w:pPr>
        <w:overflowPunct w:val="true"/>
        <w:rPr/>
      </w:pPr>
      <w:r>
        <w:rPr>
          <w:rFonts w:ascii="Liberation Serif" w:hAnsi="Liberation Serif" w:eastAsia="DejaVu Sans" w:cs="Noto Sans Arabic UI"/>
          <w:sz w:val="24"/>
          <w:lang w:val="en-US" w:eastAsia="en-US" w:bidi="en-US"/>
        </w:rPr>
        <w:t>Zusammenfassen unter G 2.1:</w:t>
      </w:r>
    </w:p>
    <w:p>
      <w:pPr>
        <w:overflowPunct w:val="true"/>
        <w:rPr/>
      </w:pPr>
      <w:r>
        <w:rPr>
          <w:rFonts w:ascii="Liberation Serif" w:hAnsi="Liberation Serif" w:eastAsia="DejaVu Sans" w:cs="Noto Sans Arabic UI"/>
          <w:sz w:val="24"/>
          <w:lang w:val="en-US" w:eastAsia="en-US" w:bidi="en-US"/>
        </w:rPr>
        <w:t>„„Es wird festgelegt, wer für die Durchführung und Integration in die Organisation verantwortlich ist.“</w:t>
      </w:r>
    </w:p>
  </w:comment>
</w:comment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93</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3</w:t>
    </w:r>
    <w:r>
      <w:rPr/>
      <w:fldChar w:fldCharType="end"/>
    </w:r>
    <w:r>
      <w:rPr/>
      <w:t xml:space="preserve"> von </w:t>
    </w:r>
    <w:r>
      <w:rPr/>
      <w:fldChar w:fldCharType="begin"/>
    </w:r>
    <w:r>
      <w:rPr/>
      <w:instrText xml:space="preserve"> NUMPAGES </w:instrText>
    </w:r>
    <w:r>
      <w:rPr/>
      <w:fldChar w:fldCharType="separate"/>
    </w:r>
    <w:r>
      <w:rPr/>
      <w:t>93</w:t>
    </w:r>
    <w:r>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3</w:t>
    </w:r>
    <w:r>
      <w:rPr/>
      <w:fldChar w:fldCharType="end"/>
    </w:r>
    <w:r>
      <w:rPr/>
      <w:t xml:space="preserve"> von </w:t>
    </w:r>
    <w:r>
      <w:rPr/>
      <w:fldChar w:fldCharType="begin"/>
    </w:r>
    <w:r>
      <w:rPr/>
      <w:instrText xml:space="preserve"> NUMPAGES </w:instrText>
    </w:r>
    <w:r>
      <w:rPr/>
      <w:fldChar w:fldCharType="separate"/>
    </w:r>
    <w:r>
      <w:rPr/>
      <w:t>93</w:t>
    </w:r>
    <w:r>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trackRevisions/>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comments" Target="comments.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9459</TotalTime>
  <Application>LibreOffice/24.2.4.2$Linux_X86_64 LibreOffice_project/51a6219feb6075d9a4c46691dcfe0cd9c4fff3c2</Application>
  <AppVersion>15.0000</AppVersion>
  <Pages>93</Pages>
  <Words>24526</Words>
  <Characters>165458</Characters>
  <CharactersWithSpaces>186426</CharactersWithSpaces>
  <Paragraphs>3556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2024-07-02T19:18:53Z</cp:lastPrinted>
  <dcterms:modified xsi:type="dcterms:W3CDTF">2024-07-09T11:29:51Z</dcterms:modified>
  <cp:revision>181</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