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ind w:hanging="0" w:start="0"/>
        <w:rPr/>
      </w:pPr>
      <w:bookmarkStart w:id="1" w:name="__RefHeading___Toc12974_1742933099"/>
      <w:bookmarkEnd w:id="1"/>
      <w:r>
        <w:rPr/>
        <w:t>Unterteilung der IT-Ressourcen</w:t>
      </w:r>
    </w:p>
    <w:p>
      <w:pPr>
        <w:pStyle w:val="BodyText"/>
        <w:rPr/>
      </w:pPr>
      <w:r>
        <w:rPr/>
        <w:t xml:space="preserve">Die VdS 10100 unterteilt </w:t>
      </w:r>
      <w:r>
        <w:rPr/>
        <w:t xml:space="preserve">aktuell </w:t>
      </w:r>
      <w:r>
        <w:rPr/>
        <w:t xml:space="preserve">die </w:t>
      </w:r>
      <w:r>
        <w:rPr/>
        <w:t>IT-Res</w:t>
      </w:r>
      <w:r>
        <w:rPr/>
        <w:t>s</w:t>
      </w:r>
      <w:r>
        <w:rPr/>
        <w:t>ourcen</w:t>
      </w:r>
      <w:r>
        <w:rPr/>
        <w:t xml:space="preserve"> in vier </w:t>
      </w:r>
      <w:r>
        <w:rPr/>
        <w:t>K</w:t>
      </w:r>
      <w:r>
        <w:rPr/>
        <w:t xml:space="preserve">lassen, </w:t>
      </w:r>
      <w:r>
        <w:rPr/>
        <w:t xml:space="preserve">wobei </w:t>
      </w:r>
      <w:r>
        <w:rPr/>
        <w:t xml:space="preserve">für die Einteilung allein </w:t>
      </w:r>
      <w:r>
        <w:rPr/>
        <w:t>die mögliche Schadenshöhe bei</w:t>
      </w:r>
      <w:r>
        <w:rPr/>
        <w:t>m</w:t>
      </w:r>
      <w:r>
        <w:rPr/>
        <w:t xml:space="preserve"> </w:t>
      </w:r>
      <w:r>
        <w:rPr/>
        <w:t>Eintritt eines Sicherheitsvorfalls (</w:t>
      </w:r>
      <w:r>
        <w:rPr/>
        <w:t xml:space="preserve">Bruch </w:t>
      </w:r>
      <w:r>
        <w:rPr/>
        <w:t>der</w:t>
      </w:r>
      <w:r>
        <w:rPr/>
        <w:t xml:space="preserve"> Vertraulichkeit, Verfügbarkeit und/oder Integrität</w:t>
      </w:r>
      <w:r>
        <w:rPr/>
        <w:t>)</w:t>
      </w:r>
      <w:r>
        <w:rPr/>
        <w:t xml:space="preserve"> </w:t>
      </w:r>
      <w:r>
        <w:rPr/>
        <w:t>verwendet wird:</w:t>
      </w:r>
    </w:p>
    <w:tbl>
      <w:tblPr>
        <w:tblW w:w="15700" w:type="dxa"/>
        <w:jc w:val="start"/>
        <w:tblInd w:w="-5" w:type="dxa"/>
        <w:tblLayout w:type="fixed"/>
        <w:tblCellMar>
          <w:top w:w="55" w:type="dxa"/>
          <w:start w:w="55" w:type="dxa"/>
          <w:bottom w:w="55" w:type="dxa"/>
          <w:end w:w="55" w:type="dxa"/>
        </w:tblCellMar>
      </w:tblPr>
      <w:tblGrid>
        <w:gridCol w:w="1463"/>
        <w:gridCol w:w="3062"/>
        <w:gridCol w:w="1588"/>
        <w:gridCol w:w="1425"/>
        <w:gridCol w:w="1012"/>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Klasse</w:t>
            </w:r>
          </w:p>
        </w:tc>
        <w:tc>
          <w:tcPr>
            <w:tcW w:w="3062"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5"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50"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2"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8"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5"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2"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50"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 xml:space="preserve">(1) </w:t>
            </w:r>
            <w:r>
              <w:rPr>
                <w:lang w:val="de-DE" w:eastAsia="en-US" w:bidi="en-US"/>
              </w:rPr>
              <w:t>unbenannt</w:t>
            </w:r>
          </w:p>
        </w:tc>
        <w:tc>
          <w:tcPr>
            <w:tcW w:w="3062" w:type="dxa"/>
            <w:tcBorders>
              <w:start w:val="single" w:sz="4" w:space="0" w:color="000000"/>
              <w:bottom w:val="single" w:sz="4" w:space="0" w:color="000000"/>
            </w:tcBorders>
          </w:tcPr>
          <w:p>
            <w:pPr>
              <w:pStyle w:val="TableContents"/>
              <w:rPr/>
            </w:pPr>
            <w:r>
              <w:rPr/>
              <w:t>IT-</w:t>
            </w:r>
            <w:r>
              <w:rPr/>
              <w:t>Ressource</w:t>
            </w:r>
            <w:r>
              <w:rPr/>
              <w:t>, bei der eine Verletzung ihrer Vertraulichkeit, Verfügbarkeit und Authentizität nur zu einem vernachlässigbaren Schaden führen kann (Risikoakzeptanzgrenze, siehe Anhang A 2) und die von der restlichen IT-Infrastruktur abgeschottet ist.</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t>unbenannt</w:t>
            </w:r>
          </w:p>
        </w:tc>
        <w:tc>
          <w:tcPr>
            <w:tcW w:w="3062" w:type="dxa"/>
            <w:tcBorders>
              <w:start w:val="single" w:sz="4" w:space="0" w:color="000000"/>
              <w:bottom w:val="single" w:sz="4" w:space="0" w:color="000000"/>
            </w:tcBorders>
          </w:tcPr>
          <w:p>
            <w:pPr>
              <w:pStyle w:val="TableContents"/>
              <w:rPr/>
            </w:pPr>
            <w:r>
              <w:rPr/>
              <w:t>Die gesamte IT-Infrastruktur mit Ausnahme von (1).</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w:t>
            </w:r>
          </w:p>
        </w:tc>
        <w:tc>
          <w:tcPr>
            <w:tcW w:w="1012" w:type="dxa"/>
            <w:tcBorders>
              <w:start w:val="single" w:sz="4" w:space="0" w:color="000000"/>
              <w:bottom w:val="single" w:sz="4" w:space="0" w:color="000000"/>
              <w:end w:val="single" w:sz="4" w:space="0" w:color="000000"/>
            </w:tcBorders>
          </w:tcPr>
          <w:p>
            <w:pPr>
              <w:pStyle w:val="TableContents"/>
              <w:jc w:val="center"/>
              <w:rPr/>
            </w:pPr>
            <w:r>
              <w:rPr/>
              <w:t>-</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 xml:space="preserve">(3) </w:t>
            </w:r>
            <w:r>
              <w:rPr/>
              <w:t>“</w:t>
            </w:r>
            <w:r>
              <w:rPr/>
              <w:t>wichtig“</w:t>
            </w:r>
          </w:p>
        </w:tc>
        <w:tc>
          <w:tcPr>
            <w:tcW w:w="3062"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w:t>
            </w:r>
            <w:r>
              <w:rPr/>
              <w:t>besonders schützenswert“</w:t>
            </w:r>
          </w:p>
        </w:tc>
        <w:tc>
          <w:tcPr>
            <w:tcW w:w="3062" w:type="dxa"/>
            <w:tcBorders>
              <w:start w:val="single" w:sz="4" w:space="0" w:color="000000"/>
              <w:bottom w:val="single" w:sz="4" w:space="0" w:color="000000"/>
            </w:tcBorders>
          </w:tcPr>
          <w:p>
            <w:pPr>
              <w:pStyle w:val="TableContents"/>
              <w:rPr/>
            </w:pPr>
            <w:r>
              <w:rPr/>
              <w:t>‍</w:t>
            </w:r>
            <w:r>
              <w:rPr/>
              <w:t>I</w:t>
            </w:r>
            <w:r>
              <w:rPr/>
              <w:t xml:space="preserve">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 xml:space="preserve">n IT-Ressourcen zwingend benötigt werden. </w:t>
            </w:r>
            <w:r>
              <w:rPr/>
              <w:t>Untermenge von (3).</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ind w:hanging="0" w:start="0"/>
        <w:rPr/>
      </w:pPr>
      <w:bookmarkStart w:id="2" w:name="__RefHeading___Toc15925_1742933099"/>
      <w:bookmarkEnd w:id="2"/>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p>
    <w:p>
      <w:pPr>
        <w:pStyle w:val="Heading1"/>
        <w:numPr>
          <w:ilvl w:val="0"/>
          <w:numId w:val="0"/>
        </w:numPr>
        <w:tabs>
          <w:tab w:val="clear" w:pos="709"/>
          <w:tab w:val="left" w:pos="0" w:leader="none"/>
        </w:tabs>
        <w:bidi w:val="0"/>
        <w:ind w:hanging="0" w:start="0"/>
        <w:jc w:val="start"/>
        <w:rPr/>
      </w:pPr>
      <w:bookmarkStart w:id="3" w:name="__RefHeading___vorlage_fuer_assessment_d"/>
      <w:bookmarkStart w:id="4" w:name="trainings%252525252525252525252525253Ase"/>
      <w:bookmarkStart w:id="5" w:name="vorlage_fuer_assessment_der_vds_10000_in"/>
      <w:bookmarkEnd w:id="3"/>
      <w:bookmarkEnd w:id="4"/>
      <w:r>
        <w:rPr/>
        <w:t>V</w:t>
      </w:r>
      <w:bookmarkEnd w:id="5"/>
      <w:r>
        <w:rPr/>
        <w:t>dS 10100, Version 0.1.</w:t>
      </w:r>
      <w:r>
        <w:rPr/>
        <w:t>8</w:t>
      </w:r>
      <w:r>
        <w:rPr/>
        <w:t xml:space="preserve"> vom </w:t>
      </w:r>
      <w:r>
        <w:rPr/>
        <w:t>02.07</w:t>
      </w:r>
      <w:r>
        <w:rPr/>
        <w:t>.2024</w:t>
      </w:r>
    </w:p>
    <w:p>
      <w:pPr>
        <w:pStyle w:val="Heading4"/>
        <w:numPr>
          <w:ilvl w:val="0"/>
          <w:numId w:val="0"/>
        </w:numPr>
        <w:tabs>
          <w:tab w:val="clear" w:pos="709"/>
          <w:tab w:val="left" w:pos="0" w:leader="none"/>
        </w:tabs>
        <w:bidi w:val="0"/>
        <w:ind w:hanging="0" w:start="0"/>
        <w:jc w:val="start"/>
        <w:rPr/>
      </w:pPr>
      <w:bookmarkStart w:id="6" w:name="__RefHeading___vds-richtlinien_fuer_die_"/>
      <w:bookmarkStart w:id="7" w:name="vds-richtlinien_fuer_die_informationsver"/>
      <w:bookmarkEnd w:id="6"/>
      <w:r>
        <w:rPr/>
        <w:t>0 VdS-Richtlinien für die Informationsverarbeitung</w:t>
      </w:r>
      <w:bookmarkEnd w:id="7"/>
    </w:p>
    <w:p>
      <w:pPr>
        <w:pStyle w:val="Heading1"/>
        <w:numPr>
          <w:ilvl w:val="0"/>
          <w:numId w:val="0"/>
        </w:numPr>
        <w:tabs>
          <w:tab w:val="clear" w:pos="709"/>
          <w:tab w:val="left" w:pos="0" w:leader="none"/>
        </w:tabs>
        <w:bidi w:val="0"/>
        <w:ind w:hanging="0" w:start="0"/>
        <w:jc w:val="start"/>
        <w:rPr/>
      </w:pPr>
      <w:bookmarkStart w:id="8" w:name="__RefHeading___informationssicherheitsma"/>
      <w:bookmarkEnd w:id="8"/>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Toc15925_1742933099">
            <w:r>
              <w:rPr>
                <w:rStyle w:val="IndexLink"/>
              </w:rPr>
              <w:t>Maßnahmen</w:t>
              <w:tab/>
              <w:t>3</w:t>
            </w:r>
          </w:hyperlink>
        </w:p>
        <w:p>
          <w:pPr>
            <w:pStyle w:val="TOC1"/>
            <w:rPr/>
          </w:pPr>
          <w:hyperlink w:anchor="__RefHeading___vorlage_fuer_assessment_d">
            <w:r>
              <w:rPr>
                <w:rStyle w:val="IndexLink"/>
              </w:rPr>
              <w:t>VdS 10100, Version 0.1.8 vom 02.07.2024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r">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risikoanalyse_und_-behand">
            <w:r>
              <w:rPr>
                <w:rStyle w:val="IndexLink"/>
              </w:rPr>
              <w:t>10.5.1 Risikoanalyse und behandlung</w:t>
              <w:tab/>
              <w:t>58</w:t>
            </w:r>
          </w:hyperlink>
        </w:p>
        <w:p>
          <w:pPr>
            <w:pStyle w:val="TOC3"/>
            <w:rPr/>
          </w:pPr>
          <w:hyperlink w:anchor="__RefHeading___notbetriebsniveau_70">
            <w:r>
              <w:rPr>
                <w:rStyle w:val="IndexLink"/>
              </w:rPr>
              <w:t>10.5.2 Notbetriebsniveau</w:t>
              <w:tab/>
              <w:t>58</w:t>
            </w:r>
          </w:hyperlink>
        </w:p>
        <w:p>
          <w:pPr>
            <w:pStyle w:val="TOC3"/>
            <w:rPr/>
          </w:pPr>
          <w:hyperlink w:anchor="__RefHeading___robustheit_71">
            <w:r>
              <w:rPr>
                <w:rStyle w:val="IndexLink"/>
              </w:rPr>
              <w:t>10.5.3 Robustheit</w:t>
              <w:tab/>
              <w:t>58</w:t>
            </w:r>
          </w:hyperlink>
        </w:p>
        <w:p>
          <w:pPr>
            <w:pStyle w:val="TOC3"/>
            <w:rPr/>
          </w:pPr>
          <w:hyperlink w:anchor="__RefHeading___externe_schnittstellen_u1">
            <w:r>
              <w:rPr>
                <w:rStyle w:val="IndexLink"/>
              </w:rPr>
              <w:t>10.5.4 Externe Schnittstellen und Laufwerke</w:t>
              <w:tab/>
              <w:t>59</w:t>
            </w:r>
          </w:hyperlink>
        </w:p>
        <w:p>
          <w:pPr>
            <w:pStyle w:val="TOC3"/>
            <w:rPr/>
          </w:pPr>
          <w:hyperlink w:anchor="__RefHeading___aenderungsmanagement_73">
            <w:r>
              <w:rPr>
                <w:rStyle w:val="IndexLink"/>
              </w:rPr>
              <w:t>10.5.5 Änderungsmanagement</w:t>
              <w:tab/>
              <w:t>59</w:t>
            </w:r>
          </w:hyperlink>
        </w:p>
        <w:p>
          <w:pPr>
            <w:pStyle w:val="TOC3"/>
            <w:rPr/>
          </w:pPr>
          <w:hyperlink w:anchor="__RefHeading___dokumentation_74">
            <w:r>
              <w:rPr>
                <w:rStyle w:val="IndexLink"/>
              </w:rPr>
              <w:t>10.5.6 Dokumentation</w:t>
              <w:tab/>
              <w:t>59</w:t>
            </w:r>
          </w:hyperlink>
        </w:p>
        <w:p>
          <w:pPr>
            <w:pStyle w:val="TOC3"/>
            <w:rPr/>
          </w:pPr>
          <w:hyperlink w:anchor="__RefHeading___datensicherung_75">
            <w:r>
              <w:rPr>
                <w:rStyle w:val="IndexLink"/>
              </w:rPr>
              <w:t>10.5.7 Datensicherung</w:t>
              <w:tab/>
              <w:t>60</w:t>
            </w:r>
          </w:hyperlink>
        </w:p>
        <w:p>
          <w:pPr>
            <w:pStyle w:val="TOC3"/>
            <w:rPr/>
          </w:pPr>
          <w:hyperlink w:anchor="__RefHeading___ueberwachung_76">
            <w:r>
              <w:rPr>
                <w:rStyle w:val="IndexLink"/>
              </w:rPr>
              <w:t>10.5.8 Überwachung</w:t>
              <w:tab/>
              <w:t>60</w:t>
            </w:r>
          </w:hyperlink>
        </w:p>
        <w:p>
          <w:pPr>
            <w:pStyle w:val="TOC3"/>
            <w:rPr/>
          </w:pPr>
          <w:hyperlink w:anchor="__RefHeading___ersatzsysteme_und_-verfah">
            <w:r>
              <w:rPr>
                <w:rStyle w:val="IndexLink"/>
              </w:rPr>
              <w:t>10.5.9 Ersatzsysteme und -verfahren</w:t>
              <w:tab/>
              <w:t>60</w:t>
            </w:r>
          </w:hyperlink>
        </w:p>
        <w:p>
          <w:pPr>
            <w:pStyle w:val="TOC3"/>
            <w:rPr/>
          </w:pPr>
          <w:hyperlink w:anchor="__RefHeading___kritische_individualsoftw">
            <w:r>
              <w:rPr>
                <w:rStyle w:val="IndexLink"/>
              </w:rPr>
              <w:t>10.5.10 Besonders schützenswerte Individualsoftware</w:t>
              <w:tab/>
              <w:t>61</w:t>
            </w:r>
          </w:hyperlink>
        </w:p>
        <w:p>
          <w:pPr>
            <w:pStyle w:val="TOC1"/>
            <w:rPr/>
          </w:pPr>
          <w:hyperlink w:anchor="__RefHeading___netzwerke_und_verbindunge">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8">
            <w:r>
              <w:rPr>
                <w:rStyle w:val="IndexLink"/>
              </w:rPr>
              <w:t>17.4 Zusätzliche Maßnahmen für kritische IT-Systeme</w:t>
              <w:tab/>
              <w:t>84</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87</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9" w:name="__RefHeading___anforderungen_4"/>
      <w:bookmarkStart w:id="10" w:name="anforderungen"/>
      <w:bookmarkEnd w:id="9"/>
      <w:r>
        <w:rPr/>
        <w:t>Anforderungen</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1" w:name="__RefHeading___allgemeines_5"/>
      <w:bookmarkStart w:id="12" w:name="allgemeines"/>
      <w:bookmarkEnd w:id="11"/>
      <w:r>
        <w:rPr/>
        <w:t>1 Allgemeines</w:t>
      </w:r>
      <w:bookmarkEnd w:id="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legen Mindestanforderungen fest und beschreiben </w:t>
            </w:r>
            <w:r>
              <w:rPr/>
              <w:t>Maßnahmen für die Umsetzung einer s</w:t>
            </w:r>
            <w:r>
              <w:rPr/>
              <w:t>trukturierte</w:t>
            </w:r>
            <w:r>
              <w:rPr/>
              <w:t>n</w:t>
            </w:r>
            <w:r>
              <w:rPr/>
              <w:t xml:space="preserve"> Informationssicherheit gemäß </w:t>
            </w:r>
            <w:r>
              <w:rPr/>
              <w:t xml:space="preserve">der EU-Richtlinie </w:t>
            </w:r>
            <w:r>
              <w:rPr/>
              <w:t>NIS</w:t>
            </w:r>
            <w:r>
              <w:rPr/>
              <w:t>2.</w:t>
            </w:r>
          </w:p>
        </w:tc>
      </w:tr>
    </w:tbl>
    <w:p>
      <w:pPr>
        <w:pStyle w:val="Heading2"/>
        <w:numPr>
          <w:ilvl w:val="0"/>
          <w:numId w:val="0"/>
        </w:numPr>
        <w:tabs>
          <w:tab w:val="clear" w:pos="709"/>
          <w:tab w:val="left" w:pos="0" w:leader="none"/>
        </w:tabs>
        <w:bidi w:val="0"/>
        <w:ind w:hanging="0" w:start="0"/>
        <w:jc w:val="start"/>
        <w:rPr/>
      </w:pPr>
      <w:bookmarkStart w:id="13" w:name="__RefHeading___anwendungshinweise_6"/>
      <w:bookmarkStart w:id="14" w:name="anwendungshinweise"/>
      <w:bookmarkEnd w:id="13"/>
      <w:r>
        <w:rPr/>
        <w:t>1.1 Anwendungshinweise</w:t>
      </w:r>
      <w:bookmarkEnd w:id="14"/>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5" w:name="__RefHeading___anwendungs-_und_geltungsb"/>
      <w:bookmarkStart w:id="16" w:name="anwendungs-_und_geltungsbereich"/>
      <w:bookmarkEnd w:id="15"/>
      <w:r>
        <w:rPr/>
        <w:t>1.2 Anwendungs- und Geltungsbereich</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7" w:name="__RefHeading___Toc49840_1658012805"/>
      <w:bookmarkEnd w:id="17"/>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8" w:name="__RefHeading___gueltigkeit_8"/>
      <w:bookmarkStart w:id="19" w:name="gueltigkeit"/>
      <w:bookmarkEnd w:id="18"/>
      <w:r>
        <w:rPr/>
        <w:t>1.3 Gültigkeit</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0" w:name="__RefHeading___normative_verweise_9"/>
      <w:bookmarkStart w:id="21" w:name="normative_verweise"/>
      <w:bookmarkEnd w:id="20"/>
      <w:r>
        <w:rPr/>
        <w:t>2 Normative Verweise</w:t>
      </w:r>
      <w:bookmarkEnd w:id="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2" w:name="a_2.1_risikoanalyse_Copy_1_Copy_1"/>
            <w:r>
              <w:rPr/>
              <w:t xml:space="preserve">A 2.1 </w:t>
            </w:r>
            <w:bookmarkEnd w:id="22"/>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3" w:name="__RefHeading___a_2.1_risikoanalyse_134_1"/>
            <w:bookmarkEnd w:id="23"/>
            <w:r>
              <w:rPr/>
              <w:t xml:space="preserve">Wir verweisen auf dieses Regelwerk in Abschnitt </w:t>
            </w:r>
            <w:bookmarkStart w:id="24" w:name="anwendungshinweise_Copy_1"/>
            <w:r>
              <w:rPr/>
              <w:t>1.1 (Anwendungshinweise</w:t>
            </w:r>
            <w:bookmarkEnd w:id="24"/>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5" w:name="__RefHeading___begriffe_10"/>
      <w:bookmarkStart w:id="26" w:name="begriffe"/>
      <w:bookmarkEnd w:id="25"/>
      <w:r>
        <w:rPr/>
        <w:t>Begriffe</w:t>
      </w:r>
      <w:bookmarkEnd w:id="2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626"/>
        <w:gridCol w:w="3445"/>
        <w:gridCol w:w="6898"/>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344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898"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898"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ToDo</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7" w:name="__RefHeading___organisation_der_informat"/>
      <w:bookmarkStart w:id="28" w:name="organisation_der_informationssicherheit"/>
      <w:bookmarkEnd w:id="27"/>
      <w:r>
        <w:rPr/>
        <w:t>4 Organisation der Informationssicherheit</w:t>
      </w:r>
      <w:bookmarkEnd w:id="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9" w:name="__RefHeading___verantwortlichkeiten_12"/>
      <w:bookmarkStart w:id="30" w:name="verantwortlichkeiten"/>
      <w:bookmarkEnd w:id="29"/>
      <w:r>
        <w:rPr/>
        <w:t>4.1 Verantwortlichkeiten</w:t>
      </w:r>
      <w:bookmarkEnd w:id="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1" w:name="__RefHeading___zuweisung_und_dokumentati"/>
      <w:bookmarkStart w:id="32" w:name="zuweisung_und_dokumentation"/>
      <w:bookmarkEnd w:id="31"/>
      <w:r>
        <w:rPr/>
        <w:t>4.1.1 Zuweisung und Dokumentation</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3" w:name="__RefHeading___funktionstrennungen_14"/>
      <w:bookmarkStart w:id="34" w:name="funktionstrennungen"/>
      <w:bookmarkEnd w:id="33"/>
      <w:r>
        <w:rPr/>
        <w:t>4.1.2 Funktionstrennungen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5" w:name="__RefHeading___zeitliche_ressourcen_15"/>
      <w:bookmarkStart w:id="36" w:name="zeitliche_ressourcen"/>
      <w:bookmarkEnd w:id="35"/>
      <w:r>
        <w:rPr/>
        <w:t>4.1.3 Zeitliche Ressourcen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delegieren_von_aufgaben_1"/>
      <w:bookmarkStart w:id="38" w:name="delegieren_von_aufgaben"/>
      <w:bookmarkEnd w:id="37"/>
      <w:r>
        <w:rPr/>
        <w:t>4.1.4 Delegieren von Aufgaben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9" w:name="__RefHeading___topmanagement_17"/>
      <w:bookmarkStart w:id="40" w:name="topmanagement"/>
      <w:bookmarkEnd w:id="39"/>
      <w:r>
        <w:rPr/>
        <w:t>4.2 Topmanagement</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1" w:name="__RefHeading___informationssicherheitsbe"/>
      <w:bookmarkStart w:id="42" w:name="informationssicherheitsbeauftragter_isb"/>
      <w:bookmarkEnd w:id="41"/>
      <w:r>
        <w:rPr/>
        <w:t>4.3 Informationssicherheitsbeauftragter (ISB)</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informationssicherheitste"/>
      <w:bookmarkStart w:id="44" w:name="informationssicherheitsteam_ist"/>
      <w:bookmarkEnd w:id="43"/>
      <w:r>
        <w:rPr/>
        <w:t>4.4 Informationssicherheitsteam (IST)</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it-verantwortliche_20"/>
      <w:bookmarkStart w:id="46" w:name="it-verantwortliche"/>
      <w:bookmarkEnd w:id="45"/>
      <w:r>
        <w:rPr/>
        <w:t>4.5 IT-Verantwortliche</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7" w:name="__RefHeading___administratoren_21"/>
      <w:bookmarkStart w:id="48" w:name="administratoren"/>
      <w:bookmarkEnd w:id="47"/>
      <w:r>
        <w:rPr/>
        <w:t>4.6 Administratoren</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vorgesetzte_22"/>
      <w:bookmarkStart w:id="50" w:name="vorgesetzte"/>
      <w:bookmarkEnd w:id="49"/>
      <w:r>
        <w:rPr/>
        <w:t>4.7 Vorgesetzte</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1" w:name="__RefHeading___mitarbeiter_23"/>
      <w:bookmarkStart w:id="52" w:name="mitarbeiter"/>
      <w:bookmarkEnd w:id="51"/>
      <w:r>
        <w:rPr/>
        <w:t>4.8 Mitarbeiter</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projektverantwortliche_24"/>
      <w:bookmarkStart w:id="54" w:name="projektverantwortliche"/>
      <w:bookmarkEnd w:id="53"/>
      <w:r>
        <w:rPr/>
        <w:t>4.9 Projektverantwortliche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5" w:name="__RefHeading___externe_25"/>
      <w:bookmarkStart w:id="56" w:name="externe"/>
      <w:bookmarkEnd w:id="55"/>
      <w:r>
        <w:rPr/>
        <w:t>4.10 Externe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7" w:name="__RefHeading___leitlinie_zur_information"/>
      <w:bookmarkStart w:id="58" w:name="leitlinie_zur_informationssicherheit_is-"/>
      <w:bookmarkEnd w:id="57"/>
      <w:r>
        <w:rPr/>
        <w:t>5 Leitlinie zur Informationssicherheit (IS-Leitlinie)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9" w:name="__RefHeading___allgemeine_anforderungen_"/>
      <w:bookmarkStart w:id="60" w:name="allgemeine_anforderungen"/>
      <w:bookmarkEnd w:id="59"/>
      <w:r>
        <w:rPr/>
        <w:t>5.1 Allgemeine Anforderungen</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1" w:name="__RefHeading___inhalte_28"/>
      <w:bookmarkStart w:id="62" w:name="inhalte"/>
      <w:bookmarkEnd w:id="61"/>
      <w:r>
        <w:rPr/>
        <w:t>5.2 Inhalte</w:t>
      </w:r>
      <w:bookmarkEnd w:id="6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3" w:name="__RefHeading___richtlinien_zur_informati"/>
      <w:bookmarkStart w:id="64" w:name="richtlinien_zur_informationssicherheit_i"/>
      <w:bookmarkEnd w:id="63"/>
      <w:r>
        <w:rPr/>
        <w:t>6 Richtlinien zur Informationssicherheit (IS-Richtlinien)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1"/>
      <w:bookmarkStart w:id="66" w:name="allgemeine_anforderungen1"/>
      <w:bookmarkEnd w:id="65"/>
      <w:r>
        <w:rPr/>
        <w:t>6.1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31"/>
      <w:bookmarkStart w:id="68" w:name="inhalte1"/>
      <w:bookmarkEnd w:id="67"/>
      <w:r>
        <w:rPr/>
        <w:t>6.2 Inhalte</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9" w:name="__RefHeading___regelungen_fuer_nutzer_32"/>
      <w:bookmarkStart w:id="70" w:name="regelungen_fuer_nutzer"/>
      <w:bookmarkEnd w:id="69"/>
      <w:r>
        <w:rPr/>
        <w:t>6.3 Regelungen für Nutzer</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1" w:name="__RefHeading___weitere_regelungen_38"/>
      <w:bookmarkStart w:id="72" w:name="weitere_regelungen"/>
      <w:bookmarkEnd w:id="71"/>
      <w:r>
        <w:rPr/>
        <w:t>6.4 Weitere Regelungen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3" w:name="__RefHeading___mitarbeiter_39"/>
      <w:bookmarkStart w:id="74" w:name="mitarbeiter1"/>
      <w:bookmarkEnd w:id="73"/>
      <w:r>
        <w:rPr/>
        <w:t>7 Mitarbeiter</w:t>
      </w:r>
      <w:bookmarkEnd w:id="7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5" w:name="__RefHeading___vor_aufnahme_der_taetigke"/>
      <w:bookmarkStart w:id="76" w:name="vor_aufnahme_der_taetigkeit"/>
      <w:bookmarkEnd w:id="75"/>
      <w:r>
        <w:rPr/>
        <w:t>7.1 Vor Aufnahme der Tätigkeit</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7" w:name="__RefHeading___aufnahme_der_taetigkeit_4"/>
      <w:bookmarkStart w:id="78" w:name="aufnahme_der_taetigkeit"/>
      <w:bookmarkEnd w:id="77"/>
      <w:r>
        <w:rPr/>
        <w:t>7.2 Aufnahme der Tätigkeit</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79" w:name="__RefHeading___beendigung_oder_wechsel_d"/>
      <w:bookmarkStart w:id="80" w:name="beendigung_oder_wechsel_der_taetigkeit"/>
      <w:bookmarkEnd w:id="79"/>
      <w:r>
        <w:rPr/>
        <w:t>7.3 Beendigung oder Wechsel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1" w:name="__RefHeading___wissen_43"/>
      <w:bookmarkStart w:id="82" w:name="wissen"/>
      <w:bookmarkEnd w:id="81"/>
      <w:r>
        <w:rPr/>
        <w:t>8 Wissen</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3" w:name="__RefHeading___aktualitaet_des_wissens_4"/>
      <w:bookmarkStart w:id="84" w:name="aktualitaet_des_wissens"/>
      <w:bookmarkEnd w:id="83"/>
      <w:r>
        <w:rPr/>
        <w:t>8.1 Aktualität des Wissens</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5" w:name="__RefHeading___schulung_und_sensibilisie"/>
      <w:bookmarkStart w:id="86" w:name="schulung_und_sensibilisierung"/>
      <w:bookmarkEnd w:id="85"/>
      <w:r>
        <w:rPr/>
        <w:t>8.2 Schulung und Sensibilisierung</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7" w:name="__RefHeading___identifizieren_kritischer"/>
      <w:bookmarkStart w:id="88" w:name="identifizieren_kritischer_it-ressourcen"/>
      <w:bookmarkEnd w:id="87"/>
      <w:r>
        <w:rPr/>
        <w:t xml:space="preserve">9 </w:t>
      </w:r>
      <w:bookmarkEnd w:id="88"/>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9" w:name="__RefHeading___prozesse_47"/>
      <w:bookmarkStart w:id="90" w:name="prozesse"/>
      <w:bookmarkEnd w:id="89"/>
      <w:r>
        <w:rPr/>
        <w:t>9.1 Prozesse</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1" w:name="__RefHeading___prozesse_47_Copy_1"/>
      <w:bookmarkStart w:id="92" w:name="prozesse_Copy_1"/>
      <w:bookmarkEnd w:id="91"/>
      <w:r>
        <w:rPr/>
        <w:t>9.</w:t>
      </w:r>
      <w:r>
        <w:rPr/>
        <w:t>2</w:t>
      </w:r>
      <w:r>
        <w:rPr/>
        <w:t xml:space="preserve"> </w:t>
      </w:r>
      <w:bookmarkEnd w:id="92"/>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3" w:name="__RefHeading___informationen_48"/>
      <w:bookmarkStart w:id="94" w:name="informationen"/>
      <w:bookmarkEnd w:id="93"/>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5" w:name="__RefHeading___it-ressourcen_49"/>
      <w:bookmarkStart w:id="96" w:name="it-ressourcen"/>
      <w:bookmarkEnd w:id="95"/>
      <w:r>
        <w:rPr/>
        <w:t>9.</w:t>
      </w:r>
      <w:r>
        <w:rPr/>
        <w:t>4</w:t>
      </w:r>
      <w:r>
        <w:rPr/>
        <w:t xml:space="preserve"> Besonders schützenswerte IT-Ressourcen</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 IT-Resourcen sind eine Untermenge der wichtigen IT-Ressourcen.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7" w:name="__RefHeading___prozesse_47_Copy_1"/>
      <w:bookmarkStart w:id="98" w:name="prozesse_Copy_1"/>
      <w:bookmarkEnd w:id="97"/>
      <w:r>
        <w:rPr/>
        <w:t>9.</w:t>
      </w:r>
      <w:r>
        <w:rPr/>
        <w:t>5</w:t>
      </w:r>
      <w:r>
        <w:rPr/>
        <w:t xml:space="preserve"> </w:t>
      </w:r>
      <w:bookmarkEnd w:id="98"/>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9" w:name="__RefHeading___it-systeme_50_Copy_1"/>
      <w:bookmarkEnd w:id="99"/>
      <w:r>
        <w:rPr/>
        <w:t>N</w:t>
      </w:r>
      <w:bookmarkStart w:id="100" w:name="it-systeme_Copy_1"/>
      <w:r>
        <w:rPr/>
        <w:t xml:space="preserve">10 </w:t>
      </w:r>
      <w:bookmarkEnd w:id="100"/>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1" w:name="__RefHeading___inventarisierung_51_Copy_"/>
      <w:bookmarkEnd w:id="101"/>
      <w:r>
        <w:rPr/>
        <w:t>N</w:t>
      </w:r>
      <w:bookmarkStart w:id="102" w:name="inventarisierung_Copy_1"/>
      <w:r>
        <w:rPr/>
        <w:t xml:space="preserve">10.1 </w:t>
      </w:r>
      <w:bookmarkEnd w:id="102"/>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 xml:space="preserve">Maßnahmen für wichtige Informationen </w:t>
            </w:r>
            <w:r>
              <w:rPr/>
              <w:t>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3" w:name="__RefHeading___inventarisierung_51_Copy1"/>
      <w:bookmarkEnd w:id="103"/>
      <w:r>
        <w:rPr/>
        <w:t>N</w:t>
      </w:r>
      <w:bookmarkStart w:id="104" w:name="inventarisierung_Copy_1_Copy_1"/>
      <w:r>
        <w:rPr/>
        <w:t>10.</w:t>
      </w:r>
      <w:r>
        <w:rPr/>
        <w:t>2</w:t>
      </w:r>
      <w:r>
        <w:rPr/>
        <w:t xml:space="preserve"> </w:t>
      </w:r>
      <w:bookmarkEnd w:id="104"/>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5" w:name="__RefHeading___it-systeme_50"/>
      <w:bookmarkStart w:id="106" w:name="it-systeme"/>
      <w:bookmarkEnd w:id="105"/>
      <w:r>
        <w:rPr/>
        <w:t>10 IT-Systeme</w:t>
      </w:r>
      <w:bookmarkEnd w:id="1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7" w:name="__RefHeading___inventarisierung_51"/>
      <w:bookmarkStart w:id="108" w:name="inventarisierung"/>
      <w:bookmarkEnd w:id="107"/>
      <w:r>
        <w:rPr/>
        <w:t>10.1 Inventarisierung</w:t>
      </w:r>
      <w:bookmarkEnd w:id="1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9" w:name="__RefHeading___lebenszyklus_52"/>
      <w:bookmarkStart w:id="110" w:name="lebenszyklus"/>
      <w:bookmarkEnd w:id="109"/>
      <w:r>
        <w:rPr/>
        <w:t>10.2 Lebenszyklus</w:t>
      </w:r>
      <w:bookmarkEnd w:id="11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1" w:name="__RefHeading___inbetriebnahme_und_aender"/>
      <w:bookmarkStart w:id="112" w:name="inbetriebnahme_und_aenderung_Copy_1"/>
      <w:bookmarkEnd w:id="111"/>
      <w:r>
        <w:rPr/>
        <w:t>10.2.</w:t>
      </w:r>
      <w:r>
        <w:rPr/>
        <w:t>n1</w:t>
      </w:r>
      <w:r>
        <w:rPr/>
        <w:t xml:space="preserve"> </w:t>
      </w:r>
      <w:bookmarkEnd w:id="112"/>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3" w:name="__RefHeading___inbetriebnahme_und_aender"/>
      <w:bookmarkStart w:id="114" w:name="inbetriebnahme_und_aenderung"/>
      <w:bookmarkEnd w:id="113"/>
      <w:r>
        <w:rPr/>
        <w:t>10.2.1 Inbetriebnahme und Änderung</w:t>
      </w:r>
      <w:bookmarkEnd w:id="1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5" w:name="__RefHeading___ausmusterung_und_wiederve"/>
      <w:bookmarkStart w:id="116" w:name="ausmusterung_und_wiederverwendung"/>
      <w:bookmarkEnd w:id="115"/>
      <w:r>
        <w:rPr/>
        <w:t>10.2.2 Ausmusterung und Wiederverwendung</w:t>
      </w:r>
      <w:bookmarkEnd w:id="1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7" w:name="__RefHeading___basisschutz_55"/>
      <w:bookmarkStart w:id="118" w:name="basisschutz"/>
      <w:bookmarkEnd w:id="117"/>
      <w:r>
        <w:rPr/>
        <w:t>10.3 Basisschutz</w:t>
      </w:r>
      <w:bookmarkEnd w:id="11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9" w:name="__RefHeading___software_56"/>
      <w:bookmarkStart w:id="120" w:name="software"/>
      <w:bookmarkEnd w:id="119"/>
      <w:r>
        <w:rPr/>
        <w:t>10.3.1 Software</w:t>
      </w:r>
      <w:bookmarkEnd w:id="1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1" w:name="__RefHeading___beschraenkung_des_netzwer"/>
      <w:bookmarkStart w:id="122" w:name="beschraenkung_des_netzwerkverkehrs"/>
      <w:bookmarkEnd w:id="121"/>
      <w:r>
        <w:rPr/>
        <w:t>10.3.2 Beschränkung des Netzwerkverkehrs</w:t>
      </w:r>
      <w:bookmarkEnd w:id="1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3" w:name="__RefHeading___protokollierung_58"/>
      <w:bookmarkStart w:id="124" w:name="protokollierung"/>
      <w:bookmarkEnd w:id="123"/>
      <w:r>
        <w:rPr/>
        <w:t>10.3.3 Protokollierung</w:t>
      </w:r>
      <w:bookmarkEnd w:id="1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5" w:name="__RefHeading___externe_schnittstellen_un"/>
      <w:bookmarkStart w:id="126" w:name="externe_schnittstellen_und_laufwerke"/>
      <w:bookmarkEnd w:id="125"/>
      <w:r>
        <w:rPr/>
        <w:t>10.3.4 Externe Schnittstellen und Laufwerke</w:t>
      </w:r>
      <w:bookmarkEnd w:id="1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7" w:name="__RefHeading___schadsoftware_60"/>
      <w:bookmarkStart w:id="128" w:name="schadsoftware"/>
      <w:bookmarkEnd w:id="127"/>
      <w:r>
        <w:rPr/>
        <w:t>10.3.5 Schadsoftware</w:t>
      </w:r>
      <w:bookmarkEnd w:id="1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9" w:name="__RefHeading___starten_von_fremden_medie"/>
      <w:bookmarkStart w:id="130" w:name="starten_von_fremden_medien"/>
      <w:bookmarkEnd w:id="129"/>
      <w:r>
        <w:rPr/>
        <w:t>10.3.6 Starten von fremden Medien</w:t>
      </w:r>
      <w:bookmarkEnd w:id="1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1" w:name="__RefHeading___authentifizierung_62"/>
      <w:bookmarkStart w:id="132" w:name="authentifizierung"/>
      <w:bookmarkEnd w:id="131"/>
      <w:r>
        <w:rPr/>
        <w:t>10.3.7 Authentifizierung</w:t>
      </w:r>
      <w:bookmarkEnd w:id="13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3" w:name="__RefHeading___zugaenge_und_zugriffe_63"/>
      <w:bookmarkStart w:id="134" w:name="zugaenge_und_zugriffe"/>
      <w:bookmarkEnd w:id="133"/>
      <w:r>
        <w:rPr/>
        <w:t>10.3.8 Zugänge und Zugriffe</w:t>
      </w:r>
      <w:bookmarkEnd w:id="1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5" w:name="__RefHeading___zusaetzliche_massnahmen_f"/>
      <w:bookmarkStart w:id="136" w:name="zusaetzliche_massnahmen_fuer_mobile_it-s"/>
      <w:bookmarkEnd w:id="135"/>
      <w:r>
        <w:rPr/>
        <w:t>10.4 Zusätzliche Maßnahmen für mobile IT-Systeme</w:t>
      </w:r>
      <w:bookmarkEnd w:id="1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7" w:name="__RefHeading___is-richtlinie_65"/>
      <w:bookmarkStart w:id="138" w:name="is-richtlinie"/>
      <w:bookmarkEnd w:id="137"/>
      <w:r>
        <w:rPr/>
        <w:t>10.4.1 IS-Richtlinie</w:t>
      </w:r>
      <w:bookmarkEnd w:id="1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9" w:name="__RefHeading___schutz_der_informationen_"/>
      <w:bookmarkStart w:id="140" w:name="schutz_der_informationen"/>
      <w:bookmarkEnd w:id="139"/>
      <w:r>
        <w:rPr/>
        <w:t>10.4.2 Schutz der Informationen</w:t>
      </w:r>
      <w:bookmarkEnd w:id="1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1" w:name="__RefHeading___verlust_67"/>
      <w:bookmarkStart w:id="142" w:name="verlust"/>
      <w:bookmarkEnd w:id="141"/>
      <w:r>
        <w:rPr/>
        <w:t>10.4.3 Verlust</w:t>
      </w:r>
      <w:bookmarkEnd w:id="1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43" w:name="__RefHeading___zusaetzliche_massnahmen_1"/>
      <w:bookmarkStart w:id="144" w:name="zusaetzliche_massnahmen_fuer_kritische_i"/>
      <w:bookmarkEnd w:id="143"/>
      <w:r>
        <w:rPr/>
        <w:t>10.</w:t>
      </w:r>
      <w:r>
        <w:rPr/>
        <w:t>n1</w:t>
      </w:r>
      <w:r>
        <w:rPr/>
        <w:t xml:space="preserve"> Zusätzliche Maßnahmen für wichtige IT-Systeme</w:t>
      </w:r>
      <w:bookmarkEnd w:id="14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5" w:name="__RefHeading___zusaetzliche_massnahmen_2"/>
      <w:bookmarkStart w:id="146" w:name="zusaetzliche_massnahmen_fuer_kritische_1"/>
      <w:bookmarkEnd w:id="145"/>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47" w:name="__RefHeading___risikoanalyse_und_-behand"/>
      <w:bookmarkStart w:id="148" w:name="risikoanalyse_und_-behandlung"/>
      <w:bookmarkEnd w:id="147"/>
      <w:r>
        <w:rPr>
          <w:strike/>
        </w:rPr>
        <w:t>10.5.1 Risikoanalyse und behandlung</w:t>
      </w:r>
      <w:bookmarkEnd w:id="148"/>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9" w:name="__RefHeading___notbetriebsniveau_70"/>
      <w:bookmarkStart w:id="150" w:name="notbetriebsniveau"/>
      <w:bookmarkEnd w:id="149"/>
      <w:r>
        <w:rPr/>
        <w:t>10.5.2 Notbetriebsniveau</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1" w:name="__RefHeading___robustheit_71"/>
      <w:bookmarkStart w:id="152" w:name="robustheit"/>
      <w:bookmarkEnd w:id="151"/>
      <w:r>
        <w:rPr/>
        <w:t>10.5.3 Robustheit</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3" w:name="__RefHeading___externe_schnittstellen_u1"/>
      <w:bookmarkStart w:id="154" w:name="externe_schnittstellen_und_laufwerke1"/>
      <w:bookmarkEnd w:id="153"/>
      <w:r>
        <w:rPr/>
        <w:t>10.5.4 Externe Schnittstellen und Laufwerke</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5" w:name="__RefHeading___aenderungsmanagement_73"/>
      <w:bookmarkStart w:id="156" w:name="aenderungsmanagement"/>
      <w:bookmarkEnd w:id="155"/>
      <w:r>
        <w:rPr/>
        <w:t>10.5.5 Änderungsmanagement</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7" w:name="__RefHeading___dokumentation_74"/>
      <w:bookmarkStart w:id="158" w:name="dokumentation"/>
      <w:bookmarkEnd w:id="157"/>
      <w:r>
        <w:rPr/>
        <w:t>10.5.6 Dokumentation</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9" w:name="__RefHeading___datensicherung_75"/>
      <w:bookmarkStart w:id="160" w:name="datensicherung"/>
      <w:bookmarkEnd w:id="159"/>
      <w:r>
        <w:rPr/>
        <w:t>10.5.7 Datensicherung</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1" w:name="__RefHeading___ueberwachung_76"/>
      <w:bookmarkStart w:id="162" w:name="ueberwachung"/>
      <w:bookmarkEnd w:id="161"/>
      <w:r>
        <w:rPr/>
        <w:t>10.5.8 Überwachung</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3" w:name="__RefHeading___ersatzsysteme_und_-verfah"/>
      <w:bookmarkStart w:id="164" w:name="ersatzsysteme_und_-verfahren"/>
      <w:bookmarkEnd w:id="163"/>
      <w:r>
        <w:rPr/>
        <w:t>10.5.9 Ersatzsysteme und -verfahren</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5" w:name="__RefHeading___kritische_individualsoftw"/>
      <w:bookmarkStart w:id="166" w:name="kritische_individualsoftware"/>
      <w:bookmarkEnd w:id="165"/>
      <w:r>
        <w:rPr/>
        <w:t>10.5.10 Besonders schützenswerte Individualsoftware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7" w:name="__RefHeading___netzwerke_und_verbindunge"/>
      <w:bookmarkStart w:id="168" w:name="netzwerke_und_verbindungen"/>
      <w:bookmarkEnd w:id="167"/>
      <w:r>
        <w:rPr/>
        <w:t>11 Netzwerke und Verbindungen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9" w:name="__RefHeading___netzwerkplan_80"/>
      <w:bookmarkStart w:id="170" w:name="netzwerkplan"/>
      <w:bookmarkEnd w:id="169"/>
      <w:r>
        <w:rPr/>
        <w:t>11.1 Netzwerkplan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1" w:name="__RefHeading___aktive_netzwerkkomponente"/>
      <w:bookmarkStart w:id="172" w:name="aktive_netzwerkkomponenten"/>
      <w:bookmarkEnd w:id="171"/>
      <w:r>
        <w:rPr/>
        <w:t>11.2 Aktive Netzwerkkomponenten</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3" w:name="__RefHeading___netzuebergaenge_82"/>
      <w:bookmarkStart w:id="174" w:name="netzuebergaenge"/>
      <w:bookmarkEnd w:id="173"/>
      <w:r>
        <w:rPr/>
        <w:t>11.3 Netzübergänge</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5" w:name="__RefHeading___basisschutz_83"/>
      <w:bookmarkStart w:id="176" w:name="basisschutz1"/>
      <w:bookmarkEnd w:id="175"/>
      <w:r>
        <w:rPr/>
        <w:t>11.4 Basisschutz</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7" w:name="__RefHeading___netzwerkanschluesse_84"/>
      <w:bookmarkStart w:id="178" w:name="netzwerkanschluesse"/>
      <w:bookmarkEnd w:id="177"/>
      <w:r>
        <w:rPr/>
        <w:t>11.4.1 Netzwerkanschlüsse</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9" w:name="__RefHeading___segmentierung_85"/>
      <w:bookmarkStart w:id="180" w:name="segmentierung"/>
      <w:bookmarkEnd w:id="179"/>
      <w:r>
        <w:rPr/>
        <w:t>11.4.2 Segmentierung</w:t>
      </w:r>
      <w:bookmarkEnd w:id="180"/>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1" w:name="__RefHeading___fernzugang_86"/>
      <w:bookmarkStart w:id="182" w:name="fernzugang"/>
      <w:bookmarkEnd w:id="181"/>
      <w:r>
        <w:rPr/>
        <w:t>11.4.3 Fernzugang</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3" w:name="__RefHeading___netzwerkkopplung_87"/>
      <w:bookmarkStart w:id="184" w:name="netzwerkkopplung"/>
      <w:bookmarkEnd w:id="183"/>
      <w:r>
        <w:rPr/>
        <w:t>11.4.4 Netzwerkkopplung</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5" w:name="__RefHeading___zusaetzliche_massnahmen_9"/>
      <w:bookmarkStart w:id="186" w:name="zusaetzliche_massnahmen_fuer_kritische_v"/>
      <w:bookmarkEnd w:id="185"/>
      <w:r>
        <w:rPr/>
        <w:t>11.5 Zusätzliche Maßnahmen für wichtige Verbindungen</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7" w:name="__RefHeading___mobile_datentraeger_89"/>
      <w:bookmarkStart w:id="188" w:name="mobile_datentraeger"/>
      <w:bookmarkEnd w:id="187"/>
      <w:r>
        <w:rPr/>
        <w:t>12 Mobile Datenträger</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9" w:name="__RefHeading___is-richtlinie_90"/>
      <w:bookmarkStart w:id="190" w:name="is-richtlinie1"/>
      <w:bookmarkEnd w:id="189"/>
      <w:r>
        <w:rPr/>
        <w:t>12.1 IS-Richtlinie</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1" w:name="__RefHeading___schutz_der_informationen1"/>
      <w:bookmarkStart w:id="192" w:name="schutz_der_informationen1"/>
      <w:bookmarkEnd w:id="191"/>
      <w:r>
        <w:rPr/>
        <w:t>12.2 Schutz der Informationen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3" w:name="__RefHeading___zusaetzliche_massnahmen_3"/>
      <w:bookmarkStart w:id="194" w:name="zusaetzliche_massnahmen_fuer_kritische_m"/>
      <w:bookmarkEnd w:id="193"/>
      <w:r>
        <w:rPr/>
        <w:t>12.3 Zusätzliche Maßnahmen für wichtige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5" w:name="__RefHeading___umgebung_93"/>
      <w:bookmarkStart w:id="196" w:name="umgebung"/>
      <w:bookmarkEnd w:id="195"/>
      <w:r>
        <w:rPr/>
        <w:t>13 Umgebung</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7" w:name="__RefHeading___server_aktive_netzwerkkom"/>
      <w:bookmarkStart w:id="198" w:name="server_aktive_netzwerkkomponenten_und_ne"/>
      <w:bookmarkEnd w:id="197"/>
      <w:r>
        <w:rPr/>
        <w:t>13.1 Server, aktive Netzwerkkomponenten und Netzwerkverteilstellen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9" w:name="__RefHeading___datenleitungen_95"/>
      <w:bookmarkStart w:id="200" w:name="datenleitungen"/>
      <w:bookmarkEnd w:id="199"/>
      <w:r>
        <w:rPr/>
        <w:t>13.2 Datenleitungen</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1" w:name="__RefHeading___zusaetzliche_massnahmen_4"/>
      <w:bookmarkStart w:id="202" w:name="zusaetzliche_massnahmen_fuer_kritische_2"/>
      <w:bookmarkEnd w:id="201"/>
      <w:r>
        <w:rPr/>
        <w:t>13.3 Zusätzliche Maßnahmen für wichtigen IT-Systeme</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3" w:name="__RefHeading___it-outsourcing_und_cloud_"/>
      <w:bookmarkStart w:id="204" w:name="it-outsourcing_und_cloud_computing"/>
      <w:bookmarkEnd w:id="203"/>
      <w:r>
        <w:rPr/>
        <w:t>14 IT-Outsourcing und Cloud Computing</w:t>
      </w:r>
      <w:bookmarkEnd w:id="20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5" w:name="__RefHeading___is-richtlinie_98"/>
      <w:bookmarkStart w:id="206" w:name="is-richtlinie2"/>
      <w:bookmarkEnd w:id="205"/>
      <w:r>
        <w:rPr/>
        <w:t>14.1 IS-Richtlinie</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7" w:name="__RefHeading___vorbereitung_99"/>
      <w:bookmarkStart w:id="208" w:name="vorbereitung"/>
      <w:bookmarkEnd w:id="207"/>
      <w:r>
        <w:rPr/>
        <w:t>14.2 Vorbereitung</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9" w:name="__RefHeading___vertragsgestaltung_100"/>
      <w:bookmarkStart w:id="210" w:name="vertragsgestaltung"/>
      <w:bookmarkEnd w:id="209"/>
      <w:r>
        <w:rPr/>
        <w:t>14.3 Vertragsgestaltung</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1" w:name="__RefHeading___zusaetzliche_massnahmen_5"/>
      <w:bookmarkStart w:id="212" w:name="zusaetzliche_massnahmen_fuer_kritische_3"/>
      <w:bookmarkEnd w:id="211"/>
      <w:r>
        <w:rPr/>
        <w:t xml:space="preserve">14.4 Zusätzliche Maßnahmen für </w:t>
      </w:r>
      <w:r>
        <w:rPr/>
        <w:t>wichtige</w:t>
      </w:r>
      <w:r>
        <w:rPr/>
        <w:t xml:space="preserve"> IT-Ressourcen</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3" w:name="__RefHeading___zugaenge_und_zugriffsrech"/>
      <w:bookmarkStart w:id="214" w:name="zugaenge_und_zugriffsrechte"/>
      <w:bookmarkEnd w:id="213"/>
      <w:r>
        <w:rPr/>
        <w:t>15 Zugänge und Zugriffsrechte</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5" w:name="__RefHeading___verwaltung_103"/>
      <w:bookmarkStart w:id="216" w:name="verwaltung"/>
      <w:bookmarkEnd w:id="215"/>
      <w:r>
        <w:rPr/>
        <w:t>15.1 Verwaltung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6"/>
      <w:bookmarkStart w:id="218" w:name="zusaetzliche_massnahmen_fuer_kritische_3"/>
      <w:bookmarkEnd w:id="217"/>
      <w:r>
        <w:rPr/>
        <w:t>15.2 Zusätzliche Maßnahmen für besonders schützenswerte IT-Systeme und Informationen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9" w:name="__RefHeading___datensicherung_und_archiv"/>
      <w:bookmarkStart w:id="220" w:name="datensicherung_und_archivierung"/>
      <w:bookmarkEnd w:id="219"/>
      <w:r>
        <w:rPr/>
        <w:t>16 Datensicherung und Archivierung</w:t>
      </w:r>
      <w:bookmarkEnd w:id="22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1" w:name="__RefHeading___is-richtlinie_106"/>
      <w:bookmarkStart w:id="222" w:name="is-richtlinie3"/>
      <w:bookmarkEnd w:id="221"/>
      <w:r>
        <w:rPr/>
        <w:t>16.1 IS-Richtlinie</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3" w:name="__RefHeading___archivierung_107"/>
      <w:bookmarkStart w:id="224" w:name="archivierung"/>
      <w:bookmarkEnd w:id="223"/>
      <w:r>
        <w:rPr/>
        <w:t>16.2 Archivierung</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5" w:name="__RefHeading___verfahren_108"/>
      <w:bookmarkStart w:id="226" w:name="verfahren"/>
      <w:bookmarkEnd w:id="225"/>
      <w:r>
        <w:rPr/>
        <w:t>16.3 Verfahren</w:t>
      </w:r>
      <w:bookmarkEnd w:id="22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7" w:name="__RefHeading___weiterentwicklung_112"/>
      <w:bookmarkStart w:id="228" w:name="weiterentwicklung"/>
      <w:bookmarkEnd w:id="227"/>
      <w:r>
        <w:rPr/>
        <w:t>16.4 Weiterentwicklung</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9" w:name="__RefHeading___basisschutz_113"/>
      <w:bookmarkStart w:id="230" w:name="basisschutz2"/>
      <w:bookmarkEnd w:id="229"/>
      <w:r>
        <w:rPr/>
        <w:t>16.5 Basisschutz</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1" w:name="__RefHeading___is-richtlinie_106_Copy_1_"/>
      <w:bookmarkStart w:id="232" w:name="is-richtlinie3_Copy_1"/>
      <w:bookmarkEnd w:id="231"/>
      <w:r>
        <w:rPr/>
        <w:t>16.</w:t>
      </w:r>
      <w:r>
        <w:rPr/>
        <w:t>5.n1</w:t>
      </w:r>
      <w:r>
        <w:rPr/>
        <w:t xml:space="preserve"> I</w:t>
      </w:r>
      <w:bookmarkEnd w:id="232"/>
      <w:r>
        <w:rPr/>
        <w:t xml:space="preserve">T-Systeme </w:t>
      </w:r>
      <w:r>
        <w:rPr/>
        <w:t>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3" w:name="__RefHeading___speicherorte_114"/>
      <w:bookmarkStart w:id="234" w:name="speicherorte"/>
      <w:bookmarkEnd w:id="233"/>
      <w:r>
        <w:rPr/>
        <w:t>16.5.1 Speicherorte</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5" w:name="__RefHeading___server_115"/>
      <w:bookmarkStart w:id="236" w:name="server"/>
      <w:bookmarkEnd w:id="235"/>
      <w:r>
        <w:rPr/>
        <w:t>16.5.2 Server</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7" w:name="__RefHeading___aktive_netzwerkkomponent1"/>
      <w:bookmarkStart w:id="238" w:name="aktive_netzwerkkomponenten1"/>
      <w:bookmarkEnd w:id="237"/>
      <w:r>
        <w:rPr/>
        <w:t>16.5.3 Aktive Netzwerkkomponenten</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9" w:name="__RefHeading___mobile_it-systeme_117"/>
      <w:bookmarkStart w:id="240" w:name="mobile_it-systeme"/>
      <w:bookmarkEnd w:id="239"/>
      <w:r>
        <w:rPr/>
        <w:t>16.5.4 Mobile IT-Systeme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1" w:name="__RefHeading___zusaetzliche_massnahmen_7"/>
      <w:bookmarkStart w:id="242" w:name="zusaetzliche_massnahmen_fuer_kritische_4"/>
      <w:bookmarkEnd w:id="241"/>
      <w:r>
        <w:rPr/>
        <w:t>16.6 Zusätzliche Maßnahmen für wichtige IT-Systeme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3" w:name="__RefHeading___risikoanalyse_119"/>
      <w:bookmarkStart w:id="244" w:name="risikoanalyse"/>
      <w:bookmarkEnd w:id="243"/>
      <w:r>
        <w:rPr/>
        <w:t>16.6.1 Risikoanalyse</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5" w:name="__RefHeading___verfahren_120"/>
      <w:bookmarkStart w:id="246" w:name="verfahren1"/>
      <w:bookmarkEnd w:id="245"/>
      <w:r>
        <w:rPr/>
        <w:t>16.6.2 Verfahren</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7" w:name="__RefHeading___stoerungen_und_ausfaelle_"/>
      <w:bookmarkStart w:id="248" w:name="stoerungen_und_ausfaelle"/>
      <w:bookmarkEnd w:id="247"/>
      <w:r>
        <w:rPr/>
        <w:t xml:space="preserve">17 </w:t>
      </w:r>
      <w:bookmarkEnd w:id="248"/>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9" w:name="__RefHeading___is-richtlinie_122"/>
      <w:bookmarkStart w:id="250" w:name="is-richtlinie4"/>
      <w:bookmarkEnd w:id="249"/>
      <w:r>
        <w:rPr/>
        <w:t>17.1 IS-Richtlinie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 xml:space="preserve">„erheblicher Sicherheitsvorfall“ in Kap. 3 aufnehmen. </w:t>
            </w:r>
            <w:r>
              <w:rPr>
                <w:rFonts w:eastAsia="Bitstream Vera Sans" w:cs="Bitstream Vera Sans"/>
                <w:color w:val="auto"/>
                <w:kern w:val="0"/>
                <w:sz w:val="20"/>
                <w:szCs w:val="24"/>
                <w:lang w:val="de-DE" w:eastAsia="en-US" w:bidi="en-US"/>
              </w:rPr>
              <w:t>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1" w:name="__RefHeading___erkennen_129_Copy_1"/>
      <w:bookmarkStart w:id="252" w:name="erkennen_Copy_1"/>
      <w:bookmarkEnd w:id="251"/>
      <w:r>
        <w:rPr/>
        <w:t>17.2 Erkennen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w:t>
            </w:r>
            <w:r>
              <w:rPr/>
              <w:t xml:space="preserve">Sind diese Anforderungen </w:t>
            </w:r>
            <w:r>
              <w:rPr/>
              <w:t>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3" w:name="__RefHeading___reaktion_123"/>
      <w:bookmarkStart w:id="254" w:name="reaktion"/>
      <w:bookmarkEnd w:id="253"/>
      <w:r>
        <w:rPr/>
        <w:t>17.3 Reaktion</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5" w:name="__RefHeading___zusaetzliche_massnahmen_8"/>
      <w:bookmarkStart w:id="256" w:name="zusaetzliche_massnahmen_fuer_kritische_5"/>
      <w:bookmarkEnd w:id="255"/>
      <w:r>
        <w:rPr/>
        <w:t>17.4 Zusätzliche Maßnahmen für kritische IT-Systeme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7" w:name="__RefHeading___wiederanlaufplaene_125"/>
      <w:bookmarkStart w:id="258" w:name="wiederanlaufplaene"/>
      <w:bookmarkEnd w:id="257"/>
      <w:r>
        <w:rPr/>
        <w:t>17.4.1 Wiederanlaufpläne</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59" w:name="__RefHeading___abhaengigkeiten_126"/>
      <w:bookmarkStart w:id="260" w:name="abhaengigkeiten"/>
      <w:bookmarkEnd w:id="259"/>
      <w:r>
        <w:rPr/>
        <w:t>17.4.2 Abhängigkeiten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61" w:name="__RefHeading___anhang_a_131"/>
      <w:bookmarkStart w:id="262" w:name="anhang_a"/>
      <w:bookmarkEnd w:id="261"/>
      <w:r>
        <w:rPr/>
        <w:t>Anhang A</w:t>
      </w:r>
      <w:bookmarkEnd w:id="262"/>
    </w:p>
    <w:p>
      <w:pPr>
        <w:pStyle w:val="Heading2"/>
        <w:numPr>
          <w:ilvl w:val="1"/>
          <w:numId w:val="1"/>
        </w:numPr>
        <w:tabs>
          <w:tab w:val="clear" w:pos="709"/>
          <w:tab w:val="left" w:pos="0" w:leader="none"/>
        </w:tabs>
        <w:bidi w:val="0"/>
        <w:ind w:hanging="0" w:start="0"/>
        <w:jc w:val="start"/>
        <w:rPr/>
      </w:pPr>
      <w:bookmarkStart w:id="263" w:name="__RefHeading___a_1_verfahren_132"/>
      <w:bookmarkStart w:id="264" w:name="a_1_verfahren"/>
      <w:bookmarkEnd w:id="263"/>
      <w:r>
        <w:rPr/>
        <w:t>A 1 Verfahren</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 xml:space="preserve">Zusätzlich SOLLTE definiert werden, wer </w:t>
            </w:r>
            <w:r>
              <w:rPr>
                <w:i/>
                <w:iCs/>
              </w:rPr>
              <w:t>für seine</w:t>
            </w:r>
            <w:r>
              <w:rPr>
                <w:i/>
                <w:iCs/>
              </w:rPr>
              <w:t xml:space="preserve"> </w:t>
            </w:r>
            <w:r>
              <w:rPr>
                <w:i/>
                <w:iCs/>
              </w:rPr>
              <w:t xml:space="preserve">Etablierung </w:t>
            </w:r>
            <w:r>
              <w:rPr>
                <w:i/>
                <w:iCs/>
              </w:rPr>
              <w:t xml:space="preserve">in die Strukturen, und Arbeitsabläufe der Organisation </w:t>
            </w:r>
            <w:r>
              <w:rPr>
                <w:i/>
                <w:iCs/>
              </w:rPr>
              <w:t>verantwortlich ist</w:t>
            </w:r>
            <w:r>
              <w:rPr>
                <w:i/>
                <w:iCs/>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10k?</w:t>
            </w:r>
          </w:p>
          <w:p>
            <w:pPr>
              <w:pStyle w:val="TableContents"/>
              <w:bidi w:val="0"/>
              <w:jc w:val="start"/>
              <w:rPr/>
            </w:pPr>
            <w:r>
              <w:rPr/>
              <w:t>- Sinnvoll für die VdS 10100?</w:t>
            </w:r>
          </w:p>
          <w:p>
            <w:pPr>
              <w:pStyle w:val="TableContents"/>
              <w:bidi w:val="0"/>
              <w:jc w:val="start"/>
              <w:rPr/>
            </w:pPr>
            <w:r>
              <w:rPr/>
              <w:t>- SOLLTE oder MUSS)?</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5" w:name="__RefHeading___a_2_risikoanalyse_und_-be"/>
      <w:bookmarkStart w:id="266" w:name="a_2_risikoanalyse_und_-behandlung"/>
      <w:bookmarkEnd w:id="265"/>
      <w:r>
        <w:rPr/>
        <w:t>A 2 Risiko</w:t>
      </w:r>
      <w:bookmarkEnd w:id="266"/>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7" w:name="__RefHeading___a_2.1_risikoanalyse_134_C"/>
      <w:bookmarkStart w:id="268" w:name="a_2.1_risikoanalyse_Copy_1"/>
      <w:bookmarkEnd w:id="267"/>
      <w:r>
        <w:rPr/>
        <w:t xml:space="preserve">A 2.1 </w:t>
      </w:r>
      <w:bookmarkEnd w:id="268"/>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9" w:name="__RefHeading___a_2.1_risikoanalyse_134"/>
      <w:bookmarkStart w:id="270" w:name="a_2.1_risikoanalyse"/>
      <w:bookmarkEnd w:id="269"/>
      <w:r>
        <w:rPr/>
        <w:t>A 2.2 Risikoanalyse</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1" w:name="__RefHeading___a_2.2_risikobehandlung_13"/>
      <w:bookmarkStart w:id="272" w:name="a_2.2_risikobehandlung"/>
      <w:bookmarkEnd w:id="271"/>
      <w:r>
        <w:rPr/>
        <w:t>A 2.3 Risikobehandlung</w:t>
      </w:r>
      <w:bookmarkEnd w:id="2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3" w:name="__RefHeading___a_2.3_wiederholung_und_an"/>
      <w:bookmarkStart w:id="274" w:name="a_2.3_wiederholung_und_anpassung"/>
      <w:bookmarkEnd w:id="273"/>
      <w:r>
        <w:rPr/>
        <w:t>A 2.4 Wiederholung und Anpassung</w:t>
      </w:r>
      <w:bookmarkEnd w:id="2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5" w:name="__RefHeading___a_2.3_wiederholung_und_a1"/>
      <w:bookmarkStart w:id="276" w:name="a_2.3_wiederholung_und_anpassung_Copy_1_"/>
      <w:bookmarkEnd w:id="275"/>
      <w:r>
        <w:rPr/>
        <w:t xml:space="preserve">A 2.5 </w:t>
      </w:r>
      <w:bookmarkEnd w:id="276"/>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8</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8</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8099</TotalTime>
  <Application>LibreOffice/24.2.4.2$Linux_X86_64 LibreOffice_project/51a6219feb6075d9a4c46691dcfe0cd9c4fff3c2</Application>
  <AppVersion>15.0000</AppVersion>
  <Pages>91</Pages>
  <Words>22559</Words>
  <Characters>152386</Characters>
  <CharactersWithSpaces>171696</CharactersWithSpaces>
  <Paragraphs>3248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2024-07-02T15:56:07Z</cp:lastPrinted>
  <dcterms:modified xsi:type="dcterms:W3CDTF">2024-07-02T15:56:25Z</dcterms:modified>
  <cp:revision>160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