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10.odttf" ContentType="application/vnd.openxmlformats-officedocument.obfuscatedFont"/>
  <Override PartName="/word/fonts/font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11.odttf" ContentType="application/vnd.openxmlformats-officedocument.obfuscatedFont"/>
  <Override PartName="/word/fonts/font5.odttf" ContentType="application/vnd.openxmlformats-officedocument.obfuscatedFont"/>
  <Override PartName="/word/fonts/font12.odttf" ContentType="application/vnd.openxmlformats-officedocument.obfuscatedFont"/>
  <Override PartName="/word/fonts/font6.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p>
            <w:pPr>
              <w:pStyle w:val="Normal"/>
              <w:bidi w:val="0"/>
              <w:jc w:val="start"/>
              <w:rPr/>
            </w:pPr>
            <w:r>
              <w:rPr/>
            </w:r>
          </w:p>
        </w:tc>
      </w:tr>
    </w:tbl>
    <w:p>
      <w:pPr>
        <w:pStyle w:val="Heading1"/>
        <w:numPr>
          <w:ilvl w:val="0"/>
          <w:numId w:val="0"/>
        </w:numPr>
        <w:tabs>
          <w:tab w:val="clear" w:pos="709"/>
          <w:tab w:val="left" w:pos="0" w:leader="none"/>
        </w:tabs>
        <w:bidi w:val="0"/>
        <w:ind w:hanging="0" w:start="0"/>
        <w:jc w:val="start"/>
        <w:rPr/>
      </w:pPr>
      <w:bookmarkStart w:id="0" w:name="__RefHeading___Toc10679_2312135153"/>
      <w:bookmarkEnd w:id="0"/>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Klasse („wichtige Teile der IT-Infrastruktur“).</w:t>
      </w:r>
    </w:p>
    <w:p>
      <w:pPr>
        <w:pStyle w:val="Normal"/>
        <w:bidi w:val="0"/>
        <w:jc w:val="center"/>
        <w:rPr>
          <w:rFonts w:eastAsia="Bitstream Vera Sans" w:cs="Bitstream Vera Sans"/>
          <w:color w:val="auto"/>
          <w:kern w:val="0"/>
          <w:sz w:val="20"/>
          <w:szCs w:val="24"/>
          <w:lang w:val="de-DE" w:eastAsia="en-US" w:bidi="en-US"/>
        </w:rPr>
      </w:pPr>
      <w:r>
        <w:rPr/>
      </w:r>
      <w:r>
        <w:br w:type="page"/>
      </w:r>
    </w:p>
    <w:p>
      <w:pPr>
        <w:pStyle w:val="BodyText"/>
        <w:rPr>
          <w:ins w:id="1" w:author="Mark Semmler" w:date="2024-06-27T12:07:36Z"/>
        </w:rPr>
      </w:pPr>
      <w:ins w:id="0" w:author="Mark Semmler" w:date="2024-06-27T12:07:36Z">
        <w:r>
          <w:rPr/>
        </w:r>
      </w:ins>
    </w:p>
    <w:p>
      <w:pPr>
        <w:pStyle w:val="Normal"/>
        <w:bidi w:val="0"/>
        <w:jc w:val="center"/>
        <w:rPr/>
      </w:pPr>
      <w:r>
        <w:rPr/>
        <w:drawing>
          <wp:inline distT="0" distB="0" distL="0" distR="0">
            <wp:extent cx="5870575" cy="4947920"/>
            <wp:effectExtent l="0" t="0" r="0" b="0"/>
            <wp:docPr id="2" name="Image3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descr="" title=""/>
                    <pic:cNvPicPr>
                      <a:picLocks noChangeAspect="1" noChangeArrowheads="1"/>
                    </pic:cNvPicPr>
                  </pic:nvPicPr>
                  <pic:blipFill>
                    <a:blip r:embed="rId3"/>
                    <a:stretch>
                      <a:fillRect/>
                    </a:stretch>
                  </pic:blipFill>
                  <pic:spPr bwMode="auto">
                    <a:xfrm>
                      <a:off x="0" y="0"/>
                      <a:ext cx="5870575" cy="4947920"/>
                    </a:xfrm>
                    <a:prstGeom prst="rect">
                      <a:avLst/>
                    </a:prstGeom>
                  </pic:spPr>
                </pic:pic>
              </a:graphicData>
            </a:graphic>
          </wp:inline>
        </w:drawing>
      </w:r>
      <w:r>
        <w:br w:type="page"/>
      </w:r>
    </w:p>
    <w:p>
      <w:pPr>
        <w:pStyle w:val="Normal"/>
        <w:bidi w:val="0"/>
        <w:jc w:val="center"/>
        <w:rPr/>
      </w:pPr>
      <w:r>
        <w:rPr/>
        <w:drawing>
          <wp:inline distT="0" distB="0" distL="0" distR="0">
            <wp:extent cx="9972040" cy="5046980"/>
            <wp:effectExtent l="0" t="0" r="0" b="0"/>
            <wp:docPr id="3"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title=""/>
                    <pic:cNvPicPr>
                      <a:picLocks noChangeAspect="1" noChangeArrowheads="1"/>
                    </pic:cNvPicPr>
                  </pic:nvPicPr>
                  <pic:blipFill>
                    <a:blip r:embed="rId4"/>
                    <a:stretch>
                      <a:fillRect/>
                    </a:stretch>
                  </pic:blipFill>
                  <pic:spPr bwMode="auto">
                    <a:xfrm>
                      <a:off x="0" y="0"/>
                      <a:ext cx="9972040" cy="5046980"/>
                    </a:xfrm>
                    <a:prstGeom prst="rect">
                      <a:avLst/>
                    </a:prstGeom>
                  </pic:spPr>
                </pic:pic>
              </a:graphicData>
            </a:graphic>
          </wp:inline>
        </w:drawing>
      </w:r>
      <w:r>
        <w:br w:type="page"/>
      </w:r>
    </w:p>
    <w:p>
      <w:pPr>
        <w:pStyle w:val="Normal"/>
        <w:bidi w:val="0"/>
        <w:jc w:val="center"/>
        <w:rPr/>
      </w:pPr>
      <w:r>
        <w:rPr/>
      </w:r>
    </w:p>
    <w:p>
      <w:pPr>
        <w:pStyle w:val="Heading1"/>
        <w:numPr>
          <w:ilvl w:val="0"/>
          <w:numId w:val="0"/>
        </w:numPr>
        <w:tabs>
          <w:tab w:val="clear" w:pos="709"/>
          <w:tab w:val="left" w:pos="0" w:leader="none"/>
        </w:tabs>
        <w:bidi w:val="0"/>
        <w:ind w:hanging="0" w:start="0"/>
        <w:jc w:val="start"/>
        <w:rPr/>
      </w:pPr>
      <w:bookmarkStart w:id="1" w:name="__RefHeading___vorlage_fuer_assessment_d"/>
      <w:bookmarkStart w:id="2" w:name="vorlage_fuer_assessment_der_vds_10000_in"/>
      <w:bookmarkStart w:id="3" w:name="trainings%25252525252525252525253Asem-2t"/>
      <w:bookmarkEnd w:id="1"/>
      <w:bookmarkEnd w:id="3"/>
      <w:r>
        <w:rPr/>
        <w:t>V</w:t>
      </w:r>
      <w:bookmarkEnd w:id="2"/>
      <w:r>
        <w:rPr/>
        <w:t>dS 10100, Version 0.1.</w:t>
      </w:r>
      <w:r>
        <w:rPr/>
        <w:t>1</w:t>
      </w:r>
      <w:r>
        <w:rPr/>
        <w:t xml:space="preserve"> vom 2</w:t>
      </w:r>
      <w:r>
        <w:rPr/>
        <w:t>7</w:t>
      </w:r>
      <w:r>
        <w:rPr/>
        <w:t>.06.2024</w:t>
      </w:r>
    </w:p>
    <w:p>
      <w:pPr>
        <w:pStyle w:val="Heading4"/>
        <w:numPr>
          <w:ilvl w:val="0"/>
          <w:numId w:val="0"/>
        </w:numPr>
        <w:tabs>
          <w:tab w:val="clear" w:pos="709"/>
          <w:tab w:val="left" w:pos="0" w:leader="none"/>
        </w:tabs>
        <w:bidi w:val="0"/>
        <w:ind w:hanging="0" w:start="0"/>
        <w:jc w:val="start"/>
        <w:rPr/>
      </w:pPr>
      <w:bookmarkStart w:id="4" w:name="__RefHeading___vds-richtlinien_fuer_die_"/>
      <w:bookmarkStart w:id="5" w:name="vds-richtlinien_fuer_die_informationsver"/>
      <w:bookmarkEnd w:id="4"/>
      <w:r>
        <w:rPr/>
        <w:t>0 VdS-Richtlinien für die Informationsverarbeitung</w:t>
      </w:r>
      <w:bookmarkEnd w:id="5"/>
    </w:p>
    <w:p>
      <w:pPr>
        <w:pStyle w:val="Heading1"/>
        <w:numPr>
          <w:ilvl w:val="0"/>
          <w:numId w:val="0"/>
        </w:numPr>
        <w:tabs>
          <w:tab w:val="clear" w:pos="709"/>
          <w:tab w:val="left" w:pos="0" w:leader="none"/>
        </w:tabs>
        <w:bidi w:val="0"/>
        <w:ind w:hanging="0" w:start="0"/>
        <w:jc w:val="start"/>
        <w:rPr/>
      </w:pPr>
      <w:bookmarkStart w:id="6" w:name="__RefHeading___informationssicherheitsma"/>
      <w:bookmarkEnd w:id="6"/>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0679_2312135153">
            <w:r>
              <w:rPr>
                <w:rStyle w:val="IndexLink"/>
              </w:rPr>
              <w:t>Vorbemerkung:</w:t>
              <w:tab/>
              <w:t>1</w:t>
            </w:r>
          </w:hyperlink>
        </w:p>
        <w:p>
          <w:pPr>
            <w:pStyle w:val="TOC1"/>
            <w:rPr/>
          </w:pPr>
          <w:hyperlink w:anchor="__RefHeading___vorlage_fuer_assessment_d">
            <w:r>
              <w:rPr>
                <w:rStyle w:val="IndexLink"/>
              </w:rPr>
              <w:t>VdS 10100, Version 0.1.1 vom 24.06.2024</w:t>
              <w:tab/>
              <w:t>5</w:t>
            </w:r>
          </w:hyperlink>
        </w:p>
        <w:p>
          <w:pPr>
            <w:pStyle w:val="TOC4"/>
            <w:rPr/>
          </w:pPr>
          <w:hyperlink w:anchor="__RefHeading___vds-richtlinien_fuer_die_">
            <w:r>
              <w:rPr>
                <w:rStyle w:val="IndexLink"/>
              </w:rPr>
              <w:t>0 VdS-Richtlinien für die Informationsverarbeitung</w:t>
              <w:tab/>
              <w:t>5</w:t>
            </w:r>
          </w:hyperlink>
        </w:p>
        <w:p>
          <w:pPr>
            <w:pStyle w:val="TOC1"/>
            <w:rPr/>
          </w:pPr>
          <w:hyperlink w:anchor="__RefHeading___informationssicherheitsma">
            <w:r>
              <w:rPr>
                <w:rStyle w:val="IndexLink"/>
              </w:rPr>
              <w:t>Strukturierte Informationssicherheit gemäß NIS2</w:t>
              <w:tab/>
              <w:t>5</w:t>
            </w:r>
          </w:hyperlink>
        </w:p>
        <w:p>
          <w:pPr>
            <w:pStyle w:val="TOC4"/>
            <w:rPr/>
          </w:pPr>
          <w:hyperlink w:anchor="__RefHeading___anforderungen_4">
            <w:r>
              <w:rPr>
                <w:rStyle w:val="IndexLink"/>
              </w:rPr>
              <w:t>Anforderungen</w:t>
              <w:tab/>
              <w:t>9</w:t>
            </w:r>
          </w:hyperlink>
        </w:p>
        <w:p>
          <w:pPr>
            <w:pStyle w:val="TOC1"/>
            <w:rPr/>
          </w:pPr>
          <w:hyperlink w:anchor="__RefHeading___allgemeines_5">
            <w:r>
              <w:rPr>
                <w:rStyle w:val="IndexLink"/>
              </w:rPr>
              <w:t>1 Allgemeines</w:t>
              <w:tab/>
              <w:t>9</w:t>
            </w:r>
          </w:hyperlink>
        </w:p>
        <w:p>
          <w:pPr>
            <w:pStyle w:val="TOC2"/>
            <w:rPr/>
          </w:pPr>
          <w:hyperlink w:anchor="__RefHeading___anwendungshinweise_6">
            <w:r>
              <w:rPr>
                <w:rStyle w:val="IndexLink"/>
              </w:rPr>
              <w:t>1.1 Anwendungshinweise</w:t>
              <w:tab/>
              <w:t>9</w:t>
            </w:r>
          </w:hyperlink>
        </w:p>
        <w:p>
          <w:pPr>
            <w:pStyle w:val="TOC2"/>
            <w:rPr/>
          </w:pPr>
          <w:hyperlink w:anchor="__RefHeading___anwendungs-_und_geltungsb">
            <w:r>
              <w:rPr>
                <w:rStyle w:val="IndexLink"/>
              </w:rPr>
              <w:t>1.2 Anwendungs- und Geltungsbereich</w:t>
              <w:tab/>
              <w:t>11</w:t>
            </w:r>
          </w:hyperlink>
        </w:p>
        <w:p>
          <w:pPr>
            <w:pStyle w:val="TOC3"/>
            <w:rPr/>
          </w:pPr>
          <w:hyperlink w:anchor="__RefHeading___Toc49840_1658012805">
            <w:r>
              <w:rPr>
                <w:rStyle w:val="IndexLink"/>
              </w:rPr>
              <w:t>1.2.1 Analyse und Registrierung</w:t>
              <w:tab/>
              <w:t>11</w:t>
            </w:r>
          </w:hyperlink>
        </w:p>
        <w:p>
          <w:pPr>
            <w:pStyle w:val="TOC2"/>
            <w:rPr/>
          </w:pPr>
          <w:hyperlink w:anchor="__RefHeading___gueltigkeit_8">
            <w:r>
              <w:rPr>
                <w:rStyle w:val="IndexLink"/>
              </w:rPr>
              <w:t>1.3 Gültigkeit</w:t>
              <w:tab/>
              <w:t>12</w:t>
            </w:r>
          </w:hyperlink>
        </w:p>
        <w:p>
          <w:pPr>
            <w:pStyle w:val="TOC1"/>
            <w:rPr/>
          </w:pPr>
          <w:hyperlink w:anchor="__RefHeading___normative_verweise_9">
            <w:r>
              <w:rPr>
                <w:rStyle w:val="IndexLink"/>
              </w:rPr>
              <w:t>2 Normative Verweise</w:t>
              <w:tab/>
              <w:t>12</w:t>
            </w:r>
          </w:hyperlink>
        </w:p>
        <w:p>
          <w:pPr>
            <w:pStyle w:val="TOC1"/>
            <w:rPr/>
          </w:pPr>
          <w:hyperlink w:anchor="__RefHeading___begriffe_10">
            <w:r>
              <w:rPr>
                <w:rStyle w:val="IndexLink"/>
              </w:rPr>
              <w:t>Begriffe</w:t>
              <w:tab/>
              <w:t>14</w:t>
            </w:r>
          </w:hyperlink>
        </w:p>
        <w:p>
          <w:pPr>
            <w:pStyle w:val="TOC1"/>
            <w:rPr/>
          </w:pPr>
          <w:hyperlink w:anchor="__RefHeading___organisation_der_informat">
            <w:r>
              <w:rPr>
                <w:rStyle w:val="IndexLink"/>
              </w:rPr>
              <w:t>4 Organisation der Informationssicherheit</w:t>
              <w:tab/>
              <w:t>23</w:t>
            </w:r>
          </w:hyperlink>
        </w:p>
        <w:p>
          <w:pPr>
            <w:pStyle w:val="TOC2"/>
            <w:rPr/>
          </w:pPr>
          <w:hyperlink w:anchor="__RefHeading___verantwortlichkeiten_12">
            <w:r>
              <w:rPr>
                <w:rStyle w:val="IndexLink"/>
              </w:rPr>
              <w:t>4.1 Verantwortlichkeiten</w:t>
              <w:tab/>
              <w:t>23</w:t>
            </w:r>
          </w:hyperlink>
        </w:p>
        <w:p>
          <w:pPr>
            <w:pStyle w:val="TOC3"/>
            <w:rPr/>
          </w:pPr>
          <w:hyperlink w:anchor="__RefHeading___zuweisung_und_dokumentati">
            <w:r>
              <w:rPr>
                <w:rStyle w:val="IndexLink"/>
              </w:rPr>
              <w:t>4.1.1 Zuweisung und Dokumentation</w:t>
              <w:tab/>
              <w:t>23</w:t>
            </w:r>
          </w:hyperlink>
        </w:p>
        <w:p>
          <w:pPr>
            <w:pStyle w:val="TOC3"/>
            <w:rPr/>
          </w:pPr>
          <w:hyperlink w:anchor="__RefHeading___funktionstrennungen_14">
            <w:r>
              <w:rPr>
                <w:rStyle w:val="IndexLink"/>
              </w:rPr>
              <w:t>4.1.2 Funktionstrennungen</w:t>
              <w:tab/>
              <w:t>24</w:t>
            </w:r>
          </w:hyperlink>
        </w:p>
        <w:p>
          <w:pPr>
            <w:pStyle w:val="TOC3"/>
            <w:rPr/>
          </w:pPr>
          <w:hyperlink w:anchor="__RefHeading___zeitliche_ressourcen_15">
            <w:r>
              <w:rPr>
                <w:rStyle w:val="IndexLink"/>
              </w:rPr>
              <w:t>4.1.3 Zeitliche Ressourcen</w:t>
              <w:tab/>
              <w:t>24</w:t>
            </w:r>
          </w:hyperlink>
        </w:p>
        <w:p>
          <w:pPr>
            <w:pStyle w:val="TOC3"/>
            <w:rPr/>
          </w:pPr>
          <w:hyperlink w:anchor="__RefHeading___delegieren_von_aufgaben_1">
            <w:r>
              <w:rPr>
                <w:rStyle w:val="IndexLink"/>
              </w:rPr>
              <w:t>4.1.4 Delegieren von Aufgaben</w:t>
              <w:tab/>
              <w:t>25</w:t>
            </w:r>
          </w:hyperlink>
        </w:p>
        <w:p>
          <w:pPr>
            <w:pStyle w:val="TOC2"/>
            <w:rPr/>
          </w:pPr>
          <w:hyperlink w:anchor="__RefHeading___topmanagement_17">
            <w:r>
              <w:rPr>
                <w:rStyle w:val="IndexLink"/>
              </w:rPr>
              <w:t>4.2 Topmanagement</w:t>
              <w:tab/>
              <w:t>25</w:t>
            </w:r>
          </w:hyperlink>
        </w:p>
        <w:p>
          <w:pPr>
            <w:pStyle w:val="TOC2"/>
            <w:rPr/>
          </w:pPr>
          <w:hyperlink w:anchor="__RefHeading___informationssicherheitsbe">
            <w:r>
              <w:rPr>
                <w:rStyle w:val="IndexLink"/>
              </w:rPr>
              <w:t>4.3 Informationssicherheitsbeauftragter (ISB)</w:t>
              <w:tab/>
              <w:t>26</w:t>
            </w:r>
          </w:hyperlink>
        </w:p>
        <w:p>
          <w:pPr>
            <w:pStyle w:val="TOC2"/>
            <w:rPr/>
          </w:pPr>
          <w:hyperlink w:anchor="__RefHeading___informationssicherheitste">
            <w:r>
              <w:rPr>
                <w:rStyle w:val="IndexLink"/>
              </w:rPr>
              <w:t>4.4 Informationssicherheitsteam (IST)</w:t>
              <w:tab/>
              <w:t>26</w:t>
            </w:r>
          </w:hyperlink>
        </w:p>
        <w:p>
          <w:pPr>
            <w:pStyle w:val="TOC2"/>
            <w:rPr/>
          </w:pPr>
          <w:hyperlink w:anchor="__RefHeading___it-verantwortliche_20">
            <w:r>
              <w:rPr>
                <w:rStyle w:val="IndexLink"/>
              </w:rPr>
              <w:t>4.5 IT-Verantwortliche</w:t>
              <w:tab/>
              <w:t>27</w:t>
            </w:r>
          </w:hyperlink>
        </w:p>
        <w:p>
          <w:pPr>
            <w:pStyle w:val="TOC2"/>
            <w:rPr/>
          </w:pPr>
          <w:hyperlink w:anchor="__RefHeading___administratoren_21">
            <w:r>
              <w:rPr>
                <w:rStyle w:val="IndexLink"/>
              </w:rPr>
              <w:t>4.6 Administratoren</w:t>
              <w:tab/>
              <w:t>28</w:t>
            </w:r>
          </w:hyperlink>
        </w:p>
        <w:p>
          <w:pPr>
            <w:pStyle w:val="TOC2"/>
            <w:rPr/>
          </w:pPr>
          <w:hyperlink w:anchor="__RefHeading___vorgesetzte_22">
            <w:r>
              <w:rPr>
                <w:rStyle w:val="IndexLink"/>
              </w:rPr>
              <w:t>4.7 Vorgesetzte</w:t>
              <w:tab/>
              <w:t>28</w:t>
            </w:r>
          </w:hyperlink>
        </w:p>
        <w:p>
          <w:pPr>
            <w:pStyle w:val="TOC2"/>
            <w:rPr/>
          </w:pPr>
          <w:hyperlink w:anchor="__RefHeading___mitarbeiter_23">
            <w:r>
              <w:rPr>
                <w:rStyle w:val="IndexLink"/>
              </w:rPr>
              <w:t>4.8 Mitarbeiter</w:t>
              <w:tab/>
              <w:t>28</w:t>
            </w:r>
          </w:hyperlink>
        </w:p>
        <w:p>
          <w:pPr>
            <w:pStyle w:val="TOC2"/>
            <w:rPr/>
          </w:pPr>
          <w:hyperlink w:anchor="__RefHeading___projektverantwortliche_24">
            <w:r>
              <w:rPr>
                <w:rStyle w:val="IndexLink"/>
              </w:rPr>
              <w:t>4.9 Projektverantwortliche</w:t>
              <w:tab/>
              <w:t>28</w:t>
            </w:r>
          </w:hyperlink>
        </w:p>
        <w:p>
          <w:pPr>
            <w:pStyle w:val="TOC2"/>
            <w:rPr/>
          </w:pPr>
          <w:hyperlink w:anchor="__RefHeading___externe_25">
            <w:r>
              <w:rPr>
                <w:rStyle w:val="IndexLink"/>
              </w:rPr>
              <w:t>4.10 Externe</w:t>
              <w:tab/>
              <w:t>29</w:t>
            </w:r>
          </w:hyperlink>
        </w:p>
        <w:p>
          <w:pPr>
            <w:pStyle w:val="TOC1"/>
            <w:rPr/>
          </w:pPr>
          <w:hyperlink w:anchor="__RefHeading___leitlinie_zur_information">
            <w:r>
              <w:rPr>
                <w:rStyle w:val="IndexLink"/>
              </w:rPr>
              <w:t>5 Leitlinie zur Informationssicherheit (IS-Leitlinie)</w:t>
              <w:tab/>
              <w:t>29</w:t>
            </w:r>
          </w:hyperlink>
        </w:p>
        <w:p>
          <w:pPr>
            <w:pStyle w:val="TOC2"/>
            <w:rPr/>
          </w:pPr>
          <w:hyperlink w:anchor="__RefHeading___allgemeine_anforderungen_">
            <w:r>
              <w:rPr>
                <w:rStyle w:val="IndexLink"/>
              </w:rPr>
              <w:t>5.1 Allgemeine Anforderungen</w:t>
              <w:tab/>
              <w:t>29</w:t>
            </w:r>
          </w:hyperlink>
        </w:p>
        <w:p>
          <w:pPr>
            <w:pStyle w:val="TOC2"/>
            <w:rPr/>
          </w:pPr>
          <w:hyperlink w:anchor="__RefHeading___inhalte_28">
            <w:r>
              <w:rPr>
                <w:rStyle w:val="IndexLink"/>
              </w:rPr>
              <w:t>5.2 Inhalte</w:t>
              <w:tab/>
              <w:t>30</w:t>
            </w:r>
          </w:hyperlink>
        </w:p>
        <w:p>
          <w:pPr>
            <w:pStyle w:val="TOC1"/>
            <w:rPr/>
          </w:pPr>
          <w:hyperlink w:anchor="__RefHeading___richtlinien_zur_informati">
            <w:r>
              <w:rPr>
                <w:rStyle w:val="IndexLink"/>
              </w:rPr>
              <w:t>6 Richtlinien zur Informationssicherheit (IS-Richtlinien)</w:t>
              <w:tab/>
              <w:t>30</w:t>
            </w:r>
          </w:hyperlink>
        </w:p>
        <w:p>
          <w:pPr>
            <w:pStyle w:val="TOC2"/>
            <w:rPr/>
          </w:pPr>
          <w:hyperlink w:anchor="__RefHeading___allgemeine_anforderungen1">
            <w:r>
              <w:rPr>
                <w:rStyle w:val="IndexLink"/>
              </w:rPr>
              <w:t>6.1 Allgemeine Anforderungen</w:t>
              <w:tab/>
              <w:t>30</w:t>
            </w:r>
          </w:hyperlink>
        </w:p>
        <w:p>
          <w:pPr>
            <w:pStyle w:val="TOC2"/>
            <w:rPr/>
          </w:pPr>
          <w:hyperlink w:anchor="__RefHeading___inhalte_31">
            <w:r>
              <w:rPr>
                <w:rStyle w:val="IndexLink"/>
              </w:rPr>
              <w:t>6.2 Inhalte</w:t>
              <w:tab/>
              <w:t>31</w:t>
            </w:r>
          </w:hyperlink>
        </w:p>
        <w:p>
          <w:pPr>
            <w:pStyle w:val="TOC2"/>
            <w:rPr/>
          </w:pPr>
          <w:hyperlink w:anchor="__RefHeading___regelungen_fuer_nutzer_32">
            <w:r>
              <w:rPr>
                <w:rStyle w:val="IndexLink"/>
              </w:rPr>
              <w:t>6.3 Regelungen für Nutzer</w:t>
              <w:tab/>
              <w:t>31</w:t>
            </w:r>
          </w:hyperlink>
        </w:p>
        <w:p>
          <w:pPr>
            <w:pStyle w:val="TOC2"/>
            <w:rPr/>
          </w:pPr>
          <w:hyperlink w:anchor="__RefHeading___weitere_regelungen_38">
            <w:r>
              <w:rPr>
                <w:rStyle w:val="IndexLink"/>
              </w:rPr>
              <w:t>6.4 Weitere Regelungen</w:t>
              <w:tab/>
              <w:t>33</w:t>
            </w:r>
          </w:hyperlink>
        </w:p>
        <w:p>
          <w:pPr>
            <w:pStyle w:val="TOC1"/>
            <w:rPr/>
          </w:pPr>
          <w:hyperlink w:anchor="__RefHeading___mitarbeiter_39">
            <w:r>
              <w:rPr>
                <w:rStyle w:val="IndexLink"/>
              </w:rPr>
              <w:t>7 Mitarbeiter</w:t>
              <w:tab/>
              <w:t>34</w:t>
            </w:r>
          </w:hyperlink>
        </w:p>
        <w:p>
          <w:pPr>
            <w:pStyle w:val="TOC2"/>
            <w:rPr/>
          </w:pPr>
          <w:hyperlink w:anchor="__RefHeading___vor_aufnahme_der_taetigke">
            <w:r>
              <w:rPr>
                <w:rStyle w:val="IndexLink"/>
              </w:rPr>
              <w:t>7.1 Vor Aufnahme der Tätigkeit</w:t>
              <w:tab/>
              <w:t>34</w:t>
            </w:r>
          </w:hyperlink>
        </w:p>
        <w:p>
          <w:pPr>
            <w:pStyle w:val="TOC2"/>
            <w:rPr/>
          </w:pPr>
          <w:hyperlink w:anchor="__RefHeading___aufnahme_der_taetigkeit_4">
            <w:r>
              <w:rPr>
                <w:rStyle w:val="IndexLink"/>
              </w:rPr>
              <w:t>7.2 Aufnahme der Tätigkeit</w:t>
              <w:tab/>
              <w:t>34</w:t>
            </w:r>
          </w:hyperlink>
        </w:p>
        <w:p>
          <w:pPr>
            <w:pStyle w:val="TOC2"/>
            <w:rPr/>
          </w:pPr>
          <w:hyperlink w:anchor="__RefHeading___beendigung_oder_wechsel_d">
            <w:r>
              <w:rPr>
                <w:rStyle w:val="IndexLink"/>
              </w:rPr>
              <w:t>7.3 Beendigung oder Wechsel der Tätigkeit</w:t>
              <w:tab/>
              <w:t>35</w:t>
            </w:r>
          </w:hyperlink>
        </w:p>
        <w:p>
          <w:pPr>
            <w:pStyle w:val="TOC1"/>
            <w:rPr/>
          </w:pPr>
          <w:hyperlink w:anchor="__RefHeading___wissen_43">
            <w:r>
              <w:rPr>
                <w:rStyle w:val="IndexLink"/>
              </w:rPr>
              <w:t>8 Wissen</w:t>
              <w:tab/>
              <w:t>35</w:t>
            </w:r>
          </w:hyperlink>
        </w:p>
        <w:p>
          <w:pPr>
            <w:pStyle w:val="TOC2"/>
            <w:rPr/>
          </w:pPr>
          <w:hyperlink w:anchor="__RefHeading___aktualitaet_des_wissens_4">
            <w:r>
              <w:rPr>
                <w:rStyle w:val="IndexLink"/>
              </w:rPr>
              <w:t>8.1 Aktualität des Wissens</w:t>
              <w:tab/>
              <w:t>35</w:t>
            </w:r>
          </w:hyperlink>
        </w:p>
        <w:p>
          <w:pPr>
            <w:pStyle w:val="TOC2"/>
            <w:rPr/>
          </w:pPr>
          <w:hyperlink w:anchor="__RefHeading___schulung_und_sensibilisie">
            <w:r>
              <w:rPr>
                <w:rStyle w:val="IndexLink"/>
              </w:rPr>
              <w:t>8.2 Schulung und Sensibilisierung</w:t>
              <w:tab/>
              <w:t>36</w:t>
            </w:r>
          </w:hyperlink>
        </w:p>
        <w:p>
          <w:pPr>
            <w:pStyle w:val="TOC1"/>
            <w:rPr/>
          </w:pPr>
          <w:hyperlink w:anchor="__RefHeading___identifizieren_kritischer">
            <w:r>
              <w:rPr>
                <w:rStyle w:val="IndexLink"/>
              </w:rPr>
              <w:t>9 Identifizieren wichtiger und besonders schützenswerter IT-Ressourcen</w:t>
              <w:tab/>
              <w:t>38</w:t>
            </w:r>
          </w:hyperlink>
        </w:p>
        <w:p>
          <w:pPr>
            <w:pStyle w:val="TOC2"/>
            <w:rPr/>
          </w:pPr>
          <w:hyperlink w:anchor="__RefHeading___prozesse_47">
            <w:r>
              <w:rPr>
                <w:rStyle w:val="IndexLink"/>
              </w:rPr>
              <w:t>9.1 Prozesse</w:t>
              <w:tab/>
              <w:t>39</w:t>
            </w:r>
          </w:hyperlink>
        </w:p>
        <w:p>
          <w:pPr>
            <w:pStyle w:val="TOC2"/>
            <w:rPr/>
          </w:pPr>
          <w:hyperlink w:anchor="__RefHeading___prozesse_47_Copy_1">
            <w:r>
              <w:rPr>
                <w:rStyle w:val="IndexLink"/>
              </w:rPr>
              <w:t>9.x Wichtige IT-Ressourcen</w:t>
              <w:tab/>
              <w:t>39</w:t>
            </w:r>
          </w:hyperlink>
        </w:p>
        <w:p>
          <w:pPr>
            <w:pStyle w:val="TOC2"/>
            <w:rPr/>
          </w:pPr>
          <w:hyperlink w:anchor="__RefHeading___informationen_48">
            <w:r>
              <w:rPr>
                <w:rStyle w:val="IndexLink"/>
              </w:rPr>
              <w:t>9.2 besonders schützenswerte Informationen</w:t>
              <w:tab/>
              <w:t>41</w:t>
            </w:r>
          </w:hyperlink>
        </w:p>
        <w:p>
          <w:pPr>
            <w:pStyle w:val="TOC2"/>
            <w:rPr/>
          </w:pPr>
          <w:hyperlink w:anchor="__RefHeading___it-ressourcen_49">
            <w:r>
              <w:rPr>
                <w:rStyle w:val="IndexLink"/>
              </w:rPr>
              <w:t>9.3 Besonders schützenswerte IT-Ressourcen</w:t>
              <w:tab/>
              <w:t>42</w:t>
            </w:r>
          </w:hyperlink>
        </w:p>
        <w:p>
          <w:pPr>
            <w:pStyle w:val="TOC1"/>
            <w:rPr/>
          </w:pPr>
          <w:hyperlink w:anchor="__RefHeading___it-systeme_50">
            <w:r>
              <w:rPr>
                <w:rStyle w:val="IndexLink"/>
              </w:rPr>
              <w:t>10 IT-Systeme</w:t>
              <w:tab/>
              <w:t>44</w:t>
            </w:r>
          </w:hyperlink>
        </w:p>
        <w:p>
          <w:pPr>
            <w:pStyle w:val="TOC2"/>
            <w:rPr/>
          </w:pPr>
          <w:hyperlink w:anchor="__RefHeading___inventarisierung_51">
            <w:r>
              <w:rPr>
                <w:rStyle w:val="IndexLink"/>
              </w:rPr>
              <w:t>10.1 Inventarisierung</w:t>
              <w:tab/>
              <w:t>44</w:t>
            </w:r>
          </w:hyperlink>
        </w:p>
        <w:p>
          <w:pPr>
            <w:pStyle w:val="TOC2"/>
            <w:rPr/>
          </w:pPr>
          <w:hyperlink w:anchor="__RefHeading___lebenszyklus_52">
            <w:r>
              <w:rPr>
                <w:rStyle w:val="IndexLink"/>
              </w:rPr>
              <w:t>10.2 Lebenszyklus</w:t>
              <w:tab/>
              <w:t>45</w:t>
            </w:r>
          </w:hyperlink>
        </w:p>
        <w:p>
          <w:pPr>
            <w:pStyle w:val="TOC3"/>
            <w:rPr/>
          </w:pPr>
          <w:hyperlink w:anchor="__RefHeading___inbetriebnahme_und_aender">
            <w:r>
              <w:rPr>
                <w:rStyle w:val="IndexLink"/>
              </w:rPr>
              <w:t>10.2.1 Inbetriebnahme und Änderung</w:t>
              <w:tab/>
              <w:t>45</w:t>
            </w:r>
          </w:hyperlink>
        </w:p>
        <w:p>
          <w:pPr>
            <w:pStyle w:val="TOC3"/>
            <w:rPr/>
          </w:pPr>
          <w:hyperlink w:anchor="__RefHeading___ausmusterung_und_wiederve">
            <w:r>
              <w:rPr>
                <w:rStyle w:val="IndexLink"/>
              </w:rPr>
              <w:t>10.2.2 Ausmusterung und Wiederverwendung</w:t>
              <w:tab/>
              <w:t>45</w:t>
            </w:r>
          </w:hyperlink>
        </w:p>
        <w:p>
          <w:pPr>
            <w:pStyle w:val="TOC2"/>
            <w:rPr/>
          </w:pPr>
          <w:hyperlink w:anchor="__RefHeading___basisschutz_55">
            <w:r>
              <w:rPr>
                <w:rStyle w:val="IndexLink"/>
              </w:rPr>
              <w:t>10.3 Basisschutz</w:t>
              <w:tab/>
              <w:t>46</w:t>
            </w:r>
          </w:hyperlink>
        </w:p>
        <w:p>
          <w:pPr>
            <w:pStyle w:val="TOC3"/>
            <w:rPr/>
          </w:pPr>
          <w:hyperlink w:anchor="__RefHeading___software_56">
            <w:r>
              <w:rPr>
                <w:rStyle w:val="IndexLink"/>
              </w:rPr>
              <w:t>10.3.1 Software</w:t>
              <w:tab/>
              <w:t>47</w:t>
            </w:r>
          </w:hyperlink>
        </w:p>
        <w:p>
          <w:pPr>
            <w:pStyle w:val="TOC3"/>
            <w:rPr/>
          </w:pPr>
          <w:hyperlink w:anchor="__RefHeading___beschraenkung_des_netzwer">
            <w:r>
              <w:rPr>
                <w:rStyle w:val="IndexLink"/>
              </w:rPr>
              <w:t>10.3.2 Beschränkung des Netzwerkverkehrs</w:t>
              <w:tab/>
              <w:t>48</w:t>
            </w:r>
          </w:hyperlink>
        </w:p>
        <w:p>
          <w:pPr>
            <w:pStyle w:val="TOC3"/>
            <w:rPr/>
          </w:pPr>
          <w:hyperlink w:anchor="__RefHeading___protokollierung_58">
            <w:r>
              <w:rPr>
                <w:rStyle w:val="IndexLink"/>
              </w:rPr>
              <w:t>10.3.3 Protokollierung</w:t>
              <w:tab/>
              <w:t>49</w:t>
            </w:r>
          </w:hyperlink>
        </w:p>
        <w:p>
          <w:pPr>
            <w:pStyle w:val="TOC3"/>
            <w:rPr/>
          </w:pPr>
          <w:hyperlink w:anchor="__RefHeading___externe_schnittstellen_un">
            <w:r>
              <w:rPr>
                <w:rStyle w:val="IndexLink"/>
              </w:rPr>
              <w:t>10.3.4 Externe Schnittstellen und Laufwerke</w:t>
              <w:tab/>
              <w:t>49</w:t>
            </w:r>
          </w:hyperlink>
        </w:p>
        <w:p>
          <w:pPr>
            <w:pStyle w:val="TOC3"/>
            <w:rPr/>
          </w:pPr>
          <w:hyperlink w:anchor="__RefHeading___schadsoftware_60">
            <w:r>
              <w:rPr>
                <w:rStyle w:val="IndexLink"/>
              </w:rPr>
              <w:t>10.3.5 Schadsoftware</w:t>
              <w:tab/>
              <w:t>49</w:t>
            </w:r>
          </w:hyperlink>
        </w:p>
        <w:p>
          <w:pPr>
            <w:pStyle w:val="TOC3"/>
            <w:rPr/>
          </w:pPr>
          <w:hyperlink w:anchor="__RefHeading___starten_von_fremden_medie">
            <w:r>
              <w:rPr>
                <w:rStyle w:val="IndexLink"/>
              </w:rPr>
              <w:t>10.3.6 Starten von fremden Medien</w:t>
              <w:tab/>
              <w:t>50</w:t>
            </w:r>
          </w:hyperlink>
        </w:p>
        <w:p>
          <w:pPr>
            <w:pStyle w:val="TOC3"/>
            <w:rPr/>
          </w:pPr>
          <w:hyperlink w:anchor="__RefHeading___authentifizierung_62">
            <w:r>
              <w:rPr>
                <w:rStyle w:val="IndexLink"/>
              </w:rPr>
              <w:t>10.3.7 Authentifizierung</w:t>
              <w:tab/>
              <w:t>50</w:t>
            </w:r>
          </w:hyperlink>
        </w:p>
        <w:p>
          <w:pPr>
            <w:pStyle w:val="TOC3"/>
            <w:rPr/>
          </w:pPr>
          <w:hyperlink w:anchor="__RefHeading___zugaenge_und_zugriffe_63">
            <w:r>
              <w:rPr>
                <w:rStyle w:val="IndexLink"/>
              </w:rPr>
              <w:t>10.3.8 Zugänge und Zugriffe</w:t>
              <w:tab/>
              <w:t>51</w:t>
            </w:r>
          </w:hyperlink>
        </w:p>
        <w:p>
          <w:pPr>
            <w:pStyle w:val="TOC2"/>
            <w:rPr/>
          </w:pPr>
          <w:hyperlink w:anchor="__RefHeading___zusaetzliche_massnahmen_f">
            <w:r>
              <w:rPr>
                <w:rStyle w:val="IndexLink"/>
              </w:rPr>
              <w:t>10.4 Zusätzliche Maßnahmen für mobile IT-Systeme</w:t>
              <w:tab/>
              <w:t>52</w:t>
            </w:r>
          </w:hyperlink>
        </w:p>
        <w:p>
          <w:pPr>
            <w:pStyle w:val="TOC3"/>
            <w:rPr/>
          </w:pPr>
          <w:hyperlink w:anchor="__RefHeading___is-richtlinie_65">
            <w:r>
              <w:rPr>
                <w:rStyle w:val="IndexLink"/>
              </w:rPr>
              <w:t>10.4.1 IS-Richtlinie</w:t>
              <w:tab/>
              <w:t>52</w:t>
            </w:r>
          </w:hyperlink>
        </w:p>
        <w:p>
          <w:pPr>
            <w:pStyle w:val="TOC3"/>
            <w:rPr/>
          </w:pPr>
          <w:hyperlink w:anchor="__RefHeading___schutz_der_informationen_">
            <w:r>
              <w:rPr>
                <w:rStyle w:val="IndexLink"/>
              </w:rPr>
              <w:t>10.4.2 Schutz der Informationen</w:t>
              <w:tab/>
              <w:t>53</w:t>
            </w:r>
          </w:hyperlink>
        </w:p>
        <w:p>
          <w:pPr>
            <w:pStyle w:val="TOC3"/>
            <w:rPr/>
          </w:pPr>
          <w:hyperlink w:anchor="__RefHeading___verlust_67">
            <w:r>
              <w:rPr>
                <w:rStyle w:val="IndexLink"/>
              </w:rPr>
              <w:t>10.4.3 Verlust</w:t>
              <w:tab/>
              <w:t>53</w:t>
            </w:r>
          </w:hyperlink>
        </w:p>
        <w:p>
          <w:pPr>
            <w:pStyle w:val="TOC2"/>
            <w:rPr/>
          </w:pPr>
          <w:hyperlink w:anchor="__RefHeading___zusaetzliche_massnahmen_1">
            <w:r>
              <w:rPr>
                <w:rStyle w:val="IndexLink"/>
              </w:rPr>
              <w:t>10.x Zusätzliche Maßnahmen für wichtige IT-Systeme</w:t>
              <w:tab/>
              <w:t>54</w:t>
            </w:r>
          </w:hyperlink>
        </w:p>
        <w:p>
          <w:pPr>
            <w:pStyle w:val="TOC2"/>
            <w:rPr/>
          </w:pPr>
          <w:hyperlink w:anchor="__RefHeading___zusaetzliche_massnahmen_2">
            <w:r>
              <w:rPr>
                <w:rStyle w:val="IndexLink"/>
              </w:rPr>
              <w:t>10.5 Zusätzliche Maßnahmen für besonders schützen</w:t>
            </w:r>
            <w:r>
              <w:rPr>
                <w:rStyle w:val="IndexLink"/>
                <w:i/>
                <w:iCs/>
              </w:rPr>
              <w:t>swerte IT-Systeme</w:t>
            </w:r>
            <w:r>
              <w:rPr>
                <w:rStyle w:val="IndexLink"/>
              </w:rPr>
              <w:tab/>
              <w:t>54</w:t>
            </w:r>
          </w:hyperlink>
        </w:p>
        <w:p>
          <w:pPr>
            <w:pStyle w:val="TOC3"/>
            <w:rPr/>
          </w:pPr>
          <w:hyperlink w:anchor="__RefHeading___risikoanalyse_und_-behand">
            <w:r>
              <w:rPr>
                <w:rStyle w:val="IndexLink"/>
              </w:rPr>
              <w:t>10.5.1 Risikoanalyse und behandlung (entfällt, da besonders schützenswerte ITSysteme auch wichtige IT-Systeme sind)</w:t>
              <w:tab/>
              <w:t>54</w:t>
            </w:r>
          </w:hyperlink>
        </w:p>
        <w:p>
          <w:pPr>
            <w:pStyle w:val="TOC3"/>
            <w:rPr/>
          </w:pPr>
          <w:hyperlink w:anchor="__RefHeading___notbetriebsniveau_70">
            <w:r>
              <w:rPr>
                <w:rStyle w:val="IndexLink"/>
              </w:rPr>
              <w:t>10.5.2 Notbetriebsniveau</w:t>
              <w:tab/>
              <w:t>55</w:t>
            </w:r>
          </w:hyperlink>
        </w:p>
        <w:p>
          <w:pPr>
            <w:pStyle w:val="TOC3"/>
            <w:rPr/>
          </w:pPr>
          <w:hyperlink w:anchor="__RefHeading___robustheit_71">
            <w:r>
              <w:rPr>
                <w:rStyle w:val="IndexLink"/>
              </w:rPr>
              <w:t>10.5.3 Robustheit</w:t>
              <w:tab/>
              <w:t>55</w:t>
            </w:r>
          </w:hyperlink>
        </w:p>
        <w:p>
          <w:pPr>
            <w:pStyle w:val="TOC3"/>
            <w:rPr/>
          </w:pPr>
          <w:hyperlink w:anchor="__RefHeading___externe_schnittstellen_u1">
            <w:r>
              <w:rPr>
                <w:rStyle w:val="IndexLink"/>
              </w:rPr>
              <w:t>10.5.4 Externe Schnittstellen und Laufwerke</w:t>
              <w:tab/>
              <w:t>55</w:t>
            </w:r>
          </w:hyperlink>
        </w:p>
        <w:p>
          <w:pPr>
            <w:pStyle w:val="TOC3"/>
            <w:rPr/>
          </w:pPr>
          <w:hyperlink w:anchor="__RefHeading___aenderungsmanagement_73">
            <w:r>
              <w:rPr>
                <w:rStyle w:val="IndexLink"/>
              </w:rPr>
              <w:t>10.5.5 Änderungsmanagement</w:t>
              <w:tab/>
              <w:t>55</w:t>
            </w:r>
          </w:hyperlink>
        </w:p>
        <w:p>
          <w:pPr>
            <w:pStyle w:val="TOC3"/>
            <w:rPr/>
          </w:pPr>
          <w:hyperlink w:anchor="__RefHeading___dokumentation_74">
            <w:r>
              <w:rPr>
                <w:rStyle w:val="IndexLink"/>
              </w:rPr>
              <w:t>10.5.6 Dokumentation</w:t>
              <w:tab/>
              <w:t>56</w:t>
            </w:r>
          </w:hyperlink>
        </w:p>
        <w:p>
          <w:pPr>
            <w:pStyle w:val="TOC3"/>
            <w:rPr/>
          </w:pPr>
          <w:hyperlink w:anchor="__RefHeading___datensicherung_75">
            <w:r>
              <w:rPr>
                <w:rStyle w:val="IndexLink"/>
              </w:rPr>
              <w:t>10.5.7 Datensicherung</w:t>
              <w:tab/>
              <w:t>56</w:t>
            </w:r>
          </w:hyperlink>
        </w:p>
        <w:p>
          <w:pPr>
            <w:pStyle w:val="TOC3"/>
            <w:rPr/>
          </w:pPr>
          <w:hyperlink w:anchor="__RefHeading___ueberwachung_76">
            <w:r>
              <w:rPr>
                <w:rStyle w:val="IndexLink"/>
              </w:rPr>
              <w:t>10.5.8 Überwachung</w:t>
              <w:tab/>
              <w:t>57</w:t>
            </w:r>
          </w:hyperlink>
        </w:p>
        <w:p>
          <w:pPr>
            <w:pStyle w:val="TOC3"/>
            <w:rPr/>
          </w:pPr>
          <w:hyperlink w:anchor="__RefHeading___ersatzsysteme_und_-verfah">
            <w:r>
              <w:rPr>
                <w:rStyle w:val="IndexLink"/>
              </w:rPr>
              <w:t>10.5.9 Ersatzsysteme und -verfahren</w:t>
              <w:tab/>
              <w:t>57</w:t>
            </w:r>
          </w:hyperlink>
        </w:p>
        <w:p>
          <w:pPr>
            <w:pStyle w:val="TOC3"/>
            <w:rPr/>
          </w:pPr>
          <w:hyperlink w:anchor="__RefHeading___kritische_individualsoftw">
            <w:r>
              <w:rPr>
                <w:rStyle w:val="IndexLink"/>
              </w:rPr>
              <w:t>10.5.10 Kritische Individualsoftware</w:t>
              <w:tab/>
              <w:t>57</w:t>
            </w:r>
          </w:hyperlink>
        </w:p>
        <w:p>
          <w:pPr>
            <w:pStyle w:val="TOC1"/>
            <w:rPr/>
          </w:pPr>
          <w:hyperlink w:anchor="__RefHeading___netzwerke_und_verbindunge">
            <w:r>
              <w:rPr>
                <w:rStyle w:val="IndexLink"/>
              </w:rPr>
              <w:t>11 Netzwerke und Verbindungen</w:t>
              <w:tab/>
              <w:t>58</w:t>
            </w:r>
          </w:hyperlink>
        </w:p>
        <w:p>
          <w:pPr>
            <w:pStyle w:val="TOC2"/>
            <w:rPr/>
          </w:pPr>
          <w:hyperlink w:anchor="__RefHeading___netzwerkplan_80">
            <w:r>
              <w:rPr>
                <w:rStyle w:val="IndexLink"/>
              </w:rPr>
              <w:t>11.1 Netzwerkplan</w:t>
              <w:tab/>
              <w:t>58</w:t>
            </w:r>
          </w:hyperlink>
        </w:p>
        <w:p>
          <w:pPr>
            <w:pStyle w:val="TOC2"/>
            <w:rPr/>
          </w:pPr>
          <w:hyperlink w:anchor="__RefHeading___aktive_netzwerkkomponente">
            <w:r>
              <w:rPr>
                <w:rStyle w:val="IndexLink"/>
              </w:rPr>
              <w:t>11.2 Aktive Netzwerkkomponenten</w:t>
              <w:tab/>
              <w:t>58</w:t>
            </w:r>
          </w:hyperlink>
        </w:p>
        <w:p>
          <w:pPr>
            <w:pStyle w:val="TOC2"/>
            <w:rPr/>
          </w:pPr>
          <w:hyperlink w:anchor="__RefHeading___netzuebergaenge_82">
            <w:r>
              <w:rPr>
                <w:rStyle w:val="IndexLink"/>
              </w:rPr>
              <w:t>11.3 Netzübergänge</w:t>
              <w:tab/>
              <w:t>59</w:t>
            </w:r>
          </w:hyperlink>
        </w:p>
        <w:p>
          <w:pPr>
            <w:pStyle w:val="TOC2"/>
            <w:rPr/>
          </w:pPr>
          <w:hyperlink w:anchor="__RefHeading___basisschutz_83">
            <w:r>
              <w:rPr>
                <w:rStyle w:val="IndexLink"/>
              </w:rPr>
              <w:t>11.4 Basisschutz</w:t>
              <w:tab/>
              <w:t>60</w:t>
            </w:r>
          </w:hyperlink>
        </w:p>
        <w:p>
          <w:pPr>
            <w:pStyle w:val="TOC3"/>
            <w:rPr/>
          </w:pPr>
          <w:hyperlink w:anchor="__RefHeading___netzwerkanschluesse_84">
            <w:r>
              <w:rPr>
                <w:rStyle w:val="IndexLink"/>
              </w:rPr>
              <w:t>11.4.1 Netzwerkanschlüsse</w:t>
              <w:tab/>
              <w:t>60</w:t>
            </w:r>
          </w:hyperlink>
        </w:p>
        <w:p>
          <w:pPr>
            <w:pStyle w:val="TOC3"/>
            <w:rPr/>
          </w:pPr>
          <w:hyperlink w:anchor="__RefHeading___segmentierung_85">
            <w:r>
              <w:rPr>
                <w:rStyle w:val="IndexLink"/>
              </w:rPr>
              <w:t>11.4.2 Segmentierung</w:t>
              <w:tab/>
              <w:t>61</w:t>
            </w:r>
          </w:hyperlink>
        </w:p>
        <w:p>
          <w:pPr>
            <w:pStyle w:val="TOC3"/>
            <w:rPr/>
          </w:pPr>
          <w:hyperlink w:anchor="__RefHeading___fernzugang_86">
            <w:r>
              <w:rPr>
                <w:rStyle w:val="IndexLink"/>
              </w:rPr>
              <w:t>11.4.3 Fernzugang</w:t>
              <w:tab/>
              <w:t>61</w:t>
            </w:r>
          </w:hyperlink>
        </w:p>
        <w:p>
          <w:pPr>
            <w:pStyle w:val="TOC3"/>
            <w:rPr/>
          </w:pPr>
          <w:hyperlink w:anchor="__RefHeading___netzwerkkopplung_87">
            <w:r>
              <w:rPr>
                <w:rStyle w:val="IndexLink"/>
              </w:rPr>
              <w:t>11.4.4 Netzwerkkopplung</w:t>
              <w:tab/>
              <w:t>62</w:t>
            </w:r>
          </w:hyperlink>
        </w:p>
        <w:p>
          <w:pPr>
            <w:pStyle w:val="TOC2"/>
            <w:rPr/>
          </w:pPr>
          <w:hyperlink w:anchor="__RefHeading___zusaetzliche_massnahmen_2">
            <w:r>
              <w:rPr>
                <w:rStyle w:val="IndexLink"/>
              </w:rPr>
              <w:t>11.5 Zusätzliche Maßnahmen für wichtige und besonders schützenswerte Verbindungen</w:t>
              <w:tab/>
              <w:t>62</w:t>
            </w:r>
          </w:hyperlink>
        </w:p>
        <w:p>
          <w:pPr>
            <w:pStyle w:val="TOC1"/>
            <w:rPr/>
          </w:pPr>
          <w:hyperlink w:anchor="__RefHeading___mobile_datentraeger_89">
            <w:r>
              <w:rPr>
                <w:rStyle w:val="IndexLink"/>
              </w:rPr>
              <w:t>12 Mobile Datenträger</w:t>
              <w:tab/>
              <w:t>62</w:t>
            </w:r>
          </w:hyperlink>
        </w:p>
        <w:p>
          <w:pPr>
            <w:pStyle w:val="TOC2"/>
            <w:rPr/>
          </w:pPr>
          <w:hyperlink w:anchor="__RefHeading___is-richtlinie_90">
            <w:r>
              <w:rPr>
                <w:rStyle w:val="IndexLink"/>
              </w:rPr>
              <w:t>12.1 IS-Richtlinie</w:t>
              <w:tab/>
              <w:t>63</w:t>
            </w:r>
          </w:hyperlink>
        </w:p>
        <w:p>
          <w:pPr>
            <w:pStyle w:val="TOC2"/>
            <w:rPr/>
          </w:pPr>
          <w:hyperlink w:anchor="__RefHeading___schutz_der_informationen1">
            <w:r>
              <w:rPr>
                <w:rStyle w:val="IndexLink"/>
              </w:rPr>
              <w:t>12.2 Schutz der Informationen</w:t>
              <w:tab/>
              <w:t>63</w:t>
            </w:r>
          </w:hyperlink>
        </w:p>
        <w:p>
          <w:pPr>
            <w:pStyle w:val="TOC2"/>
            <w:rPr/>
          </w:pPr>
          <w:hyperlink w:anchor="__RefHeading___zusaetzliche_massnahmen_3">
            <w:r>
              <w:rPr>
                <w:rStyle w:val="IndexLink"/>
              </w:rPr>
              <w:t>12.3 Zusätzliche Maßnahmen für wichtige und besonders schützenswerte mobile Datenträger</w:t>
              <w:tab/>
              <w:t>64</w:t>
            </w:r>
          </w:hyperlink>
        </w:p>
        <w:p>
          <w:pPr>
            <w:pStyle w:val="TOC1"/>
            <w:rPr/>
          </w:pPr>
          <w:hyperlink w:anchor="__RefHeading___umgebung_93">
            <w:r>
              <w:rPr>
                <w:rStyle w:val="IndexLink"/>
              </w:rPr>
              <w:t>13 Umgebung</w:t>
              <w:tab/>
              <w:t>64</w:t>
            </w:r>
          </w:hyperlink>
        </w:p>
        <w:p>
          <w:pPr>
            <w:pStyle w:val="TOC2"/>
            <w:rPr/>
          </w:pPr>
          <w:hyperlink w:anchor="__RefHeading___server_aktive_netzwerkkom">
            <w:r>
              <w:rPr>
                <w:rStyle w:val="IndexLink"/>
              </w:rPr>
              <w:t>13.1 Server, aktive Netzwerkkomponenten und Netzwerkverteilstellen</w:t>
              <w:tab/>
              <w:t>64</w:t>
            </w:r>
          </w:hyperlink>
        </w:p>
        <w:p>
          <w:pPr>
            <w:pStyle w:val="TOC2"/>
            <w:rPr/>
          </w:pPr>
          <w:hyperlink w:anchor="__RefHeading___datenleitungen_95">
            <w:r>
              <w:rPr>
                <w:rStyle w:val="IndexLink"/>
              </w:rPr>
              <w:t>13.2 Datenleitungen</w:t>
              <w:tab/>
              <w:t>65</w:t>
            </w:r>
          </w:hyperlink>
        </w:p>
        <w:p>
          <w:pPr>
            <w:pStyle w:val="TOC2"/>
            <w:rPr/>
          </w:pPr>
          <w:hyperlink w:anchor="__RefHeading___zusaetzliche_massnahmen_4">
            <w:r>
              <w:rPr>
                <w:rStyle w:val="IndexLink"/>
              </w:rPr>
              <w:t>13.3 Zusätzliche Maßnahmen für wichtige und besonders schützenswerte IT-Systeme</w:t>
              <w:tab/>
              <w:t>65</w:t>
            </w:r>
          </w:hyperlink>
        </w:p>
        <w:p>
          <w:pPr>
            <w:pStyle w:val="TOC1"/>
            <w:rPr/>
          </w:pPr>
          <w:hyperlink w:anchor="__RefHeading___it-outsourcing_und_cloud_">
            <w:r>
              <w:rPr>
                <w:rStyle w:val="IndexLink"/>
              </w:rPr>
              <w:t>14 IT-Outsourcing und Cloud Computing</w:t>
              <w:tab/>
              <w:t>66</w:t>
            </w:r>
          </w:hyperlink>
        </w:p>
        <w:p>
          <w:pPr>
            <w:pStyle w:val="TOC2"/>
            <w:rPr/>
          </w:pPr>
          <w:hyperlink w:anchor="__RefHeading___is-richtlinie_98">
            <w:r>
              <w:rPr>
                <w:rStyle w:val="IndexLink"/>
              </w:rPr>
              <w:t>14.1 IS-Richtlinie</w:t>
              <w:tab/>
              <w:t>66</w:t>
            </w:r>
          </w:hyperlink>
        </w:p>
        <w:p>
          <w:pPr>
            <w:pStyle w:val="TOC2"/>
            <w:rPr/>
          </w:pPr>
          <w:hyperlink w:anchor="__RefHeading___vorbereitung_99">
            <w:r>
              <w:rPr>
                <w:rStyle w:val="IndexLink"/>
              </w:rPr>
              <w:t>14.2 Vorbereitung</w:t>
              <w:tab/>
              <w:t>66</w:t>
            </w:r>
          </w:hyperlink>
        </w:p>
        <w:p>
          <w:pPr>
            <w:pStyle w:val="TOC2"/>
            <w:rPr/>
          </w:pPr>
          <w:hyperlink w:anchor="__RefHeading___vertragsgestaltung_100">
            <w:r>
              <w:rPr>
                <w:rStyle w:val="IndexLink"/>
              </w:rPr>
              <w:t>14.3 Vertragsgestaltung</w:t>
              <w:tab/>
              <w:t>67</w:t>
            </w:r>
          </w:hyperlink>
        </w:p>
        <w:p>
          <w:pPr>
            <w:pStyle w:val="TOC2"/>
            <w:rPr/>
          </w:pPr>
          <w:hyperlink w:anchor="__RefHeading___zusaetzliche_massnahmen_5">
            <w:r>
              <w:rPr>
                <w:rStyle w:val="IndexLink"/>
              </w:rPr>
              <w:t>14.4 Zusätzliche Maßnahmen für kritische IT-Ressourcen</w:t>
              <w:tab/>
              <w:t>67</w:t>
            </w:r>
          </w:hyperlink>
        </w:p>
        <w:p>
          <w:pPr>
            <w:pStyle w:val="TOC1"/>
            <w:rPr/>
          </w:pPr>
          <w:hyperlink w:anchor="__RefHeading___zugaenge_und_zugriffsrech">
            <w:r>
              <w:rPr>
                <w:rStyle w:val="IndexLink"/>
              </w:rPr>
              <w:t>15 Zugänge und Zugriffsrechte</w:t>
              <w:tab/>
              <w:t>69</w:t>
            </w:r>
          </w:hyperlink>
        </w:p>
        <w:p>
          <w:pPr>
            <w:pStyle w:val="TOC2"/>
            <w:rPr/>
          </w:pPr>
          <w:hyperlink w:anchor="__RefHeading___verwaltung_103">
            <w:r>
              <w:rPr>
                <w:rStyle w:val="IndexLink"/>
              </w:rPr>
              <w:t>15.1 Verwaltung</w:t>
              <w:tab/>
              <w:t>69</w:t>
            </w:r>
          </w:hyperlink>
        </w:p>
        <w:p>
          <w:pPr>
            <w:pStyle w:val="TOC2"/>
            <w:rPr/>
          </w:pPr>
          <w:hyperlink w:anchor="__RefHeading___zusaetzliche_massnahmen_6">
            <w:r>
              <w:rPr>
                <w:rStyle w:val="IndexLink"/>
              </w:rPr>
              <w:t>15.2 Zusätzliche Maßnahmen für besonders schützenswerte IT-Systeme und Informationen</w:t>
              <w:tab/>
              <w:t>70</w:t>
            </w:r>
          </w:hyperlink>
        </w:p>
        <w:p>
          <w:pPr>
            <w:pStyle w:val="TOC1"/>
            <w:rPr/>
          </w:pPr>
          <w:hyperlink w:anchor="__RefHeading___datensicherung_und_archiv">
            <w:r>
              <w:rPr>
                <w:rStyle w:val="IndexLink"/>
              </w:rPr>
              <w:t>16 Datensicherung und Archivierung</w:t>
              <w:tab/>
              <w:t>70</w:t>
            </w:r>
          </w:hyperlink>
        </w:p>
        <w:p>
          <w:pPr>
            <w:pStyle w:val="TOC2"/>
            <w:rPr/>
          </w:pPr>
          <w:hyperlink w:anchor="__RefHeading___is-richtlinie_106">
            <w:r>
              <w:rPr>
                <w:rStyle w:val="IndexLink"/>
              </w:rPr>
              <w:t>16.1 IS-Richtlinie</w:t>
              <w:tab/>
              <w:t>71</w:t>
            </w:r>
          </w:hyperlink>
        </w:p>
        <w:p>
          <w:pPr>
            <w:pStyle w:val="TOC2"/>
            <w:rPr/>
          </w:pPr>
          <w:hyperlink w:anchor="__RefHeading___archivierung_107">
            <w:r>
              <w:rPr>
                <w:rStyle w:val="IndexLink"/>
              </w:rPr>
              <w:t>16.2 Archivierung</w:t>
              <w:tab/>
              <w:t>71</w:t>
            </w:r>
          </w:hyperlink>
        </w:p>
        <w:p>
          <w:pPr>
            <w:pStyle w:val="TOC2"/>
            <w:rPr/>
          </w:pPr>
          <w:hyperlink w:anchor="__RefHeading___verfahren_108">
            <w:r>
              <w:rPr>
                <w:rStyle w:val="IndexLink"/>
              </w:rPr>
              <w:t>16.3 Verfahren</w:t>
              <w:tab/>
              <w:t>71</w:t>
            </w:r>
          </w:hyperlink>
        </w:p>
        <w:p>
          <w:pPr>
            <w:pStyle w:val="TOC2"/>
            <w:rPr/>
          </w:pPr>
          <w:hyperlink w:anchor="__RefHeading___weiterentwicklung_112">
            <w:r>
              <w:rPr>
                <w:rStyle w:val="IndexLink"/>
              </w:rPr>
              <w:t>16.4 Weiterentwicklung</w:t>
              <w:tab/>
              <w:t>72</w:t>
            </w:r>
          </w:hyperlink>
        </w:p>
        <w:p>
          <w:pPr>
            <w:pStyle w:val="TOC2"/>
            <w:rPr/>
          </w:pPr>
          <w:hyperlink w:anchor="__RefHeading___basisschutz_113">
            <w:r>
              <w:rPr>
                <w:rStyle w:val="IndexLink"/>
              </w:rPr>
              <w:t>16.5 Basisschutz</w:t>
              <w:tab/>
              <w:t>73</w:t>
            </w:r>
          </w:hyperlink>
        </w:p>
        <w:p>
          <w:pPr>
            <w:pStyle w:val="TOC3"/>
            <w:rPr/>
          </w:pPr>
          <w:hyperlink w:anchor="__RefHeading___speicherorte_114">
            <w:r>
              <w:rPr>
                <w:rStyle w:val="IndexLink"/>
              </w:rPr>
              <w:t>16.5.1 Speicherorte</w:t>
              <w:tab/>
              <w:t>73</w:t>
            </w:r>
          </w:hyperlink>
        </w:p>
        <w:p>
          <w:pPr>
            <w:pStyle w:val="TOC3"/>
            <w:rPr/>
          </w:pPr>
          <w:hyperlink w:anchor="__RefHeading___server_115">
            <w:r>
              <w:rPr>
                <w:rStyle w:val="IndexLink"/>
              </w:rPr>
              <w:t>16.5.2 Server</w:t>
              <w:tab/>
              <w:t>74</w:t>
            </w:r>
          </w:hyperlink>
        </w:p>
        <w:p>
          <w:pPr>
            <w:pStyle w:val="TOC3"/>
            <w:rPr/>
          </w:pPr>
          <w:hyperlink w:anchor="__RefHeading___aktive_netzwerkkomponent1">
            <w:r>
              <w:rPr>
                <w:rStyle w:val="IndexLink"/>
              </w:rPr>
              <w:t>16.5.3 Aktive Netzwerkkomponenten</w:t>
              <w:tab/>
              <w:t>74</w:t>
            </w:r>
          </w:hyperlink>
        </w:p>
        <w:p>
          <w:pPr>
            <w:pStyle w:val="TOC3"/>
            <w:rPr/>
          </w:pPr>
          <w:hyperlink w:anchor="__RefHeading___mobile_it-systeme_117">
            <w:r>
              <w:rPr>
                <w:rStyle w:val="IndexLink"/>
              </w:rPr>
              <w:t>16.5.4 Mobile IT-Systeme</w:t>
              <w:tab/>
              <w:t>74</w:t>
            </w:r>
          </w:hyperlink>
        </w:p>
        <w:p>
          <w:pPr>
            <w:pStyle w:val="TOC2"/>
            <w:rPr/>
          </w:pPr>
          <w:hyperlink w:anchor="__RefHeading___zusaetzliche_massnahmen_7">
            <w:r>
              <w:rPr>
                <w:rStyle w:val="IndexLink"/>
              </w:rPr>
              <w:t>16.6 Zusätzliche Maßnahmen für wichtige und besonders schützenswerte IT-Systeme</w:t>
              <w:tab/>
              <w:t>74</w:t>
            </w:r>
          </w:hyperlink>
        </w:p>
        <w:p>
          <w:pPr>
            <w:pStyle w:val="TOC3"/>
            <w:rPr/>
          </w:pPr>
          <w:hyperlink w:anchor="__RefHeading___risikoanalyse_119">
            <w:r>
              <w:rPr>
                <w:rStyle w:val="IndexLink"/>
              </w:rPr>
              <w:t>16.6.1 Risikoanalyse</w:t>
              <w:tab/>
              <w:t>74</w:t>
            </w:r>
          </w:hyperlink>
        </w:p>
        <w:p>
          <w:pPr>
            <w:pStyle w:val="TOC3"/>
            <w:rPr/>
          </w:pPr>
          <w:hyperlink w:anchor="__RefHeading___verfahren_120">
            <w:r>
              <w:rPr>
                <w:rStyle w:val="IndexLink"/>
              </w:rPr>
              <w:t>16.6.2 Verfahren</w:t>
              <w:tab/>
              <w:t>75</w:t>
            </w:r>
          </w:hyperlink>
        </w:p>
        <w:p>
          <w:pPr>
            <w:pStyle w:val="TOC1"/>
            <w:rPr/>
          </w:pPr>
          <w:hyperlink w:anchor="__RefHeading___stoerungen_und_ausfaelle_">
            <w:r>
              <w:rPr>
                <w:rStyle w:val="IndexLink"/>
              </w:rPr>
              <w:t>17 Sicherheitsvorfälle</w:t>
              <w:tab/>
              <w:t>75</w:t>
            </w:r>
          </w:hyperlink>
        </w:p>
        <w:p>
          <w:pPr>
            <w:pStyle w:val="TOC2"/>
            <w:rPr/>
          </w:pPr>
          <w:hyperlink w:anchor="__RefHeading___is-richtlinie_122">
            <w:r>
              <w:rPr>
                <w:rStyle w:val="IndexLink"/>
              </w:rPr>
              <w:t>17.1 IS-Richtlinie</w:t>
              <w:tab/>
              <w:t>76</w:t>
            </w:r>
          </w:hyperlink>
        </w:p>
        <w:p>
          <w:pPr>
            <w:pStyle w:val="TOC2"/>
            <w:rPr/>
          </w:pPr>
          <w:hyperlink w:anchor="__RefHeading___erkennen_129_Copy_1">
            <w:r>
              <w:rPr>
                <w:rStyle w:val="IndexLink"/>
              </w:rPr>
              <w:t>17.2 Erkennen</w:t>
              <w:tab/>
              <w:t>76</w:t>
            </w:r>
          </w:hyperlink>
        </w:p>
        <w:p>
          <w:pPr>
            <w:pStyle w:val="TOC2"/>
            <w:rPr/>
          </w:pPr>
          <w:hyperlink w:anchor="__RefHeading___reaktion_123">
            <w:r>
              <w:rPr>
                <w:rStyle w:val="IndexLink"/>
              </w:rPr>
              <w:t>17.3 Reaktion</w:t>
              <w:tab/>
              <w:t>77</w:t>
            </w:r>
          </w:hyperlink>
        </w:p>
        <w:p>
          <w:pPr>
            <w:pStyle w:val="TOC2"/>
            <w:rPr/>
          </w:pPr>
          <w:hyperlink w:anchor="__RefHeading___zusaetzliche_massnahmen_8">
            <w:r>
              <w:rPr>
                <w:rStyle w:val="IndexLink"/>
              </w:rPr>
              <w:t>17.4 Zusätzliche Maßnahmen für kritische IT-Systeme</w:t>
              <w:tab/>
              <w:t>79</w:t>
            </w:r>
          </w:hyperlink>
        </w:p>
        <w:p>
          <w:pPr>
            <w:pStyle w:val="TOC3"/>
            <w:rPr/>
          </w:pPr>
          <w:hyperlink w:anchor="__RefHeading___wiederanlaufplaene_125">
            <w:r>
              <w:rPr>
                <w:rStyle w:val="IndexLink"/>
              </w:rPr>
              <w:t>17.4.1 Wiederanlaufpläne</w:t>
              <w:tab/>
              <w:t>79</w:t>
            </w:r>
          </w:hyperlink>
        </w:p>
        <w:p>
          <w:pPr>
            <w:pStyle w:val="TOC3"/>
            <w:rPr/>
          </w:pPr>
          <w:hyperlink w:anchor="__RefHeading___abhaengigkeiten_126">
            <w:r>
              <w:rPr>
                <w:rStyle w:val="IndexLink"/>
              </w:rPr>
              <w:t>17.4.2 Abhängigkeiten</w:t>
              <w:tab/>
              <w:t>80</w:t>
            </w:r>
          </w:hyperlink>
        </w:p>
        <w:p>
          <w:pPr>
            <w:pStyle w:val="TOC1"/>
            <w:rPr/>
          </w:pPr>
          <w:hyperlink w:anchor="__RefHeading___anhang_a_131">
            <w:r>
              <w:rPr>
                <w:rStyle w:val="IndexLink"/>
              </w:rPr>
              <w:t>Anhang A</w:t>
              <w:tab/>
              <w:t>81</w:t>
            </w:r>
          </w:hyperlink>
        </w:p>
        <w:p>
          <w:pPr>
            <w:pStyle w:val="TOC2"/>
            <w:rPr/>
          </w:pPr>
          <w:hyperlink w:anchor="__RefHeading___a_1_verfahren_132">
            <w:r>
              <w:rPr>
                <w:rStyle w:val="IndexLink"/>
              </w:rPr>
              <w:t>A 1 Verfahren</w:t>
              <w:tab/>
              <w:t>81</w:t>
            </w:r>
          </w:hyperlink>
        </w:p>
        <w:p>
          <w:pPr>
            <w:pStyle w:val="TOC2"/>
            <w:rPr/>
          </w:pPr>
          <w:hyperlink w:anchor="__RefHeading___a_2_risikoanalyse_und_-be">
            <w:r>
              <w:rPr>
                <w:rStyle w:val="IndexLink"/>
              </w:rPr>
              <w:t>A 2 Risikomanagement</w:t>
              <w:tab/>
              <w:t>81</w:t>
            </w:r>
          </w:hyperlink>
        </w:p>
        <w:p>
          <w:pPr>
            <w:pStyle w:val="TOC3"/>
            <w:rPr/>
          </w:pPr>
          <w:hyperlink w:anchor="__RefHeading___a_2.1_risikoanalyse_134_C">
            <w:r>
              <w:rPr>
                <w:rStyle w:val="IndexLink"/>
              </w:rPr>
              <w:t>A 2.1 Methodik</w:t>
              <w:tab/>
              <w:t>82</w:t>
            </w:r>
          </w:hyperlink>
        </w:p>
        <w:p>
          <w:pPr>
            <w:pStyle w:val="TOC3"/>
            <w:rPr/>
          </w:pPr>
          <w:hyperlink w:anchor="__RefHeading___a_2.1_risikoanalyse_134">
            <w:r>
              <w:rPr>
                <w:rStyle w:val="IndexLink"/>
              </w:rPr>
              <w:t>A 2.2 Risikoanalyse</w:t>
              <w:tab/>
              <w:t>83</w:t>
            </w:r>
          </w:hyperlink>
        </w:p>
        <w:p>
          <w:pPr>
            <w:pStyle w:val="TOC3"/>
            <w:rPr/>
          </w:pPr>
          <w:hyperlink w:anchor="__RefHeading___a_2.2_risikobehandlung_13">
            <w:r>
              <w:rPr>
                <w:rStyle w:val="IndexLink"/>
              </w:rPr>
              <w:t>A 2.3 Risikobehandlung</w:t>
              <w:tab/>
              <w:t>84</w:t>
            </w:r>
          </w:hyperlink>
        </w:p>
        <w:p>
          <w:pPr>
            <w:pStyle w:val="TOC3"/>
            <w:rPr/>
          </w:pPr>
          <w:hyperlink w:anchor="__RefHeading___a_2.3_wiederholung_und_an">
            <w:r>
              <w:rPr>
                <w:rStyle w:val="IndexLink"/>
              </w:rPr>
              <w:t>A 2.4 Wiederholung und Anpassung</w:t>
              <w:tab/>
              <w:t>84</w:t>
            </w:r>
          </w:hyperlink>
        </w:p>
        <w:p>
          <w:pPr>
            <w:pStyle w:val="TOC3"/>
            <w:rPr/>
          </w:pPr>
          <w:hyperlink w:anchor="__RefHeading___a_2.3_wiederholung_und_a1">
            <w:r>
              <w:rPr>
                <w:rStyle w:val="IndexLink"/>
              </w:rPr>
              <w:t>A 2.5 Überwachung</w:t>
              <w:tab/>
              <w:t>85</w:t>
            </w:r>
          </w:hyperlink>
          <w:r>
            <w:rPr>
              <w:rStyle w:val="IndexLink"/>
            </w:rPr>
            <w:fldChar w:fldCharType="end"/>
          </w:r>
        </w:p>
      </w:sdtContent>
    </w:sdt>
    <w:p>
      <w:pPr>
        <w:pStyle w:val="BodyText"/>
        <w:bidi w:val="0"/>
        <w:rPr/>
      </w:pPr>
      <w:r>
        <w:rPr/>
      </w:r>
      <w:r>
        <w:br w:type="page"/>
      </w:r>
    </w:p>
    <w:p>
      <w:pPr>
        <w:pStyle w:val="Heading4"/>
        <w:numPr>
          <w:ilvl w:val="0"/>
          <w:numId w:val="0"/>
        </w:numPr>
        <w:tabs>
          <w:tab w:val="clear" w:pos="709"/>
          <w:tab w:val="left" w:pos="0" w:leader="none"/>
        </w:tabs>
        <w:bidi w:val="0"/>
        <w:spacing w:before="0" w:after="120"/>
        <w:ind w:hanging="0" w:start="0"/>
        <w:jc w:val="start"/>
        <w:rPr/>
      </w:pPr>
      <w:bookmarkStart w:id="7" w:name="__RefHeading___anforderungen_4"/>
      <w:bookmarkStart w:id="8" w:name="anforderungen"/>
      <w:bookmarkEnd w:id="7"/>
      <w:r>
        <w:rPr/>
        <w:t>Anforderungen</w:t>
      </w:r>
      <w:bookmarkEnd w:id="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9" w:name="__RefHeading___allgemeines_5"/>
      <w:bookmarkStart w:id="10" w:name="allgemeines"/>
      <w:bookmarkEnd w:id="9"/>
      <w:r>
        <w:rPr/>
        <w:t>1 Allgemeines</w:t>
      </w:r>
      <w:bookmarkEnd w:id="1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Muss neu verfasst werden.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11" w:name="__RefHeading___anwendungshinweise_6"/>
      <w:bookmarkStart w:id="12" w:name="anwendungshinweise"/>
      <w:bookmarkEnd w:id="11"/>
      <w:r>
        <w:rPr/>
        <w:t>1.1 Anwendungshinweise</w:t>
      </w:r>
      <w:bookmarkEnd w:id="12"/>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3" w:name="__RefHeading___anwendungs-_und_geltungsb"/>
      <w:bookmarkStart w:id="14" w:name="anwendungs-_und_geltungsbereich"/>
      <w:bookmarkEnd w:id="13"/>
      <w:r>
        <w:rPr/>
        <w:t>1.2 Anwendungs- und Geltungsbereich</w:t>
      </w:r>
      <w:bookmarkEnd w:id="1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15" w:name="__RefHeading___Toc49840_1658012805"/>
      <w:bookmarkEnd w:id="15"/>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Idee: In die VdS 10100 wird eine sehr einfache Maßnahme aufgenommen und ansonsten auf den Gesetzestext oder eine Checkliste verwiesen. Letztere stellt die VdS Schadenverhütung online oder als PDF zur Verfügung.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Vorgehensweise genutzt werden, die von der VdS Schadenverhütung zur Verfügung gestellt wird.</w:t>
            </w:r>
          </w:p>
          <w:p>
            <w:pPr>
              <w:pStyle w:val="TableContents"/>
              <w:ind w:hanging="0" w:start="0"/>
              <w:jc w:val="start"/>
              <w:rPr/>
            </w:pPr>
            <w:r>
              <w:rPr/>
            </w:r>
          </w:p>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16" w:name="__RefHeading___gueltigkeit_8"/>
      <w:bookmarkStart w:id="17" w:name="gueltigkeit"/>
      <w:bookmarkEnd w:id="16"/>
      <w:r>
        <w:rPr/>
        <w:t>1.3 Gültigkeit</w:t>
      </w:r>
      <w:bookmarkEnd w:id="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18" w:name="__RefHeading___normative_verweise_9"/>
      <w:bookmarkStart w:id="19" w:name="normative_verweise"/>
      <w:bookmarkEnd w:id="18"/>
      <w:r>
        <w:rPr/>
        <w:t>2 Normative Verweise</w:t>
      </w:r>
      <w:bookmarkEnd w:id="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0" w:name="__RefHeading___a_2.1_risikoanalyse_134_1"/>
            <w:bookmarkEnd w:id="20"/>
            <w:r>
              <w:rPr/>
              <w:t xml:space="preserve">Wir verweisen auf dieses Regelwerk in </w:t>
            </w:r>
            <w:r>
              <w:rPr/>
              <w:t xml:space="preserve">Abschnitt </w:t>
            </w:r>
            <w:bookmarkStart w:id="21" w:name="anwendungshinweise_Copy_1"/>
            <w:r>
              <w:rPr/>
              <w:t xml:space="preserve">1.1 </w:t>
            </w:r>
            <w:r>
              <w:rPr/>
              <w:t>(</w:t>
            </w:r>
            <w:r>
              <w:rPr/>
              <w:t>Anwendungshinweise</w:t>
            </w:r>
            <w:bookmarkEnd w:id="21"/>
            <w:r>
              <w:rPr/>
              <w: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 xml:space="preserve">Elementare Gefährdungen“, BSI </w:t>
            </w:r>
          </w:p>
        </w:tc>
      </w:tr>
    </w:tbl>
    <w:p>
      <w:pPr>
        <w:pStyle w:val="Heading1"/>
        <w:numPr>
          <w:ilvl w:val="0"/>
          <w:numId w:val="0"/>
        </w:numPr>
        <w:tabs>
          <w:tab w:val="clear" w:pos="709"/>
          <w:tab w:val="left" w:pos="0" w:leader="none"/>
        </w:tabs>
        <w:bidi w:val="0"/>
        <w:ind w:hanging="0" w:start="0"/>
        <w:jc w:val="start"/>
        <w:rPr/>
      </w:pPr>
      <w:bookmarkStart w:id="22" w:name="__RefHeading___begriffe_10"/>
      <w:bookmarkStart w:id="23" w:name="begriffe"/>
      <w:bookmarkEnd w:id="22"/>
      <w:r>
        <w:rPr/>
        <w:t>Begriffe</w:t>
      </w:r>
      <w:bookmarkEnd w:id="2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2"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Begriffe aus NIS2 im Laufe der Entwicklung in dieses Kapitel aufnehmen und jene Begriffe entfernen, die in der VdS 10100 nicht neu definiert werden müssen.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95" w:type="dxa"/>
            <w:tcBorders>
              <w:start w:val="single" w:sz="2" w:space="0" w:color="000000"/>
              <w:bottom w:val="single" w:sz="2" w:space="0" w:color="000000"/>
              <w:end w:val="single" w:sz="2" w:space="0" w:color="000000"/>
            </w:tcBorders>
          </w:tcPr>
          <w:p>
            <w:pPr>
              <w:pStyle w:val="Normal"/>
              <w:bidi w:val="0"/>
              <w:jc w:val="start"/>
              <w:rPr/>
            </w:pPr>
            <w:r>
              <w:rPr/>
              <w:t>‍</w:t>
            </w:r>
          </w:p>
        </w:tc>
        <w:tc>
          <w:tcPr>
            <w:tcW w:w="4712" w:type="dxa"/>
            <w:vMerge w:val="restart"/>
            <w:tcBorders>
              <w:start w:val="single" w:sz="2" w:space="0" w:color="000000"/>
              <w:bottom w:val="single" w:sz="2" w:space="0" w:color="000000"/>
              <w:end w:val="single" w:sz="2" w:space="0" w:color="000000"/>
            </w:tcBorders>
          </w:tcPr>
          <w:p>
            <w:pPr>
              <w:pStyle w:val="Normal"/>
              <w:bidi w:val="0"/>
              <w:jc w:val="start"/>
              <w:rPr/>
            </w:pPr>
            <w:r>
              <w:rPr/>
              <w:t>Sofern hier nicht anders definiert MÜSSEN die Begriffe gemäß Kapitel 3 VdS 10000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Neu definieren gem. NIS2-Richtlinie (siehe unten).</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ToDo</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erheblicher Sicherheitsvorfall: Sicherheitsvorfall, der (...)</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ToDo: Wir verwenden in der VdS 10100 den Begriff </w:t>
            </w:r>
            <w:r>
              <w:rPr>
                <w:rFonts w:eastAsia="Bitstream Vera Sans" w:cs="Bitstream Vera Sans"/>
                <w:color w:val="auto"/>
                <w:sz w:val="20"/>
                <w:szCs w:val="24"/>
                <w:lang w:val="de-DE" w:eastAsia="en-US" w:bidi="en-US"/>
              </w:rPr>
              <w:t>„Organisation (gem. VdS 10000 / ISO 27001), NIS2 spricht von „Einrichtungen“. Ausgleich über eine entsprechende Definition finden.</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t xml:space="preserve">Organisation: </w:t>
            </w:r>
            <w:r>
              <w:rPr>
                <w:rFonts w:eastAsia="Bitstream Vera Sans" w:cs="Bitstream Vera Sans"/>
                <w:color w:val="auto"/>
                <w:sz w:val="20"/>
                <w:szCs w:val="24"/>
                <w:lang w:val="de-DE" w:eastAsia="en-US" w:bidi="en-US"/>
              </w:rPr>
              <w:t>…</w:t>
            </w:r>
            <w:r>
              <w:rPr/>
              <w:t xml:space="preserve"> Im Sinne von NIS-2 eine Einrichtung</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Entsprechende Definition In der VdS 10k anpassen.</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Stand der Technik: Fortschrittliches, bereits praxiserprobtes Verfahren, das von Experten und Fachkreisen allgemein unterstützt und in professionellen Umgebungen eingesetzt wird.</w:t>
            </w:r>
          </w:p>
        </w:tc>
      </w:tr>
    </w:tbl>
    <w:p>
      <w:pPr>
        <w:pStyle w:val="Heading1"/>
        <w:numPr>
          <w:ilvl w:val="0"/>
          <w:numId w:val="0"/>
        </w:numPr>
        <w:tabs>
          <w:tab w:val="clear" w:pos="709"/>
          <w:tab w:val="left" w:pos="0" w:leader="none"/>
        </w:tabs>
        <w:bidi w:val="0"/>
        <w:ind w:hanging="0" w:start="0"/>
        <w:jc w:val="start"/>
        <w:rPr/>
      </w:pPr>
      <w:bookmarkStart w:id="24" w:name="__RefHeading___organisation_der_informat"/>
      <w:bookmarkStart w:id="25" w:name="organisation_der_informationssicherheit"/>
      <w:bookmarkEnd w:id="24"/>
      <w:r>
        <w:rPr/>
        <w:t>4 Organisation der Informationssicherheit</w:t>
      </w:r>
      <w:bookmarkEnd w:id="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Text entwerfen, der auf NIS2 abgestimmt ist.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26" w:name="__RefHeading___verantwortlichkeiten_12"/>
      <w:bookmarkStart w:id="27" w:name="verantwortlichkeiten"/>
      <w:bookmarkEnd w:id="26"/>
      <w:r>
        <w:rPr/>
        <w:t>4.1 Verantwortlichkeiten</w:t>
      </w:r>
      <w:bookmarkEnd w:id="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28" w:name="__RefHeading___zuweisung_und_dokumentati"/>
      <w:bookmarkStart w:id="29" w:name="zuweisung_und_dokumentation"/>
      <w:bookmarkEnd w:id="28"/>
      <w:r>
        <w:rPr/>
        <w:t>4.1.1 Zuweisung und Dokumentation</w:t>
      </w:r>
      <w:bookmarkEnd w:id="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0" w:name="__RefHeading___funktionstrennungen_14"/>
      <w:bookmarkStart w:id="31" w:name="funktionstrennungen"/>
      <w:bookmarkEnd w:id="30"/>
      <w:r>
        <w:rPr/>
        <w:t>4.1.2 Funktionstrennungen</w:t>
      </w:r>
      <w:bookmarkEnd w:id="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2" w:name="__RefHeading___zeitliche_ressourcen_15"/>
      <w:bookmarkStart w:id="33" w:name="zeitliche_ressourcen"/>
      <w:bookmarkEnd w:id="32"/>
      <w:r>
        <w:rPr/>
        <w:t>4.1.3 Zeitliche Ressourcen</w:t>
      </w:r>
      <w:bookmarkEnd w:id="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4" w:name="__RefHeading___delegieren_von_aufgaben_1"/>
      <w:bookmarkStart w:id="35" w:name="delegieren_von_aufgaben"/>
      <w:bookmarkEnd w:id="34"/>
      <w:r>
        <w:rPr/>
        <w:t>4.1.4 Delegieren von Aufgaben</w:t>
      </w:r>
      <w:bookmarkEnd w:id="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36" w:name="__RefHeading___topmanagement_17"/>
      <w:bookmarkStart w:id="37" w:name="topmanagement"/>
      <w:bookmarkEnd w:id="36"/>
      <w:r>
        <w:rPr/>
        <w:t>4.2 Topmanagement</w:t>
      </w:r>
      <w:bookmarkEnd w:id="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Abschnitt 1</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w:t>
            </w:r>
            <w:r>
              <w:rPr>
                <w:b w:val="false"/>
                <w:i w:val="false"/>
                <w:strike w:val="false"/>
                <w:dstrike w:val="false"/>
                <w:outline w:val="false"/>
                <w:shadow w:val="false"/>
                <w:sz w:val="20"/>
                <w:u w:val="none"/>
                <w:em w:val="none"/>
              </w:rPr>
              <w:t>Risikomanagementmaßnahmen im Bereich der Cybersicherheit zu billigen und ihre Umsetzung zu überwachen.</w:t>
            </w:r>
          </w:p>
        </w:tc>
      </w:tr>
    </w:tbl>
    <w:p>
      <w:pPr>
        <w:pStyle w:val="Heading2"/>
        <w:numPr>
          <w:ilvl w:val="0"/>
          <w:numId w:val="0"/>
        </w:numPr>
        <w:tabs>
          <w:tab w:val="clear" w:pos="709"/>
          <w:tab w:val="left" w:pos="0" w:leader="none"/>
        </w:tabs>
        <w:bidi w:val="0"/>
        <w:ind w:hanging="0" w:start="0"/>
        <w:jc w:val="start"/>
        <w:rPr/>
      </w:pPr>
      <w:bookmarkStart w:id="38" w:name="__RefHeading___informationssicherheitsbe"/>
      <w:bookmarkStart w:id="39" w:name="informationssicherheitsbeauftragter_isb"/>
      <w:bookmarkEnd w:id="38"/>
      <w:r>
        <w:rPr/>
        <w:t>4.3 Informationssicherheitsbeauftragter (ISB)</w:t>
      </w:r>
      <w:bookmarkEnd w:id="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 Aufbau verbessern.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0" w:name="__RefHeading___informationssicherheitste"/>
      <w:bookmarkStart w:id="41" w:name="informationssicherheitsteam_ist"/>
      <w:bookmarkEnd w:id="40"/>
      <w:r>
        <w:rPr/>
        <w:t>4.4 Informationssicherheitsteam (IST)</w:t>
      </w:r>
      <w:bookmarkEnd w:id="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2" w:name="__RefHeading___it-verantwortliche_20"/>
      <w:bookmarkStart w:id="43" w:name="it-verantwortliche"/>
      <w:bookmarkEnd w:id="42"/>
      <w:r>
        <w:rPr/>
        <w:t>4.5 IT-Verantwortliche</w:t>
      </w:r>
      <w:bookmarkEnd w:id="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4" w:name="__RefHeading___administratoren_21"/>
      <w:bookmarkStart w:id="45" w:name="administratoren"/>
      <w:bookmarkEnd w:id="44"/>
      <w:r>
        <w:rPr/>
        <w:t>4.6 Administratoren</w:t>
      </w:r>
      <w:bookmarkEnd w:id="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6" w:name="__RefHeading___vorgesetzte_22"/>
      <w:bookmarkStart w:id="47" w:name="vorgesetzte"/>
      <w:bookmarkEnd w:id="46"/>
      <w:r>
        <w:rPr/>
        <w:t>4.7 Vorgesetzte</w:t>
      </w:r>
      <w:bookmarkEnd w:id="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48" w:name="__RefHeading___mitarbeiter_23"/>
      <w:bookmarkStart w:id="49" w:name="mitarbeiter"/>
      <w:bookmarkEnd w:id="48"/>
      <w:r>
        <w:rPr/>
        <w:t>4.8 Mitarbeiter</w:t>
      </w:r>
      <w:bookmarkEnd w:id="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0" w:name="__RefHeading___projektverantwortliche_24"/>
      <w:bookmarkStart w:id="51" w:name="projektverantwortliche"/>
      <w:bookmarkEnd w:id="50"/>
      <w:r>
        <w:rPr/>
        <w:t>4.9 Projektverantwortliche</w:t>
      </w:r>
      <w:bookmarkEnd w:id="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2" w:name="__RefHeading___externe_25"/>
      <w:bookmarkStart w:id="53" w:name="externe"/>
      <w:bookmarkEnd w:id="52"/>
      <w:r>
        <w:rPr/>
        <w:t>4.10 Externe</w:t>
      </w:r>
      <w:bookmarkEnd w:id="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54" w:name="__RefHeading___leitlinie_zur_information"/>
      <w:bookmarkStart w:id="55" w:name="leitlinie_zur_informationssicherheit_is-"/>
      <w:bookmarkEnd w:id="54"/>
      <w:r>
        <w:rPr/>
        <w:t>5 Leitlinie zur Informationssicherheit (IS-Leitlinie)</w:t>
      </w:r>
      <w:bookmarkEnd w:id="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56" w:name="__RefHeading___allgemeine_anforderungen_"/>
      <w:bookmarkStart w:id="57" w:name="allgemeine_anforderungen"/>
      <w:bookmarkEnd w:id="56"/>
      <w:r>
        <w:rPr/>
        <w:t>5.1 Allgemeine Anforderungen</w:t>
      </w:r>
      <w:bookmarkEnd w:id="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8" w:name="__RefHeading___inhalte_28"/>
      <w:bookmarkStart w:id="59" w:name="inhalte"/>
      <w:bookmarkEnd w:id="58"/>
      <w:r>
        <w:rPr/>
        <w:t>5.2 Inhalte</w:t>
      </w:r>
      <w:bookmarkEnd w:id="5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6"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1"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1:1 VdS 10k</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0" w:name="__RefHeading___richtlinien_zur_informati"/>
      <w:bookmarkStart w:id="61" w:name="richtlinien_zur_informationssicherheit_i"/>
      <w:bookmarkEnd w:id="60"/>
      <w:r>
        <w:rPr/>
        <w:t>6 Richtlinien zur Informationssicherheit (IS-Richtlinien)</w:t>
      </w:r>
      <w:bookmarkEnd w:id="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basiert auf Risikomanagement (RM). Die im Zuge des RM erkannten organisatorischen Maßnahmen können/sollten/müssen in Richtlinien oder Verfahren verankert werden. Dies sollte bei der Formulierung dieser Anforderung berücksichtigt werden.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0"/>
          <w:numId w:val="0"/>
        </w:numPr>
        <w:tabs>
          <w:tab w:val="clear" w:pos="709"/>
          <w:tab w:val="left" w:pos="0" w:leader="none"/>
        </w:tabs>
        <w:bidi w:val="0"/>
        <w:ind w:hanging="0" w:start="0"/>
        <w:jc w:val="start"/>
        <w:rPr/>
      </w:pPr>
      <w:bookmarkStart w:id="62" w:name="__RefHeading___allgemeine_anforderungen1"/>
      <w:bookmarkStart w:id="63" w:name="allgemeine_anforderungen1"/>
      <w:bookmarkEnd w:id="62"/>
      <w:r>
        <w:rPr/>
        <w:t>6.1 Allgemeine Anforderungen</w:t>
      </w:r>
      <w:bookmarkEnd w:id="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4" w:name="__RefHeading___inhalte_31"/>
      <w:bookmarkStart w:id="65" w:name="inhalte1"/>
      <w:bookmarkEnd w:id="64"/>
      <w:r>
        <w:rPr/>
        <w:t>6.2 Inhalte</w:t>
      </w:r>
      <w:bookmarkEnd w:id="6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66" w:name="__RefHeading___regelungen_fuer_nutzer_32"/>
      <w:bookmarkStart w:id="67" w:name="regelungen_fuer_nutzer"/>
      <w:bookmarkEnd w:id="66"/>
      <w:r>
        <w:rPr/>
        <w:t>6.3 Regelungen für Nutzer</w:t>
      </w:r>
      <w:bookmarkEnd w:id="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68" w:name="__RefHeading___weitere_regelungen_38"/>
      <w:bookmarkStart w:id="69" w:name="weitere_regelungen"/>
      <w:bookmarkEnd w:id="68"/>
      <w:r>
        <w:rPr/>
        <w:t>6.4 Weitere Regelungen</w:t>
      </w:r>
      <w:bookmarkEnd w:id="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70" w:name="__RefHeading___mitarbeiter_39"/>
      <w:bookmarkStart w:id="71" w:name="mitarbeiter1"/>
      <w:bookmarkEnd w:id="70"/>
      <w:r>
        <w:rPr/>
        <w:t>7 Mitarbeiter</w:t>
      </w:r>
      <w:bookmarkEnd w:id="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72" w:name="__RefHeading___vor_aufnahme_der_taetigke"/>
      <w:bookmarkStart w:id="73" w:name="vor_aufnahme_der_taetigkeit"/>
      <w:bookmarkEnd w:id="72"/>
      <w:r>
        <w:rPr/>
        <w:t>7.1 Vor Aufnahme der Tätigkeit</w:t>
      </w:r>
      <w:bookmarkEnd w:id="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74" w:name="__RefHeading___aufnahme_der_taetigkeit_4"/>
      <w:bookmarkStart w:id="75" w:name="aufnahme_der_taetigkeit"/>
      <w:bookmarkEnd w:id="74"/>
      <w:r>
        <w:rPr/>
        <w:t>7.2 Aufnahme der Tätigkeit</w:t>
      </w:r>
      <w:bookmarkEnd w:id="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76" w:name="__RefHeading___beendigung_oder_wechsel_d"/>
      <w:bookmarkStart w:id="77" w:name="beendigung_oder_wechsel_der_taetigkeit"/>
      <w:bookmarkEnd w:id="76"/>
      <w:r>
        <w:rPr/>
        <w:t>7.3 Beendigung oder Wechsel der Tätigkeit</w:t>
      </w:r>
      <w:bookmarkEnd w:id="7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78" w:name="__RefHeading___wissen_43"/>
      <w:bookmarkStart w:id="79" w:name="wissen"/>
      <w:bookmarkEnd w:id="78"/>
      <w:r>
        <w:rPr/>
        <w:t>8 Wissen</w:t>
      </w:r>
      <w:bookmarkEnd w:id="7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0" w:name="__RefHeading___aktualitaet_des_wissens_4"/>
      <w:bookmarkStart w:id="81" w:name="aktualitaet_des_wissens"/>
      <w:bookmarkEnd w:id="80"/>
      <w:r>
        <w:rPr/>
        <w:t>8.1 Aktualität des Wissens</w:t>
      </w:r>
      <w:bookmarkEnd w:id="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 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82" w:name="__RefHeading___schulung_und_sensibilisie"/>
      <w:bookmarkStart w:id="83" w:name="schulung_und_sensibilisierung"/>
      <w:bookmarkEnd w:id="82"/>
      <w:r>
        <w:rPr/>
        <w:t>8.2 Schulung und Sensibilisierung</w:t>
      </w:r>
      <w:bookmarkEnd w:id="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Normal"/>
        <w:numPr>
          <w:ilvl w:val="0"/>
          <w:numId w:val="1"/>
        </w:numPr>
        <w:tabs>
          <w:tab w:val="clear" w:pos="709"/>
          <w:tab w:val="left" w:pos="0" w:leader="none"/>
        </w:tabs>
        <w:bidi w:val="0"/>
        <w:ind w:hanging="0" w:start="0"/>
        <w:jc w:val="start"/>
        <w:rPr/>
      </w:pPr>
      <w:r>
        <w:rPr/>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2 Copy 1"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pPr>
            <w:r>
              <w:rPr/>
              <w:t>Kapitel 9 muss überarbeitet und ggf. erweitert werden.</w:t>
            </w:r>
          </w:p>
          <w:p>
            <w:pPr>
              <w:pStyle w:val="Normal"/>
              <w:numPr>
                <w:ilvl w:val="0"/>
                <w:numId w:val="1"/>
              </w:numPr>
              <w:bidi w:val="0"/>
              <w:jc w:val="start"/>
              <w:rPr/>
            </w:pPr>
            <w:r>
              <w:rPr/>
              <w:t>- Ermitteln von informationstechnischen Systeme, Komponenten und Prozesse (haben wir bereits)</w:t>
            </w:r>
          </w:p>
          <w:p>
            <w:pPr>
              <w:pStyle w:val="Normal"/>
              <w:numPr>
                <w:ilvl w:val="0"/>
                <w:numId w:val="1"/>
              </w:numPr>
              <w:bidi w:val="0"/>
              <w:jc w:val="start"/>
              <w:rPr/>
            </w:pPr>
            <w:r>
              <w:rPr/>
              <w:t>- Informationen mit besonderen A</w:t>
            </w:r>
            <w:r>
              <w:rPr>
                <w:rFonts w:eastAsia="Bitstream Vera Sans" w:cs="Bitstream Vera Sans"/>
                <w:color w:val="auto"/>
                <w:kern w:val="0"/>
                <w:sz w:val="20"/>
                <w:szCs w:val="24"/>
                <w:lang w:val="de-DE" w:eastAsia="en-US" w:bidi="en-US"/>
              </w:rPr>
              <w:t>n</w:t>
            </w:r>
            <w:r>
              <w:rPr/>
              <w:t>forderungen an die Vertraulichkeit (</w:t>
            </w:r>
            <w:r>
              <w:rPr>
                <w:rFonts w:eastAsia="Bitstream Vera Sans" w:cs="Bitstream Vera Sans"/>
                <w:color w:val="auto"/>
                <w:kern w:val="0"/>
                <w:sz w:val="20"/>
                <w:szCs w:val="24"/>
                <w:lang w:val="de-DE" w:eastAsia="en-US" w:bidi="en-US"/>
              </w:rPr>
              <w:t>→</w:t>
            </w:r>
            <w:r>
              <w:rPr/>
              <w:t xml:space="preserve"> Kryptografie)</w:t>
            </w:r>
          </w:p>
          <w:p>
            <w:pPr>
              <w:pStyle w:val="Normal"/>
              <w:numPr>
                <w:ilvl w:val="0"/>
                <w:numId w:val="1"/>
              </w:numPr>
              <w:bidi w:val="0"/>
              <w:jc w:val="start"/>
              <w:rPr/>
            </w:pPr>
            <w:r>
              <w:rPr/>
              <w:t>- Informationen mit besonderen A</w:t>
            </w:r>
            <w:r>
              <w:rPr>
                <w:rFonts w:eastAsia="Bitstream Vera Sans" w:cs="Bitstream Vera Sans"/>
                <w:color w:val="auto"/>
                <w:kern w:val="0"/>
                <w:sz w:val="20"/>
                <w:szCs w:val="24"/>
                <w:lang w:val="de-DE" w:eastAsia="en-US" w:bidi="en-US"/>
              </w:rPr>
              <w:t>n</w:t>
            </w:r>
            <w:r>
              <w:rPr/>
              <w:t>forderungen an die Integrität (</w:t>
            </w:r>
            <w:r>
              <w:rPr>
                <w:rFonts w:eastAsia="Bitstream Vera Sans" w:cs="Bitstream Vera Sans"/>
                <w:color w:val="auto"/>
                <w:kern w:val="0"/>
                <w:sz w:val="20"/>
                <w:szCs w:val="24"/>
                <w:lang w:val="de-DE" w:eastAsia="en-US" w:bidi="en-US"/>
              </w:rPr>
              <w:t>→</w:t>
            </w:r>
            <w:r>
              <w:rPr/>
              <w:t xml:space="preserve"> Kryptografie)</w:t>
            </w:r>
          </w:p>
          <w:p>
            <w:pPr>
              <w:pStyle w:val="Normal"/>
              <w:numPr>
                <w:ilvl w:val="0"/>
                <w:numId w:val="1"/>
              </w:numPr>
              <w:bidi w:val="0"/>
              <w:jc w:val="start"/>
              <w:rPr/>
            </w:pPr>
            <w:r>
              <w:rPr/>
              <w:t xml:space="preserve">- Ggf. Überschrift ändern in </w:t>
            </w:r>
            <w:r>
              <w:rPr>
                <w:rFonts w:eastAsia="Bitstream Vera Sans" w:cs="Bitstream Vera Sans"/>
                <w:color w:val="auto"/>
                <w:kern w:val="0"/>
                <w:sz w:val="20"/>
                <w:szCs w:val="24"/>
                <w:lang w:val="de-DE" w:eastAsia="en-US" w:bidi="en-US"/>
              </w:rPr>
              <w:t>„Kategorisieren der IT-Ressourcen“ o. ä.</w:t>
            </w:r>
          </w:p>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IT-Ressourcen mit geringem Risiko identifizieren → Nein.</w:t>
            </w:r>
          </w:p>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Begriff „kritisch“ ersetzen, sonst kollidieren wir mit KRITIS und den Begrifflichkeiten des BSI (kritisch → sensibel). Das sollten wir ggf. auch in der VdS 10000 machen...?!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r>
    </w:tbl>
    <w:p>
      <w:pPr>
        <w:pStyle w:val="Heading1"/>
        <w:numPr>
          <w:ilvl w:val="0"/>
          <w:numId w:val="1"/>
        </w:numPr>
        <w:tabs>
          <w:tab w:val="clear" w:pos="709"/>
          <w:tab w:val="left" w:pos="0" w:leader="none"/>
        </w:tabs>
        <w:bidi w:val="0"/>
        <w:ind w:hanging="0" w:start="0"/>
        <w:jc w:val="start"/>
        <w:rPr/>
      </w:pPr>
      <w:bookmarkStart w:id="84" w:name="__RefHeading___identifizieren_kritischer"/>
      <w:bookmarkStart w:id="85" w:name="identifizieren_kritischer_it-ressourcen"/>
      <w:bookmarkEnd w:id="84"/>
      <w:r>
        <w:rPr/>
        <w:t xml:space="preserve">9 </w:t>
      </w:r>
      <w:bookmarkEnd w:id="85"/>
      <w:r>
        <w:rPr/>
        <w:t>Identifizieren wichtiger und besonders schützenswerter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70"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 der kritischen IT-Infrastruktur gem. Abschnitt 10.2 zu ermöglichen (Vermeidung einer quartalsweisen Prüfung). Als SOLLTE in die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kritischen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86" w:name="__RefHeading___prozesse_47"/>
      <w:bookmarkStart w:id="87" w:name="prozesse"/>
      <w:bookmarkEnd w:id="86"/>
      <w:r>
        <w:rPr/>
        <w:t>9.1 Prozesse</w:t>
      </w:r>
      <w:bookmarkEnd w:id="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88" w:name="__RefHeading___prozesse_47_Copy_1"/>
      <w:bookmarkStart w:id="89" w:name="prozesse_Copy_1"/>
      <w:bookmarkEnd w:id="88"/>
      <w:r>
        <w:rPr/>
        <w:t xml:space="preserve">9.x </w:t>
      </w:r>
      <w:bookmarkEnd w:id="89"/>
      <w:r>
        <w:rPr/>
        <w:t>Wichtige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Wichtige IT-Ressourcen sind IT-Ressourcen, die für den Betrieb von zentralen Prozessen oder für den Betrieb von Prozessen mit hohem Schadenspotential (siehe Abschnitt 9.1) unbedingt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Um wichtige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wichtigen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die IT-Ressource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die maximal tolerierbare Ausfallzeit (MTA)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0" w:name="__RefHeading___informationen_48"/>
      <w:bookmarkStart w:id="91" w:name="informationen"/>
      <w:bookmarkEnd w:id="90"/>
      <w:r>
        <w:rPr/>
        <w:t xml:space="preserve">9.2 </w:t>
      </w:r>
      <w:ins w:id="2" w:author="Mark Semmler" w:date="2024-06-27T15:02:31Z">
        <w:r>
          <w:rPr/>
          <w:t>B</w:t>
        </w:r>
      </w:ins>
      <w:del w:id="3" w:author="Mark Semmler" w:date="2024-06-27T15:02:31Z">
        <w:r>
          <w:rPr>
            <w:rFonts w:eastAsia="Bitstream Vera Sans" w:cs="Bitstream Vera Sans"/>
            <w:b w:val="false"/>
            <w:bCs/>
            <w:color w:val="auto"/>
            <w:kern w:val="0"/>
            <w:sz w:val="28"/>
            <w:szCs w:val="36"/>
            <w:lang w:val="de-DE" w:eastAsia="en-US" w:bidi="en-US"/>
          </w:rPr>
          <w:delText>b</w:delText>
        </w:r>
      </w:del>
      <w:r>
        <w:rPr>
          <w:rFonts w:eastAsia="Bitstream Vera Sans" w:cs="Bitstream Vera Sans"/>
          <w:b w:val="false"/>
          <w:bCs/>
          <w:color w:val="auto"/>
          <w:kern w:val="0"/>
          <w:sz w:val="28"/>
          <w:szCs w:val="36"/>
          <w:lang w:val="de-DE" w:eastAsia="en-US" w:bidi="en-US"/>
        </w:rPr>
        <w:t>esonders schützenswerte</w:t>
      </w:r>
      <w:r>
        <w:rPr/>
        <w:t xml:space="preserve"> Informationen</w:t>
      </w:r>
      <w:bookmarkEnd w:id="9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 w:author="Mark Semmler" w:date="2024-06-27T15:02:46Z">
              <w:r>
                <w:rPr>
                  <w:rFonts w:eastAsia="Bitstream Vera Sans" w:cs="Bitstream Vera Sans"/>
                  <w:color w:val="auto"/>
                  <w:kern w:val="0"/>
                  <w:sz w:val="20"/>
                  <w:szCs w:val="24"/>
                  <w:lang w:val="de-DE" w:eastAsia="en-US" w:bidi="en-US"/>
                </w:rPr>
                <w:t>B</w:t>
              </w:r>
            </w:ins>
            <w:del w:id="5" w:author="Mark Semmler" w:date="2024-06-27T15:02:45Z">
              <w:r>
                <w:rPr>
                  <w:rFonts w:eastAsia="Bitstream Vera Sans" w:cs="Bitstream Vera Sans"/>
                  <w:color w:val="auto"/>
                  <w:kern w:val="0"/>
                  <w:sz w:val="20"/>
                  <w:szCs w:val="24"/>
                  <w:lang w:val="de-DE" w:eastAsia="en-US" w:bidi="en-US"/>
                </w:rPr>
                <w:delText>b</w:delText>
              </w:r>
            </w:del>
            <w:r>
              <w:rPr>
                <w:rFonts w:eastAsia="Bitstream Vera Sans" w:cs="Bitstream Vera Sans"/>
                <w:color w:val="auto"/>
                <w:kern w:val="0"/>
                <w:sz w:val="20"/>
                <w:szCs w:val="24"/>
                <w:lang w:val="de-DE" w:eastAsia="en-US" w:bidi="en-US"/>
              </w:rPr>
              <w:t>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w:t>
            </w:r>
            <w:del w:id="6" w:author="Mark Semmler" w:date="2024-06-27T15:03:04Z">
              <w:r>
                <w:rPr/>
                <w:delText>Unmittelbare</w:delText>
              </w:r>
            </w:del>
            <w:ins w:id="7" w:author="Mark Semmler" w:date="2024-06-27T15:03:04Z">
              <w:r>
                <w:rPr/>
                <w:t>Zugesicherte</w:t>
              </w:r>
            </w:ins>
            <w:r>
              <w:rPr/>
              <w:t xml:space="preserv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8" w:author="Mark Semmler" w:date="2024-06-27T15:03:32Z">
              <w:r>
                <w:rPr>
                  <w:rStyle w:val="Emphasis"/>
                  <w:rFonts w:eastAsia="Bitstream Vera Sans" w:cs="Bitstream Vera Sans"/>
                  <w:color w:val="auto"/>
                  <w:kern w:val="0"/>
                  <w:sz w:val="20"/>
                  <w:szCs w:val="24"/>
                  <w:lang w:val="de-DE" w:eastAsia="en-US" w:bidi="en-US"/>
                </w:rPr>
                <w:t>B</w:t>
              </w:r>
            </w:ins>
            <w:del w:id="9" w:author="Mark Semmler" w:date="2024-06-27T15:03:31Z">
              <w:r>
                <w:rPr>
                  <w:rStyle w:val="Emphasis"/>
                  <w:rFonts w:eastAsia="Bitstream Vera Sans" w:cs="Bitstream Vera Sans"/>
                  <w:i/>
                  <w:iCs/>
                  <w:color w:val="auto"/>
                  <w:kern w:val="0"/>
                  <w:sz w:val="20"/>
                  <w:szCs w:val="24"/>
                  <w:lang w:val="de-DE" w:eastAsia="en-US" w:bidi="en-US"/>
                </w:rPr>
                <w:delText>b</w:delText>
              </w:r>
            </w:del>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w:t>
            </w:r>
            <w:ins w:id="10" w:author="Mark Semmler" w:date="2024-06-27T15:03:42Z">
              <w:r>
                <w:rPr>
                  <w:rStyle w:val="Emphasis"/>
                  <w:rFonts w:eastAsia="Bitstream Vera Sans" w:cs="Bitstream Vera Sans"/>
                  <w:i/>
                  <w:iCs/>
                  <w:color w:val="auto"/>
                  <w:kern w:val="0"/>
                  <w:sz w:val="20"/>
                  <w:szCs w:val="24"/>
                  <w:lang w:val="de-DE" w:eastAsia="en-US" w:bidi="en-US"/>
                </w:rPr>
                <w:t>n</w:t>
              </w:r>
            </w:ins>
            <w:r>
              <w:rPr>
                <w:rStyle w:val="Emphasis"/>
              </w:rPr>
              <w:t xml:space="preserve"> Informationen. Quantitative Merkmale definieren, ab welcher Menge </w:t>
            </w:r>
            <w:del w:id="11" w:author="Mark Semmler" w:date="2024-06-27T15:03:57Z">
              <w:r>
                <w:rPr>
                  <w:rStyle w:val="Emphasis"/>
                </w:rPr>
                <w:delText xml:space="preserve">die </w:delText>
              </w:r>
            </w:del>
            <w:r>
              <w:rPr>
                <w:rStyle w:val="Emphasis"/>
              </w:rPr>
              <w:t xml:space="preserve">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2" w:name="__RefHeading___it-ressourcen_49"/>
      <w:bookmarkStart w:id="93" w:name="it-ressourcen"/>
      <w:bookmarkEnd w:id="92"/>
      <w:r>
        <w:rPr/>
        <w:t>9.3 Besonders schützenswerte IT-Ressourcen</w:t>
      </w:r>
      <w:bookmarkEnd w:id="9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ihre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2" w:author="Mark Semmler" w:date="2024-06-27T15:06:31Z">
              <w:r>
                <w:rPr>
                  <w:rFonts w:eastAsia="Bitstream Vera Sans" w:cs="Bitstream Vera Sans"/>
                  <w:color w:val="auto"/>
                  <w:kern w:val="0"/>
                  <w:sz w:val="20"/>
                  <w:szCs w:val="24"/>
                  <w:lang w:val="de-DE" w:eastAsia="en-US" w:bidi="en-US"/>
                </w:rPr>
                <w:t>B</w:t>
              </w:r>
            </w:ins>
            <w:del w:id="13" w:author="Mark Semmler" w:date="2024-06-27T15:06:31Z">
              <w:r>
                <w:rPr>
                  <w:rFonts w:eastAsia="Bitstream Vera Sans" w:cs="Bitstream Vera Sans"/>
                  <w:color w:val="auto"/>
                  <w:kern w:val="0"/>
                  <w:sz w:val="20"/>
                  <w:szCs w:val="24"/>
                  <w:lang w:val="de-DE" w:eastAsia="en-US" w:bidi="en-US"/>
                </w:rPr>
                <w:delText>b</w:delText>
              </w:r>
            </w:del>
            <w:r>
              <w:rPr>
                <w:rFonts w:eastAsia="Bitstream Vera Sans" w:cs="Bitstream Vera Sans"/>
                <w:color w:val="auto"/>
                <w:kern w:val="0"/>
                <w:sz w:val="20"/>
                <w:szCs w:val="24"/>
                <w:lang w:val="de-DE" w:eastAsia="en-US" w:bidi="en-US"/>
              </w:rPr>
              <w:t>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n IT-Ressourcen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IT-Ressourcen zu ermitteln KANN ein Top-Down-Ansatz (prozessorientierte Sicht), ein Bottom-Up-Ansatz (systemorientierte Sicht) oder eine Mischung aus beiden verwendet werden. Bei Top-Down wird ermittelt, wo die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n Informationen verarbeitet, gespeichert und übertragen werden. Bei Bottom-Up hingegen werden die einzelnen Elemente der IT-Infrastruktur  untersucht, ob sie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Informationen verarbeiten, speichern oder übertragen.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eine kurze Beschreibung der </w:t>
            </w:r>
            <w:r>
              <w:rPr>
                <w:rFonts w:eastAsia="Bitstream Vera Sans" w:cs="Bitstream Vera Sans"/>
                <w:color w:val="auto"/>
                <w:kern w:val="0"/>
                <w:sz w:val="20"/>
                <w:szCs w:val="24"/>
                <w:lang w:val="de-DE" w:eastAsia="en-US" w:bidi="en-US"/>
              </w:rPr>
              <w:t>besonders schützenswerte</w:t>
            </w:r>
            <w:r>
              <w:rPr/>
              <w:t>n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IT-Ressource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die maximal tolerierbare Ausfallzeit (MTA)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widowControl w:val="false"/>
              <w:suppressAutoHyphens w:val="true"/>
              <w:overflowPunct w:val="fals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w:t>
            </w:r>
            <w:r>
              <w:rPr>
                <w:rFonts w:eastAsia="Bitstream Vera Sans" w:cs="Bitstream Vera Sans"/>
                <w:color w:val="auto"/>
                <w:kern w:val="0"/>
                <w:sz w:val="20"/>
                <w:szCs w:val="24"/>
                <w:lang w:val="de-DE" w:eastAsia="en-US" w:bidi="en-US"/>
              </w:rPr>
              <w: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70"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Muss in Abschnitt 10.5 umziehen.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Besonders schützenswerte IT-Ressourcen sind wichtige IT-Ressourcen und MÜSSEN entsprechend behandelt werden.</w:t>
            </w:r>
          </w:p>
        </w:tc>
      </w:tr>
    </w:tbl>
    <w:p>
      <w:pPr>
        <w:pStyle w:val="BodyText"/>
        <w:widowControl w:val="false"/>
        <w:numPr>
          <w:ilvl w:val="0"/>
          <w:numId w:val="1"/>
        </w:numPr>
        <w:tabs>
          <w:tab w:val="clear" w:pos="709"/>
          <w:tab w:val="left" w:pos="0" w:leader="none"/>
        </w:tabs>
        <w:suppressAutoHyphens w:val="true"/>
        <w:overflowPunct w:val="false"/>
        <w:bidi w:val="0"/>
        <w:spacing w:before="0" w:after="120"/>
        <w:ind w:hanging="0" w:start="0"/>
        <w:jc w:val="start"/>
        <w:rPr/>
      </w:pPr>
      <w:r>
        <w:rPr/>
      </w:r>
    </w:p>
    <w:p>
      <w:pPr>
        <w:pStyle w:val="Heading1"/>
        <w:numPr>
          <w:ilvl w:val="0"/>
          <w:numId w:val="1"/>
        </w:numPr>
        <w:tabs>
          <w:tab w:val="clear" w:pos="709"/>
          <w:tab w:val="left" w:pos="0" w:leader="none"/>
        </w:tabs>
        <w:bidi w:val="0"/>
        <w:ind w:hanging="0" w:start="0"/>
        <w:jc w:val="start"/>
        <w:rPr/>
      </w:pPr>
      <w:bookmarkStart w:id="94" w:name="__RefHeading___it-systeme_50"/>
      <w:bookmarkStart w:id="95" w:name="it-systeme"/>
      <w:bookmarkEnd w:id="94"/>
      <w:r>
        <w:rPr/>
        <w:t>10 IT-Systeme</w:t>
      </w:r>
      <w:bookmarkEnd w:id="9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96" w:name="__RefHeading___inventarisierung_51"/>
      <w:bookmarkStart w:id="97" w:name="inventarisierung"/>
      <w:bookmarkEnd w:id="96"/>
      <w:r>
        <w:rPr/>
        <w:t>10.1 Inventarisierung</w:t>
      </w:r>
      <w:bookmarkEnd w:id="9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nstufung des Systems</w:t>
            </w:r>
            <w:ins w:id="14" w:author="Mark Semmler" w:date="2024-06-27T15:09:15Z">
              <w:r>
                <w:rPr/>
                <w:t xml:space="preserve">, </w:t>
              </w:r>
            </w:ins>
            <w:ins w:id="15" w:author="Mark Semmler" w:date="2024-06-27T15:09:15Z">
              <w:r>
                <w:rPr/>
                <w:t>muss noch schöner formuliert werden</w:t>
              </w:r>
            </w:ins>
            <w:ins w:id="16" w:author="Mark Semmler" w:date="2024-06-27T15:11:23Z">
              <w:r>
                <w:rPr/>
                <w:t xml:space="preserve"> (ACHTUNG, neuer Begriff eingeführt!)</w:t>
              </w:r>
            </w:ins>
            <w:del w:id="17" w:author="Mark Semmler" w:date="2024-06-27T15:09:00Z">
              <w:r>
                <w:rPr/>
                <w:delText>.</w:delText>
              </w:r>
            </w:del>
          </w:p>
        </w:tc>
        <w:tc>
          <w:tcPr>
            <w:tcW w:w="4712" w:type="dxa"/>
            <w:tcBorders>
              <w:start w:val="single" w:sz="2" w:space="0" w:color="000000"/>
              <w:bottom w:val="single" w:sz="2" w:space="0" w:color="000000"/>
              <w:end w:val="single" w:sz="2" w:space="0" w:color="000000"/>
            </w:tcBorders>
          </w:tcPr>
          <w:p>
            <w:pPr>
              <w:pStyle w:val="Normal"/>
              <w:bidi w:val="0"/>
              <w:jc w:val="start"/>
              <w:rPr/>
            </w:pPr>
            <w:ins w:id="18" w:author="Mark Semmler" w:date="2024-06-27T15:07:39Z">
              <w:r>
                <w:rPr/>
                <w:t xml:space="preserve">4. </w:t>
              </w:r>
            </w:ins>
            <w:ins w:id="19" w:author="Mark Semmler" w:date="2024-06-27T15:10:54Z">
              <w:r>
                <w:rPr/>
                <w:t>seine Schutzklasse (unwichtig, wichtig, besonders schützenswert)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98" w:name="__RefHeading___lebenszyklus_52"/>
      <w:bookmarkStart w:id="99" w:name="lebenszyklus"/>
      <w:bookmarkEnd w:id="98"/>
      <w:r>
        <w:rPr/>
        <w:t>10.2 Lebenszyklus</w:t>
      </w:r>
      <w:bookmarkEnd w:id="9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2 Copy 1 Copy 1"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Muss angepasst werden. NIS2 fordert z. B. bereits Maßnahmen bei der Auswahl von IT-Systemen.</w:t>
            </w:r>
          </w:p>
        </w:tc>
      </w:tr>
    </w:tbl>
    <w:p>
      <w:pPr>
        <w:pStyle w:val="Normal"/>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Inbetriebnahme bis zu deren 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00" w:name="__RefHeading___inbetriebnahme_und_aender"/>
      <w:bookmarkStart w:id="101" w:name="inbetriebnahme_und_aenderung"/>
      <w:bookmarkEnd w:id="100"/>
      <w:r>
        <w:rPr/>
        <w:t>10.2.1 Inbetriebnahme und Änderung</w:t>
      </w:r>
      <w:bookmarkEnd w:id="10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pPrChange w:id="0" w:author="Mark Semmler" w:date="2024-06-27T15:17:40Z">
                <w:pPr>
                  <w:pStyle w:val="TableContents"/>
                </w:pPr>
              </w:pPrChange>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0" w:author="Mark Semmler" w:date="2024-06-27T15:18:03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ins w:id="21" w:author="Mark Semmler" w:date="2024-06-27T15:18:07Z">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Welche Maßnahmen für wichtige und besonders schützenswerte IT-Ressourcen?!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w:t>
            </w:r>
            <w:ins w:id="22" w:author="Mark Semmler" w:date="2024-06-27T15:13:42Z">
              <w:r>
                <w:rPr/>
                <w:t xml:space="preserve">Die Schutzklasse des IT-Systems wird ermittelt </w:t>
              </w:r>
            </w:ins>
            <w:del w:id="23" w:author="Mark Semmler" w:date="2024-06-27T15:13:58Z">
              <w:r>
                <w:rPr/>
                <w:delText xml:space="preserve">Es wird ermittelt, ob das IT-System </w:delText>
              </w:r>
            </w:del>
            <w:del w:id="24" w:author="Mark Semmler" w:date="2024-06-27T15:13:58Z">
              <w:r>
                <w:rPr/>
                <w:delText xml:space="preserve">wichtig oder besonders schützenswert </w:delText>
              </w:r>
            </w:del>
            <w:del w:id="25" w:author="Mark Semmler" w:date="2024-06-27T15:13:58Z">
              <w:r>
                <w:rPr/>
                <w:delText xml:space="preserve">ist </w:delText>
              </w:r>
            </w:del>
            <w:r>
              <w:rPr/>
              <w:t>(</w:t>
            </w:r>
            <w:del w:id="26" w:author="Mark Semmler" w:date="2024-06-27T15:14:05Z">
              <w:r>
                <w:rPr/>
                <w:delText>siehe Abschnitt 9.3</w:delText>
              </w:r>
            </w:del>
            <w:ins w:id="27" w:author="Mark Semmler" w:date="2024-06-27T15:14:05Z">
              <w:r>
                <w:rPr/>
                <w:t>unwichtig, normal, wichtig, besonders schützenswert</w:t>
              </w:r>
            </w:ins>
            <w:r>
              <w:rPr/>
              <w: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pPrChange w:id="0" w:author="Mark Semmler" w:date="2024-06-27T15:16:34Z">
                <w:pPr>
                  <w:pStyle w:val="TableContents"/>
                </w:pPr>
              </w:pPrChange>
              <w:rPr>
                <w:rFonts w:ascii="Arial" w:hAnsi="Arial" w:eastAsia="Bitstream Vera Sans" w:cs="Bitstream Vera Sans"/>
                <w:color w:val="auto"/>
                <w:kern w:val="0"/>
                <w:sz w:val="20"/>
                <w:szCs w:val="24"/>
                <w:lang w:val="de-DE" w:eastAsia="en-US" w:bidi="en-US"/>
              </w:rPr>
            </w:pPr>
            <w:r>
              <w:rPr>
                <w:rFonts w:eastAsia="Bitstream Vera Sans" w:cs="Bitstream Vera Sans"/>
                <w:rFonts w:ascii="Arial" w:hAnsi="Arial" w:eastAsia="Bitstream Vera Sans" w:cs="Bitstream Vera Sans"/>
                <w:color w:val="auto"/>
                <w:color w:val="auto"/>
                <w:kern w:val="0"/>
                <w:sz w:val="20"/>
                <w:szCs w:val="24"/>
                <w:lang w:val="de-DE" w:eastAsia="en-US" w:bidi="en-US"/>
                <w:lang w:val="de-DE" w:eastAsia="en-US" w:bidi="en-US"/>
                <w:rPrChange w:id="0" w:author="Mark Semmler" w:date="2024-06-27T15:16:34Z">
                  <w:rPr>
                    <w:sz w:val="20"/>
                    <w:kern w:val="0"/>
                    <w:szCs w:val="24"/>
                  </w:rPr>
                </w:rPrChange>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9" w:author="Mark Semmler" w:date="2024-06-27T15:17:52Z">
              <w:r>
                <w:rPr/>
                <w:t xml:space="preserve">Angepasst auf </w:t>
              </w:r>
            </w:ins>
            <w:ins w:id="30" w:author="Mark Semmler" w:date="2024-06-27T15:17:52Z">
              <w:r>
                <w:rPr>
                  <w:rFonts w:eastAsia="Bitstream Vera Sans" w:cs="Bitstream Vera Sans"/>
                  <w:color w:val="auto"/>
                  <w:kern w:val="0"/>
                  <w:sz w:val="20"/>
                  <w:szCs w:val="24"/>
                  <w:lang w:val="de-DE" w:eastAsia="en-US" w:bidi="en-US"/>
                </w:rPr>
                <w:t>„Schutzklassen“</w:t>
              </w:r>
            </w:ins>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31" w:author="Mark Semmler" w:date="2024-06-27T15:15:55Z">
              <w:r>
                <w:rPr/>
                <w:t>2. Die Maßnahmen der entsprechenden Schutzklasse werden umgesetzt.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pPrChange w:id="0" w:author="Mark Semmler" w:date="2024-06-27T15:17:33Z">
                <w:pPr>
                  <w:pStyle w:val="TableContents"/>
                </w:pPr>
              </w:pPrChange>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32" w:author="Mark Semmler" w:date="2024-06-27T15:16:46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33" w:author="Mark Semmler" w:date="2024-06-27T15:16:56Z">
              <w:r>
                <w:rPr/>
                <w:t>3. Die Inventarisierung der IT-Systeme (siehe Abschnitt 10.1) und der Netzwerkplan (siehe Abschnitt 11.1) werden aktualisiert.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pPrChange w:id="0" w:author="Mark Semmler" w:date="2024-06-27T15:17:33Z">
                <w:pPr>
                  <w:pStyle w:val="TableContents"/>
                </w:pPr>
              </w:pPrChange>
              <w:rPr>
                <w:rFonts w:ascii="Arial" w:hAnsi="Arial" w:eastAsia="Bitstream Vera Sans" w:cs="Bitstream Vera Sans"/>
                <w:color w:val="auto"/>
                <w:kern w:val="0"/>
                <w:sz w:val="20"/>
                <w:szCs w:val="24"/>
                <w:lang w:val="de-DE" w:eastAsia="en-US" w:bidi="en-US"/>
              </w:rPr>
            </w:pPr>
            <w:r>
              <w:rPr>
                <w:rFonts w:eastAsia="Bitstream Vera Sans" w:cs="Bitstream Vera Sans"/>
                <w:rFonts w:ascii="Arial" w:hAnsi="Arial" w:eastAsia="Bitstream Vera Sans" w:cs="Bitstream Vera Sans"/>
                <w:color w:val="auto"/>
                <w:color w:val="auto"/>
                <w:kern w:val="0"/>
                <w:sz w:val="20"/>
                <w:szCs w:val="24"/>
                <w:lang w:val="de-DE" w:eastAsia="en-US" w:bidi="en-US"/>
                <w:lang w:val="de-DE" w:eastAsia="en-US" w:bidi="en-US"/>
                <w:rPrChange w:id="0" w:author="Mark Semmler" w:date="2024-06-27T15:17:33Z">
                  <w:rPr>
                    <w:sz w:val="20"/>
                    <w:kern w:val="0"/>
                    <w:szCs w:val="24"/>
                  </w:rPr>
                </w:rPrChange>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35" w:author="Mark Semmler" w:date="2024-06-27T15:16:50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36" w:author="Mark Semmler" w:date="2024-06-27T15:16:56Z">
              <w:r>
                <w:rPr/>
                <w:t>4. Bei Inbetriebnahme werden die Arbeitsschritte dokumentiert.</w:t>
              </w:r>
            </w:ins>
          </w:p>
        </w:tc>
      </w:tr>
    </w:tbl>
    <w:p>
      <w:pPr>
        <w:pStyle w:val="Heading3"/>
        <w:numPr>
          <w:ilvl w:val="2"/>
          <w:numId w:val="1"/>
        </w:numPr>
        <w:tabs>
          <w:tab w:val="clear" w:pos="709"/>
          <w:tab w:val="left" w:pos="0" w:leader="none"/>
        </w:tabs>
        <w:bidi w:val="0"/>
        <w:ind w:hanging="0" w:start="0"/>
        <w:jc w:val="start"/>
        <w:rPr/>
      </w:pPr>
      <w:bookmarkStart w:id="102" w:name="__RefHeading___ausmusterung_und_wiederve"/>
      <w:bookmarkStart w:id="103" w:name="ausmusterung_und_wiederverwendung"/>
      <w:bookmarkEnd w:id="102"/>
      <w:r>
        <w:rPr/>
        <w:t>10.2.2 Ausmusterung und Wiederverwendung</w:t>
      </w:r>
      <w:bookmarkEnd w:id="10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37" w:author="Mark Semmler" w:date="2024-06-27T15:18:31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38" w:author="Mark Semmler" w:date="2024-06-27T15:18:37Z">
              <w:r>
                <w:rPr/>
                <w:t>Es MUSS ein Verfahren (siehe Anhang A 1) für das Ausmustern und Wiederverwenden der IT-Systeme implementiert werden, das folgende Punkte sicherstellt: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39" w:author="Mark Semmler" w:date="2024-06-27T15:18:31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0" w:author="Mark Semmler" w:date="2024-06-27T15:18:37Z">
              <w:r>
                <w:rPr/>
                <w:t>1. Die auf dem IT-System gespeicherten Informationen werden bei Bedarf gesichert bzw. archiviert.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1" w:author="Mark Semmler" w:date="2024-06-27T15:18:31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2" w:author="Mark Semmler" w:date="2024-06-27T15:18:37Z">
              <w:r>
                <w:rPr/>
                <w:t>2. Alle Informationen werden vor unrechtmäßigem Zugriff geschützt, indem sie z. B. zuverlässig gelöscht, überschrieben, aus dem IT-System entfernt werden oder indem das IT-System insgesamt zerstört wird.</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3" w:author="Mark Semmler" w:date="2024-06-27T15:18:31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4" w:author="Mark Semmler" w:date="2024-06-27T15:18:37Z">
              <w:r>
                <w:rPr/>
                <w:t>3. Die Inventarisierung der IT-Systeme (siehe Abschnitt 10.1) und der Netzwerkplan (siehe Abschnitt 11.1) werden aktualisiert.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5" w:author="Mark Semmler" w:date="2024-06-27T15:18:31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6" w:author="Mark Semmler" w:date="2024-06-27T15:18:37Z">
              <w:r>
                <w:rPr/>
                <w:t>4. Bei Ausmusterung werden die Arbeitsschritte dokumentiert.</w:t>
              </w:r>
            </w:ins>
          </w:p>
        </w:tc>
      </w:tr>
    </w:tbl>
    <w:p>
      <w:pPr>
        <w:pStyle w:val="Heading2"/>
        <w:numPr>
          <w:ilvl w:val="1"/>
          <w:numId w:val="1"/>
        </w:numPr>
        <w:tabs>
          <w:tab w:val="clear" w:pos="709"/>
          <w:tab w:val="left" w:pos="0" w:leader="none"/>
        </w:tabs>
        <w:bidi w:val="0"/>
        <w:ind w:hanging="0" w:start="0"/>
        <w:jc w:val="start"/>
        <w:rPr/>
      </w:pPr>
      <w:bookmarkStart w:id="104" w:name="__RefHeading___basisschutz_55"/>
      <w:bookmarkStart w:id="105" w:name="basisschutz"/>
      <w:bookmarkEnd w:id="104"/>
      <w:r>
        <w:rPr/>
        <w:t>10.3 Basisschutz</w:t>
      </w:r>
      <w:bookmarkEnd w:id="10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1 Copy 1 Copy 2"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aktuell noch ein ziemlich verbesserungswürdiges Gebilde. Hier müssen wir auf deng nächsten Referentenentwurf warten.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Wir können IT-Systeme von den Maßnahmen ausschließen, wenn sie die Kriterien der Risikoakzeptanz (siehe Abschnitt A 2.1)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06" w:name="__RefHeading___software_56"/>
      <w:bookmarkStart w:id="107" w:name="software"/>
      <w:bookmarkEnd w:id="106"/>
      <w:r>
        <w:rPr/>
        <w:t>10.3.1 Software</w:t>
      </w:r>
      <w:bookmarkEnd w:id="10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08" w:name="__RefHeading___beschraenkung_des_netzwer"/>
      <w:bookmarkStart w:id="109" w:name="beschraenkung_des_netzwerkverkehrs"/>
      <w:bookmarkEnd w:id="108"/>
      <w:r>
        <w:rPr/>
        <w:t>10.3.2 Beschränkung des Netzwerkverkehrs</w:t>
      </w:r>
      <w:bookmarkEnd w:id="10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10" w:name="__RefHeading___protokollierung_58"/>
      <w:bookmarkStart w:id="111" w:name="protokollierung"/>
      <w:bookmarkEnd w:id="110"/>
      <w:r>
        <w:rPr/>
        <w:t>10.3.3 Protokollierung</w:t>
      </w:r>
      <w:bookmarkEnd w:id="1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12" w:name="__RefHeading___externe_schnittstellen_un"/>
      <w:bookmarkStart w:id="113" w:name="externe_schnittstellen_und_laufwerke"/>
      <w:bookmarkEnd w:id="112"/>
      <w:r>
        <w:rPr/>
        <w:t>10.3.4 Externe Schnittstellen und Laufwerke</w:t>
      </w:r>
      <w:bookmarkEnd w:id="1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14" w:name="__RefHeading___schadsoftware_60"/>
      <w:bookmarkStart w:id="115" w:name="schadsoftware"/>
      <w:bookmarkEnd w:id="114"/>
      <w:r>
        <w:rPr/>
        <w:t>10.3.5 Schadsoftware</w:t>
      </w:r>
      <w:bookmarkEnd w:id="1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16" w:name="__RefHeading___starten_von_fremden_medie"/>
      <w:bookmarkStart w:id="117" w:name="starten_von_fremden_medien"/>
      <w:bookmarkEnd w:id="116"/>
      <w:r>
        <w:rPr/>
        <w:t>10.3.6 Starten von fremden Medien</w:t>
      </w:r>
      <w:bookmarkEnd w:id="1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18" w:name="__RefHeading___authentifizierung_62"/>
      <w:bookmarkStart w:id="119" w:name="authentifizierung"/>
      <w:bookmarkEnd w:id="118"/>
      <w:r>
        <w:rPr/>
        <w:t>10.3.7 Authentifizierung</w:t>
      </w:r>
      <w:bookmarkEnd w:id="11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1 Copy 1 Copy 2 Copy 1"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Frage: Sollten wir die Formulierung der VdS 10100 vielleicht in die VdS 10k übernehmen?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Folge wäre für die Organisationen, die die VdS 10k umsetzen: Kein MFA?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Risikoanalyse durchführen!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Würde passen!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Risikomanagementmaßnahmen besonders wichtiger Einrichtungen und wichtiger Einrichtungen</w:t>
            </w:r>
          </w:p>
          <w:p>
            <w:pPr>
              <w:pStyle w:val="TableContents"/>
              <w:bidi w:val="0"/>
              <w:jc w:val="start"/>
              <w:rPr/>
            </w:pPr>
            <w:r>
              <w:rPr/>
            </w:r>
          </w:p>
          <w:p>
            <w:pPr>
              <w:pStyle w:val="TableContents"/>
              <w:bidi w:val="0"/>
              <w:jc w:val="start"/>
              <w:rPr/>
            </w:pPr>
            <w:r>
              <w:rPr/>
              <w:t>(2) Maßnahmen nach Absatz 1 sollen den Stand der Technik einhalten, die einschlägigen europäischen und internationalen Normen berücksichtigen und müssen auf einem gefahrenübergreifenden Ansatz beruhen.</w:t>
            </w:r>
          </w:p>
          <w:p>
            <w:pPr>
              <w:pStyle w:val="TableContents"/>
              <w:bidi w:val="0"/>
              <w:jc w:val="start"/>
              <w:rPr/>
            </w:pPr>
            <w:r>
              <w:rPr/>
              <w:t>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nichjt nur eine Empfehlung.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0" w:name="__RefHeading___zugaenge_und_zugriffe_63"/>
      <w:bookmarkStart w:id="121" w:name="zugaenge_und_zugriffe"/>
      <w:bookmarkEnd w:id="120"/>
      <w:r>
        <w:rPr/>
        <w:t>10.3.8 Zugänge und Zugriffe</w:t>
      </w:r>
      <w:bookmarkEnd w:id="1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22" w:name="__RefHeading___zusaetzliche_massnahmen_f"/>
      <w:bookmarkStart w:id="123" w:name="zusaetzliche_massnahmen_fuer_mobile_it-s"/>
      <w:bookmarkEnd w:id="122"/>
      <w:r>
        <w:rPr/>
        <w:t>10.4 Zusätzliche Maßnahmen für mobile IT-Systeme</w:t>
      </w:r>
      <w:bookmarkEnd w:id="1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4" w:name="__RefHeading___is-richtlinie_65"/>
      <w:bookmarkStart w:id="125" w:name="is-richtlinie"/>
      <w:bookmarkEnd w:id="124"/>
      <w:r>
        <w:rPr/>
        <w:t>10.4.1 IS-Richtlinie</w:t>
      </w:r>
      <w:bookmarkEnd w:id="1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6" w:name="__RefHeading___schutz_der_informationen_"/>
      <w:bookmarkStart w:id="127" w:name="schutz_der_informationen"/>
      <w:bookmarkEnd w:id="126"/>
      <w:r>
        <w:rPr/>
        <w:t>10.4.2 Schutz der Informationen</w:t>
      </w:r>
      <w:bookmarkEnd w:id="1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8" w:name="__RefHeading___verlust_67"/>
      <w:bookmarkStart w:id="129" w:name="verlust"/>
      <w:bookmarkEnd w:id="128"/>
      <w:r>
        <w:rPr/>
        <w:t>10.4.3 Verlust</w:t>
      </w:r>
      <w:bookmarkEnd w:id="1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30" w:name="__RefHeading___zusaetzliche_massnahmen_1"/>
      <w:bookmarkStart w:id="131" w:name="zusaetzliche_massnahmen_fuer_kritische_i"/>
      <w:bookmarkEnd w:id="130"/>
      <w:r>
        <w:rPr/>
        <w:t>10.x Zusätzliche Maßnahmen für wichtige IT-Systeme</w:t>
      </w:r>
      <w:bookmarkEnd w:id="1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Für wichtige IT-Systeme MUSS eine Risikoanalyse und –behandlung etabliert werden (siehe Anhang A 2).</w:t>
            </w:r>
          </w:p>
        </w:tc>
      </w:tr>
    </w:tbl>
    <w:p>
      <w:pPr>
        <w:pStyle w:val="Heading2"/>
        <w:numPr>
          <w:ilvl w:val="1"/>
          <w:numId w:val="1"/>
        </w:numPr>
        <w:tabs>
          <w:tab w:val="clear" w:pos="709"/>
          <w:tab w:val="left" w:pos="0" w:leader="none"/>
        </w:tabs>
        <w:bidi w:val="0"/>
        <w:ind w:hanging="0" w:start="0"/>
        <w:jc w:val="start"/>
        <w:rPr/>
      </w:pPr>
      <w:bookmarkStart w:id="132" w:name="__RefHeading___zusaetzliche_massnahmen_2"/>
      <w:bookmarkStart w:id="133" w:name="zusaetzliche_massnahmen_fuer_kritische_1"/>
      <w:bookmarkEnd w:id="132"/>
      <w:r>
        <w:rPr/>
        <w:t xml:space="preserve">10.5 Zusätzliche Maßnahmen für </w:t>
      </w:r>
      <w:r>
        <w:rPr>
          <w:rStyle w:val="Emphasis"/>
          <w:rFonts w:eastAsia="Bitstream Vera Sans" w:cs="Bitstream Vera Sans"/>
          <w:b w:val="false"/>
          <w:bCs/>
          <w:i/>
          <w:iCs/>
          <w:color w:val="auto"/>
          <w:kern w:val="0"/>
          <w:sz w:val="28"/>
          <w:szCs w:val="36"/>
          <w:lang w:val="de-DE" w:eastAsia="en-US" w:bidi="en-US"/>
        </w:rPr>
        <w:t>besonders schützenswerte</w:t>
      </w:r>
      <w:r>
        <w:rPr>
          <w:rStyle w:val="Emphasis"/>
        </w:rPr>
        <w:t xml:space="preserve"> </w:t>
      </w:r>
      <w:r>
        <w:rPr/>
        <w:t>IT-Systeme</w:t>
      </w:r>
      <w:bookmarkEnd w:id="1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ascii="Arial" w:hAnsi="Arial" w:eastAsia="Bitstream Vera Sans" w:cs="Bitstream Vera Sans"/>
                <w:i w:val="false"/>
                <w:iCs w:val="false"/>
                <w:color w:val="auto"/>
                <w:lang w:val="de-DE" w:eastAsia="en-US" w:bidi="en-US"/>
                <w:rPrChange w:id="0" w:author="Mark Semmler" w:date="2024-06-27T15:20:39Z">
                  <w:rPr>
                    <w:sz w:val="20"/>
                    <w:kern w:val="0"/>
                    <w:szCs w:val="24"/>
                  </w:rPr>
                </w:rPrChange>
              </w:rPr>
              <w:t xml:space="preserve">Folgende Maßnahmen MÜSSEN zusätzlich für alle </w:t>
            </w:r>
            <w:r>
              <w:rPr>
                <w:rStyle w:val="Emphasis"/>
                <w:rFonts w:eastAsia="Bitstream Vera Sans" w:cs="Bitstream Vera Sans"/>
                <w:rFonts w:ascii="Arial" w:hAnsi="Arial" w:eastAsia="Bitstream Vera Sans" w:cs="Bitstream Vera Sans"/>
                <w:i w:val="false"/>
                <w:iCs w:val="false"/>
                <w:color w:val="auto"/>
                <w:color w:val="auto"/>
                <w:kern w:val="0"/>
                <w:sz w:val="20"/>
                <w:szCs w:val="24"/>
                <w:lang w:val="de-DE" w:eastAsia="en-US" w:bidi="en-US"/>
                <w:lang w:val="de-DE" w:eastAsia="en-US" w:bidi="en-US"/>
                <w:rPrChange w:id="0" w:author="Mark Semmler" w:date="2024-06-27T15:20:39Z">
                  <w:rPr>
                    <w:rStyle w:val="Emphasis"/>
                    <w:sz w:val="20"/>
                    <w:i/>
                    <w:kern w:val="0"/>
                    <w:szCs w:val="24"/>
                    <w:iCs/>
                  </w:rPr>
                </w:rPrChange>
              </w:rPr>
              <w:t>besonders schützenswerte</w:t>
            </w:r>
            <w:r>
              <w:rPr>
                <w:rStyle w:val="Emphasis"/>
                <w:rFonts w:ascii="Arial" w:hAnsi="Arial" w:eastAsia="Bitstream Vera Sans" w:cs="Bitstream Vera Sans"/>
                <w:i w:val="false"/>
                <w:iCs w:val="false"/>
                <w:color w:val="auto"/>
                <w:lang w:val="de-DE" w:eastAsia="en-US" w:bidi="en-US"/>
                <w:rPrChange w:id="0" w:author="Mark Semmler" w:date="2024-06-27T15:20:39Z">
                  <w:rPr>
                    <w:rStyle w:val="Emphasis"/>
                    <w:sz w:val="20"/>
                    <w:i/>
                    <w:kern w:val="0"/>
                    <w:szCs w:val="24"/>
                    <w:iCs/>
                  </w:rPr>
                </w:rPrChange>
              </w:rPr>
              <w:t>n</w:t>
            </w:r>
            <w:r>
              <w:rPr>
                <w:rFonts w:ascii="Arial" w:hAnsi="Arial" w:eastAsia="Bitstream Vera Sans" w:cs="Bitstream Vera Sans"/>
                <w:i w:val="false"/>
                <w:iCs w:val="false"/>
                <w:color w:val="auto"/>
                <w:lang w:val="de-DE" w:eastAsia="en-US" w:bidi="en-US"/>
                <w:rPrChange w:id="0" w:author="Mark Semmler" w:date="2024-06-27T15:20:39Z">
                  <w:rPr>
                    <w:sz w:val="20"/>
                    <w:kern w:val="0"/>
                    <w:szCs w:val="24"/>
                  </w:rPr>
                </w:rPrChang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BodyText"/>
        <w:bidi w:val="0"/>
        <w:spacing w:before="0" w:after="120"/>
        <w:jc w:val="both"/>
        <w:rPr/>
      </w:pPr>
      <w:r>
        <w:rPr/>
      </w:r>
    </w:p>
    <w:p>
      <w:pPr>
        <w:pStyle w:val="Heading3"/>
        <w:numPr>
          <w:ilvl w:val="2"/>
          <w:numId w:val="1"/>
        </w:numPr>
        <w:tabs>
          <w:tab w:val="clear" w:pos="709"/>
          <w:tab w:val="left" w:pos="0" w:leader="none"/>
        </w:tabs>
        <w:bidi w:val="0"/>
        <w:ind w:hanging="0" w:start="0"/>
        <w:jc w:val="start"/>
        <w:rPr/>
      </w:pPr>
      <w:bookmarkStart w:id="134" w:name="__RefHeading___risikoanalyse_und_-behand"/>
      <w:bookmarkStart w:id="135" w:name="risikoanalyse_und_-behandlung"/>
      <w:bookmarkEnd w:id="134"/>
      <w:r>
        <w:rPr>
          <w:strike/>
        </w:rPr>
        <w:t>10.5.1 Risikoanalyse und behandlung</w:t>
      </w:r>
      <w:bookmarkEnd w:id="135"/>
    </w:p>
    <w:p>
      <w:pPr>
        <w:pStyle w:val="BodyText"/>
        <w:numPr>
          <w:ilvl w:val="2"/>
          <w:numId w:val="1"/>
        </w:numPr>
        <w:rPr/>
      </w:pPr>
      <w:r>
        <w:rPr/>
        <w:t>(entfällt, da besonders schützenswerte IT-Systeme auch wichtige IT-Systeme sind)</w:t>
      </w:r>
    </w:p>
    <w:p>
      <w:pPr>
        <w:pStyle w:val="Heading3"/>
        <w:numPr>
          <w:ilvl w:val="2"/>
          <w:numId w:val="1"/>
        </w:numPr>
        <w:tabs>
          <w:tab w:val="clear" w:pos="709"/>
          <w:tab w:val="left" w:pos="0" w:leader="none"/>
        </w:tabs>
        <w:bidi w:val="0"/>
        <w:ind w:hanging="0" w:start="0"/>
        <w:jc w:val="start"/>
        <w:rPr/>
      </w:pPr>
      <w:bookmarkStart w:id="136" w:name="__RefHeading___notbetriebsniveau_70"/>
      <w:bookmarkStart w:id="137" w:name="notbetriebsniveau"/>
      <w:bookmarkEnd w:id="136"/>
      <w:r>
        <w:rPr/>
        <w:t>10.5.2 Notbetriebsniveau</w:t>
      </w:r>
      <w:bookmarkEnd w:id="1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38" w:name="__RefHeading___robustheit_71"/>
      <w:bookmarkStart w:id="139" w:name="robustheit"/>
      <w:bookmarkEnd w:id="138"/>
      <w:r>
        <w:rPr/>
        <w:t>10.5.3 Robustheit</w:t>
      </w:r>
      <w:bookmarkEnd w:id="1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rStyle w:val="Emphasis"/>
              </w:rPr>
              <w:t>n</w:t>
            </w:r>
            <w:r>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40" w:name="__RefHeading___externe_schnittstellen_u1"/>
      <w:bookmarkStart w:id="141" w:name="externe_schnittstellen_und_laufwerke1"/>
      <w:bookmarkEnd w:id="140"/>
      <w:r>
        <w:rPr/>
        <w:t>10.5.4 Externe Schnittstellen und Laufwerke</w:t>
      </w:r>
      <w:bookmarkEnd w:id="1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42" w:name="__RefHeading___aenderungsmanagement_73"/>
      <w:bookmarkStart w:id="143" w:name="aenderungsmanagement"/>
      <w:bookmarkEnd w:id="142"/>
      <w:r>
        <w:rPr/>
        <w:t>10.5.5 Änderungsmanagement</w:t>
      </w:r>
      <w:bookmarkEnd w:id="1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r>
    </w:tbl>
    <w:p>
      <w:pPr>
        <w:pStyle w:val="Heading3"/>
        <w:numPr>
          <w:ilvl w:val="2"/>
          <w:numId w:val="1"/>
        </w:numPr>
        <w:tabs>
          <w:tab w:val="clear" w:pos="709"/>
          <w:tab w:val="left" w:pos="0" w:leader="none"/>
        </w:tabs>
        <w:bidi w:val="0"/>
        <w:ind w:hanging="0" w:start="0"/>
        <w:jc w:val="start"/>
        <w:rPr/>
      </w:pPr>
      <w:bookmarkStart w:id="144" w:name="__RefHeading___dokumentation_74"/>
      <w:bookmarkStart w:id="145" w:name="dokumentation"/>
      <w:bookmarkEnd w:id="144"/>
      <w:r>
        <w:rPr/>
        <w:t>10.5.6 Dokumentation</w:t>
      </w:r>
      <w:bookmarkEnd w:id="1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jedes </w:t>
            </w:r>
            <w:r>
              <w:rPr>
                <w:rFonts w:eastAsia="Bitstream Vera Sans" w:cs="Bitstream Vera Sans"/>
                <w:color w:val="auto"/>
                <w:kern w:val="0"/>
                <w:sz w:val="20"/>
                <w:szCs w:val="24"/>
                <w:lang w:val="de-DE" w:eastAsia="en-US" w:bidi="en-US"/>
              </w:rPr>
              <w:t>besonders schützenswerte</w:t>
            </w:r>
            <w:r>
              <w:rPr/>
              <w:t xml:space="preserve">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46" w:name="__RefHeading___datensicherung_75"/>
      <w:bookmarkStart w:id="147" w:name="datensicherung"/>
      <w:bookmarkEnd w:id="146"/>
      <w:r>
        <w:rPr/>
        <w:t>10.5.7 Datensicherung</w:t>
      </w:r>
      <w:bookmarkEnd w:id="1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kritischen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48" w:name="__RefHeading___ueberwachung_76"/>
      <w:bookmarkStart w:id="149" w:name="ueberwachung"/>
      <w:bookmarkEnd w:id="148"/>
      <w:r>
        <w:rPr/>
        <w:t>10.5.8 Überwachung</w:t>
      </w:r>
      <w:bookmarkEnd w:id="1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Es MUSS überwacht werden, ob sich </w:t>
            </w:r>
            <w:r>
              <w:rPr>
                <w:rFonts w:eastAsia="Bitstream Vera Sans" w:cs="Bitstream Vera Sans"/>
                <w:color w:val="auto"/>
                <w:kern w:val="0"/>
                <w:sz w:val="20"/>
                <w:szCs w:val="24"/>
                <w:lang w:val="de-DE" w:eastAsia="en-US" w:bidi="en-US"/>
              </w:rPr>
              <w:t>besonders schützenswerte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Dabei MUSS sichergestellt werden, dass der Ausfall eines </w:t>
            </w:r>
            <w:r>
              <w:rPr>
                <w:rFonts w:eastAsia="Bitstream Vera Sans" w:cs="Bitstream Vera Sans"/>
                <w:color w:val="auto"/>
                <w:kern w:val="0"/>
                <w:sz w:val="20"/>
                <w:szCs w:val="24"/>
                <w:lang w:val="de-DE" w:eastAsia="en-US" w:bidi="en-US"/>
              </w:rPr>
              <w:t>besonders schützenswerte</w:t>
            </w:r>
            <w:r>
              <w:rPr/>
              <w:t>n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Darüber hinaus SOLLTEN die Ressourcen </w:t>
            </w:r>
            <w:r>
              <w:rPr>
                <w:rStyle w:val="Emphasis"/>
                <w:rFonts w:eastAsia="Bitstream Vera Sans" w:cs="Bitstream Vera Sans"/>
                <w:i/>
                <w:iCs/>
                <w:color w:val="auto"/>
                <w:kern w:val="0"/>
                <w:sz w:val="20"/>
                <w:szCs w:val="24"/>
                <w:lang w:val="de-DE" w:eastAsia="en-US" w:bidi="en-US"/>
              </w:rPr>
              <w:t>besonders schützenswerte</w:t>
            </w:r>
            <w:r>
              <w:rPr>
                <w:rStyle w:val="Emphasis"/>
              </w:rPr>
              <w:t>r IT-Systeme überwacht werden, um Engpässe zu erkennen, bevor sie akut werden.</w:t>
            </w:r>
          </w:p>
        </w:tc>
      </w:tr>
    </w:tbl>
    <w:p>
      <w:pPr>
        <w:pStyle w:val="Heading3"/>
        <w:numPr>
          <w:ilvl w:val="2"/>
          <w:numId w:val="1"/>
        </w:numPr>
        <w:tabs>
          <w:tab w:val="clear" w:pos="709"/>
          <w:tab w:val="left" w:pos="0" w:leader="none"/>
        </w:tabs>
        <w:bidi w:val="0"/>
        <w:ind w:hanging="0" w:start="0"/>
        <w:jc w:val="start"/>
        <w:rPr/>
      </w:pPr>
      <w:bookmarkStart w:id="150" w:name="__RefHeading___ersatzsysteme_und_-verfah"/>
      <w:bookmarkStart w:id="151" w:name="ersatzsysteme_und_-verfahren"/>
      <w:bookmarkEnd w:id="150"/>
      <w:r>
        <w:rPr/>
        <w:t>10.5.9 Ersatzsysteme und -verfahren</w:t>
      </w:r>
      <w:bookmarkEnd w:id="1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1"/>
        </w:numPr>
        <w:tabs>
          <w:tab w:val="clear" w:pos="709"/>
          <w:tab w:val="left" w:pos="0" w:leader="none"/>
        </w:tabs>
        <w:bidi w:val="0"/>
        <w:ind w:hanging="0" w:start="0"/>
        <w:jc w:val="start"/>
        <w:rPr/>
      </w:pPr>
      <w:bookmarkStart w:id="152" w:name="__RefHeading___kritische_individualsoftw"/>
      <w:bookmarkStart w:id="153" w:name="kritische_individualsoftware"/>
      <w:bookmarkEnd w:id="152"/>
      <w:r>
        <w:rPr/>
        <w:t xml:space="preserve">10.5.10 </w:t>
      </w:r>
      <w:del w:id="51" w:author="Mark Semmler" w:date="2024-06-27T15:33:47Z">
        <w:r>
          <w:rPr/>
          <w:delText>Kritische</w:delText>
        </w:r>
      </w:del>
      <w:ins w:id="52" w:author="Mark Semmler" w:date="2024-06-27T15:33:47Z">
        <w:r>
          <w:rPr/>
          <w:t>Besonders schützenswerte</w:t>
        </w:r>
      </w:ins>
      <w:r>
        <w:rPr/>
        <w:t xml:space="preserve"> Individualsoftware</w:t>
      </w:r>
      <w:bookmarkEnd w:id="1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ins w:id="53" w:author="Mark Semmler" w:date="2024-06-27T15:29:47Z">
              <w:r>
                <w:rPr>
                  <w:rFonts w:eastAsia="Bitstream Vera Sans" w:cs="Bitstream Vera Sans"/>
                  <w:color w:val="auto"/>
                  <w:kern w:val="0"/>
                  <w:sz w:val="20"/>
                  <w:szCs w:val="24"/>
                  <w:lang w:val="de-DE" w:eastAsia="en-US" w:bidi="en-US"/>
                </w:rPr>
                <w:t xml:space="preserve"> </w:t>
              </w:r>
            </w:ins>
            <w:ins w:id="54" w:author="Mark Semmler" w:date="2024-06-27T15:29:47Z">
              <w:r>
                <w:rPr>
                  <w:rFonts w:eastAsia="Bitstream Vera Sans" w:cs="Bitstream Vera Sans"/>
                  <w:color w:val="auto"/>
                  <w:kern w:val="0"/>
                  <w:sz w:val="20"/>
                  <w:szCs w:val="24"/>
                  <w:lang w:val="de-DE" w:eastAsia="en-US" w:bidi="en-US"/>
                </w:rPr>
                <w:t>(klingt komisch)</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durch vertragliche und/oder organisatorische Regelungen sicherstellen, dass sie </w:t>
            </w:r>
            <w:del w:id="55" w:author="Mark Semmler" w:date="2024-06-27T15:29:21Z">
              <w:r>
                <w:rPr/>
                <w:delText>kritische</w:delText>
              </w:r>
            </w:del>
            <w:ins w:id="56" w:author="Mark Semmler" w:date="2024-06-27T15:29:21Z">
              <w:r>
                <w:rPr/>
                <w:t>besonders schützenswerte</w:t>
              </w:r>
            </w:ins>
            <w:r>
              <w:rPr/>
              <w:t xml:space="preserve"> Individualsoftware auch in Zukunft verwenden und ihren Bedürfnissen anpassen kann.</w:t>
            </w:r>
          </w:p>
        </w:tc>
      </w:tr>
    </w:tbl>
    <w:p>
      <w:pPr>
        <w:pStyle w:val="Heading1"/>
        <w:numPr>
          <w:ilvl w:val="0"/>
          <w:numId w:val="1"/>
        </w:numPr>
        <w:tabs>
          <w:tab w:val="clear" w:pos="709"/>
          <w:tab w:val="left" w:pos="0" w:leader="none"/>
        </w:tabs>
        <w:bidi w:val="0"/>
        <w:ind w:hanging="0" w:start="0"/>
        <w:jc w:val="start"/>
        <w:rPr/>
      </w:pPr>
      <w:bookmarkStart w:id="154" w:name="__RefHeading___netzwerke_und_verbindunge"/>
      <w:bookmarkStart w:id="155" w:name="netzwerke_und_verbindungen"/>
      <w:bookmarkEnd w:id="154"/>
      <w:r>
        <w:rPr/>
        <w:t>11 Netzwerke und Verbindungen</w:t>
      </w:r>
      <w:bookmarkEnd w:id="1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56" w:name="__RefHeading___netzwerkplan_80"/>
      <w:bookmarkStart w:id="157" w:name="netzwerkplan"/>
      <w:bookmarkEnd w:id="156"/>
      <w:r>
        <w:rPr/>
        <w:t>11.1 Netzwerkplan</w:t>
      </w:r>
      <w:bookmarkEnd w:id="1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58" w:name="__RefHeading___aktive_netzwerkkomponente"/>
      <w:bookmarkStart w:id="159" w:name="aktive_netzwerkkomponenten"/>
      <w:bookmarkEnd w:id="158"/>
      <w:r>
        <w:rPr/>
        <w:t>11.2 Aktive Netzwerkkomponenten</w:t>
      </w:r>
      <w:bookmarkEnd w:id="1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60" w:name="__RefHeading___netzuebergaenge_82"/>
      <w:bookmarkStart w:id="161" w:name="netzuebergaenge"/>
      <w:bookmarkEnd w:id="160"/>
      <w:r>
        <w:rPr/>
        <w:t>11.3 Netzübergänge</w:t>
      </w:r>
      <w:bookmarkEnd w:id="1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62" w:name="__RefHeading___basisschutz_83"/>
      <w:bookmarkStart w:id="163" w:name="basisschutz1"/>
      <w:bookmarkEnd w:id="162"/>
      <w:r>
        <w:rPr/>
        <w:t>11.4 Basisschutz</w:t>
      </w:r>
      <w:bookmarkEnd w:id="1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 xml:space="preserve">hang A 2) und der Netzwerkverkehr von und zu ihnen auf das für ihre Funktionsfähigkeit notwendige Minimum beschränkt ist, z. B. durch eine geeignete Segmentierung </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BodyText"/>
        <w:bidi w:val="0"/>
        <w:spacing w:before="0" w:after="120"/>
        <w:jc w:val="both"/>
        <w:rPr/>
      </w:pPr>
      <w:r>
        <w:rPr/>
      </w:r>
    </w:p>
    <w:p>
      <w:pPr>
        <w:pStyle w:val="Heading3"/>
        <w:numPr>
          <w:ilvl w:val="2"/>
          <w:numId w:val="1"/>
        </w:numPr>
        <w:tabs>
          <w:tab w:val="clear" w:pos="709"/>
          <w:tab w:val="left" w:pos="0" w:leader="none"/>
        </w:tabs>
        <w:bidi w:val="0"/>
        <w:ind w:hanging="0" w:start="0"/>
        <w:jc w:val="start"/>
        <w:rPr/>
      </w:pPr>
      <w:bookmarkStart w:id="164" w:name="__RefHeading___netzwerkanschluesse_84"/>
      <w:bookmarkStart w:id="165" w:name="netzwerkanschluesse"/>
      <w:bookmarkEnd w:id="164"/>
      <w:r>
        <w:rPr/>
        <w:t>11.4.1 Netzwerkanschlüsse</w:t>
      </w:r>
      <w:bookmarkEnd w:id="16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7" w:author="Mark Semmler" w:date="2024-06-27T16:00:25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8" w:author="Mark Semmler" w:date="2024-06-27T16:00:24Z">
              <w:r>
                <w:rPr/>
                <w:t>Dauerhaft nicht genutzte Netzwerkanschlüsse MÜSSEN vor unberechtigter Nutzung gesichert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9" w:author="Mark Semmler" w:date="2024-06-27T16:00:33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60" w:author="Mark Semmler" w:date="2024-06-27T16:00:24Z">
              <w:r>
                <w:rPr>
                  <w:rStyle w:val="Emphasis"/>
                </w:rPr>
                <w:t>Dies KANN bspw. durch eine Zutrittsbeschränkung, eine Deaktivierung der Netzwerkanschlüsse oder durch eine Netzwerkzugangskontrolle geschehen.</w:t>
              </w:r>
            </w:ins>
          </w:p>
        </w:tc>
      </w:tr>
    </w:tbl>
    <w:p>
      <w:pPr>
        <w:pStyle w:val="Heading3"/>
        <w:numPr>
          <w:ilvl w:val="2"/>
          <w:numId w:val="1"/>
        </w:numPr>
        <w:tabs>
          <w:tab w:val="clear" w:pos="709"/>
          <w:tab w:val="left" w:pos="0" w:leader="none"/>
        </w:tabs>
        <w:bidi w:val="0"/>
        <w:ind w:hanging="0" w:start="0"/>
        <w:jc w:val="start"/>
        <w:rPr/>
      </w:pPr>
      <w:bookmarkStart w:id="166" w:name="__RefHeading___segmentierung_85"/>
      <w:bookmarkStart w:id="167" w:name="segmentierung"/>
      <w:bookmarkEnd w:id="166"/>
      <w:r>
        <w:rPr/>
        <w:t>11.4.2 Segmentierung</w:t>
      </w:r>
      <w:bookmarkEnd w:id="167"/>
    </w:p>
    <w:p>
      <w:pPr>
        <w:pStyle w:val="BodyText"/>
        <w:tabs>
          <w:tab w:val="clear" w:pos="709"/>
          <w:tab w:val="left" w:pos="0" w:leader="none"/>
        </w:tabs>
        <w:bidi w:val="0"/>
        <w:ind w:hanging="0" w:start="0"/>
        <w:jc w:val="start"/>
        <w:rPr>
          <w:del w:id="62" w:author="Mark Semmler" w:date="2024-06-27T15:59:18Z"/>
        </w:rPr>
      </w:pPr>
      <w:del w:id="61" w:author="Mark Semmler" w:date="2024-06-27T15:59:18Z">
        <w:r>
          <w:rPr/>
          <w:delText>ToDO:</w:delText>
        </w:r>
      </w:del>
    </w:p>
    <w:p>
      <w:pPr>
        <w:pStyle w:val="BodyText"/>
        <w:tabs>
          <w:tab w:val="clear" w:pos="709"/>
          <w:tab w:val="left" w:pos="0" w:leader="none"/>
        </w:tabs>
        <w:bidi w:val="0"/>
        <w:ind w:hanging="0" w:start="0"/>
        <w:jc w:val="start"/>
        <w:rPr>
          <w:del w:id="64" w:author="Mark Semmler" w:date="2024-06-27T15:59:18Z"/>
        </w:rPr>
      </w:pPr>
      <w:del w:id="63" w:author="Mark Semmler" w:date="2024-06-27T15:59:18Z">
        <w:r>
          <w:rPr/>
          <w:delText>Es müssen Kriterien für die Segmentierung aufgestellt werden.</w:delText>
        </w:r>
      </w:del>
    </w:p>
    <w:p>
      <w:pPr>
        <w:pStyle w:val="BodyText"/>
        <w:tabs>
          <w:tab w:val="clear" w:pos="709"/>
          <w:tab w:val="left" w:pos="0" w:leader="none"/>
        </w:tabs>
        <w:bidi w:val="0"/>
        <w:ind w:hanging="0" w:start="0"/>
        <w:jc w:val="start"/>
        <w:rPr/>
      </w:pPr>
      <w:del w:id="65" w:author="Mark Semmler" w:date="2024-06-27T15:59:18Z">
        <w:r>
          <w:rPr/>
          <w:delText>Die Netzwerke MÜSSEN anhand dieser Kriterien in möglichst umfassend voneinander abgeschottete Netzwerkbereiche unterteilt werden (Segmente), dabei MÜSSEN die besonders schützenswerten von den wichtigen IT-Systemen und den restlichen IT-Systemen separiert werden.</w:delText>
        </w:r>
      </w:del>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66" w:author="Mark Semmler" w:date="2024-06-27T15:46:50Z">
              <w:r>
                <w:rPr/>
                <w:t>Die Anforderungen der VdS 10k sind hier nicht ausreichend. Wir fordern in der VdS 10100 eine umfassende Segmentierung.</w:t>
              </w:r>
            </w:ins>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67" w:author="Mark Semmler" w:date="2024-06-27T15:48:43Z">
              <w:r>
                <w:rPr/>
                <w:t>Es MÜSSEN Kriterien definiert werden, anhand derer die Netzwerke der Organisation in einzelne Segmente u</w:t>
              </w:r>
            </w:ins>
            <w:ins w:id="68" w:author="Mark Semmler" w:date="2024-06-27T15:49:44Z">
              <w:r>
                <w:rPr/>
                <w:t>nterteilt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69" w:author="Mark Semmler" w:date="2024-06-27T15:53:01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70" w:author="Mark Semmler" w:date="2024-06-27T15:49:58Z">
              <w:r>
                <w:rPr/>
                <w:t>Die Umsetzung der Segmentierung MUSS eine möglichst umfassende Beschränkung der Verbindungen sowie die Möglichkeit der Protokollierung von blockierten Verbindungen beinhalten.</w:t>
              </w:r>
            </w:ins>
          </w:p>
        </w:tc>
      </w:tr>
      <w:tr>
        <w:trPr>
          <w:ins w:id="71" w:author="Mark Semmler" w:date="2024-06-27T15:50:29Z"/>
        </w:trPr>
        <w:tc>
          <w:tcPr>
            <w:tcW w:w="846" w:type="dxa"/>
            <w:tcBorders>
              <w:start w:val="single" w:sz="2" w:space="0" w:color="000000"/>
              <w:bottom w:val="single" w:sz="2" w:space="0" w:color="000000"/>
              <w:end w:val="single" w:sz="2" w:space="0" w:color="000000"/>
            </w:tcBorders>
          </w:tcPr>
          <w:p>
            <w:pPr>
              <w:pStyle w:val="TableContents"/>
              <w:bidi w:val="0"/>
              <w:jc w:val="start"/>
              <w:rPr/>
            </w:pPr>
            <w:ins w:id="72" w:author="Mark Semmler" w:date="2024-06-27T15:50:29Z">
              <w:r>
                <w:rPr/>
                <w:t>‍</w:t>
              </w:r>
            </w:ins>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ins w:id="73" w:author="Mark Semmler" w:date="2024-06-27T15:52:57Z">
              <w:r>
                <w:rPr/>
                <w:t>neu</w:t>
              </w:r>
            </w:ins>
          </w:p>
        </w:tc>
        <w:tc>
          <w:tcPr>
            <w:tcW w:w="4712" w:type="dxa"/>
            <w:tcBorders>
              <w:start w:val="single" w:sz="2" w:space="0" w:color="000000"/>
              <w:bottom w:val="single" w:sz="2" w:space="0" w:color="000000"/>
              <w:end w:val="single" w:sz="2" w:space="0" w:color="000000"/>
            </w:tcBorders>
          </w:tcPr>
          <w:p>
            <w:pPr>
              <w:pStyle w:val="TableContents"/>
              <w:bidi w:val="0"/>
              <w:jc w:val="start"/>
              <w:rPr/>
            </w:pPr>
            <w:ins w:id="74" w:author="Mark Semmler" w:date="2024-06-27T15:50:30Z">
              <w:r>
                <w:rPr/>
                <w:t>Die Segmentier</w:t>
              </w:r>
            </w:ins>
            <w:ins w:id="75" w:author="Mark Semmler" w:date="2024-06-27T15:50:30Z">
              <w:r>
                <w:rPr/>
                <w:t>u</w:t>
              </w:r>
            </w:ins>
            <w:ins w:id="76" w:author="Mark Semmler" w:date="2024-06-27T15:50:30Z">
              <w:r>
                <w:rPr/>
                <w:t xml:space="preserve">ng MUSS </w:t>
              </w:r>
            </w:ins>
            <w:ins w:id="77" w:author="Mark Semmler" w:date="2024-06-27T15:50:30Z">
              <w:r>
                <w:rPr/>
                <w:t xml:space="preserve">gewährleisten, dass </w:t>
              </w:r>
            </w:ins>
            <w:ins w:id="78" w:author="Mark Semmler" w:date="2024-06-27T15:50:30Z">
              <w:r>
                <w:rPr/>
                <w:t>d</w:t>
              </w:r>
            </w:ins>
            <w:ins w:id="79" w:author="Mark Semmler" w:date="2024-06-27T15:50:30Z">
              <w:r>
                <w:rPr/>
                <w:t xml:space="preserve">er Netzwerkverkehr </w:t>
              </w:r>
            </w:ins>
            <w:ins w:id="80" w:author="Mark Semmler" w:date="2024-06-27T15:50:30Z">
              <w:r>
                <w:rPr/>
                <w:t xml:space="preserve">zwischen den unterschiedlichen Schutzklassen </w:t>
              </w:r>
            </w:ins>
            <w:ins w:id="81" w:author="Mark Semmler" w:date="2024-06-27T15:50:30Z">
              <w:r>
                <w:rPr/>
                <w:t xml:space="preserve">auf das für die Funktionsfähigkeit notwendige Minimum beschränkt </w:t>
              </w:r>
            </w:ins>
            <w:ins w:id="82" w:author="Mark Semmler" w:date="2024-06-27T15:50:30Z">
              <w:r>
                <w:rPr/>
                <w:t>ist.</w:t>
              </w:r>
            </w:ins>
          </w:p>
        </w:tc>
      </w:tr>
    </w:tbl>
    <w:p>
      <w:pPr>
        <w:pStyle w:val="Heading3"/>
        <w:numPr>
          <w:ilvl w:val="2"/>
          <w:numId w:val="1"/>
        </w:numPr>
        <w:tabs>
          <w:tab w:val="clear" w:pos="709"/>
          <w:tab w:val="left" w:pos="0" w:leader="none"/>
        </w:tabs>
        <w:bidi w:val="0"/>
        <w:ind w:hanging="0" w:start="0"/>
        <w:jc w:val="start"/>
        <w:rPr/>
      </w:pPr>
      <w:bookmarkStart w:id="168" w:name="__RefHeading___fernzugang_86"/>
      <w:bookmarkStart w:id="169" w:name="fernzugang"/>
      <w:bookmarkEnd w:id="168"/>
      <w:r>
        <w:rPr/>
        <w:t>11.4.3 Fernzugang</w:t>
      </w:r>
      <w:bookmarkEnd w:id="1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83" w:author="Mark Semmler" w:date="2024-06-27T15:59:41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84" w:author="Mark Semmler" w:date="2024-06-27T16:00:03Z">
              <w:r>
                <w:rPr/>
                <w:t>Der Zugang zu nichtöffentlichen Bereichen von IT-Systemen der Organisation über weniger oder nicht vertrauenswürdige Netzwerke MUSS abgesichert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85" w:author="Mark Semmler" w:date="2024-06-27T15:59:49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86" w:author="Mark Semmler" w:date="2024-06-27T16:00:03Z">
              <w:r>
                <w:rPr/>
                <w:t>Dabei MÜSSEN folgende Anforderungen erfüllt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87" w:author="Mark Semmler" w:date="2024-06-27T15:59:49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88" w:author="Mark Semmler" w:date="2024-06-27T16:00:03Z">
              <w:r>
                <w:rPr/>
                <w:t>1. Die Vertraulichkeit, Integrität und Authentizität der übertragenen Informationen wird geschützt.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89" w:author="Mark Semmler" w:date="2024-06-27T15:59:49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90" w:author="Mark Semmler" w:date="2024-06-27T16:00:03Z">
              <w:r>
                <w:rPr/>
                <w:t>2. Der Zugang wird so gestaltet, dass über ihn nur IT-Systeme erreichbar sind, die der jeweilige Nutzer für seine Aufgabenerfüllung benötigt.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91" w:author="Mark Semmler" w:date="2024-06-27T15:59:49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92" w:author="Mark Semmler" w:date="2024-06-27T16:00:03Z">
              <w:r>
                <w:rPr>
                  <w:rStyle w:val="Emphasis"/>
                </w:rPr>
                <w:t>Darüber hinaus SOLLTEN folgende Anforderungen erfüllt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93" w:author="Mark Semmler" w:date="2024-06-27T15:59:49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94" w:author="Mark Semmler" w:date="2024-06-27T16:00:03Z">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95" w:author="Mark Semmler" w:date="2024-06-27T15:59:49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96" w:author="Mark Semmler" w:date="2024-06-27T16:00:03Z">
              <w:r>
                <w:rPr>
                  <w:rStyle w:val="Emphasis"/>
                </w:rPr>
                <w:t>2. Der Nutzer wird, vor allem wenn er umfangreiche Zugriffsrechte besitzt, mit Hilfe einer Mehr-Faktor-Authentifizierung authentifiziert, um die Gefahr eines unberechtigten Zugangs zu verringern.</w:t>
              </w:r>
            </w:ins>
          </w:p>
        </w:tc>
      </w:tr>
    </w:tbl>
    <w:p>
      <w:pPr>
        <w:pStyle w:val="Heading3"/>
        <w:numPr>
          <w:ilvl w:val="2"/>
          <w:numId w:val="1"/>
        </w:numPr>
        <w:tabs>
          <w:tab w:val="clear" w:pos="709"/>
          <w:tab w:val="left" w:pos="0" w:leader="none"/>
        </w:tabs>
        <w:bidi w:val="0"/>
        <w:ind w:hanging="0" w:start="0"/>
        <w:jc w:val="start"/>
        <w:rPr/>
      </w:pPr>
      <w:bookmarkStart w:id="170" w:name="__RefHeading___netzwerkkopplung_87"/>
      <w:bookmarkStart w:id="171" w:name="netzwerkkopplung"/>
      <w:bookmarkEnd w:id="170"/>
      <w:r>
        <w:rPr/>
        <w:t>11.4.4 Netzwerkkopplung</w:t>
      </w:r>
      <w:bookmarkEnd w:id="1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97" w:author="Mark Semmler" w:date="2024-06-27T15:41:57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98" w:author="Mark Semmler" w:date="2024-06-27T15:42:09Z">
              <w:r>
                <w:rPr/>
                <w:t>Die Kopplung von Netzwerken der Organisation über weniger oder nicht vertrauenswürdige Netzwerke hinweg MUSS abgesichert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99" w:author="Mark Semmler" w:date="2024-06-27T15:42:00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00" w:author="Mark Semmler" w:date="2024-06-27T15:42:09Z">
              <w:r>
                <w:rPr/>
                <w:t>Dabei MÜSSEN die Vertraulichkeit, Integrität und Authentizität der übertragenen Informationen gewährleistet werden.</w:t>
              </w:r>
            </w:ins>
          </w:p>
        </w:tc>
      </w:tr>
    </w:tbl>
    <w:p>
      <w:pPr>
        <w:pStyle w:val="Heading2"/>
        <w:numPr>
          <w:ilvl w:val="1"/>
          <w:numId w:val="1"/>
        </w:numPr>
        <w:tabs>
          <w:tab w:val="clear" w:pos="709"/>
          <w:tab w:val="left" w:pos="0" w:leader="none"/>
        </w:tabs>
        <w:bidi w:val="0"/>
        <w:ind w:hanging="0" w:start="0"/>
        <w:jc w:val="start"/>
        <w:rPr/>
      </w:pPr>
      <w:bookmarkStart w:id="172" w:name="__RefHeading___zusaetzliche_massnahmen_2"/>
      <w:bookmarkStart w:id="173" w:name="zusaetzliche_massnahmen_fuer_kritische_v"/>
      <w:bookmarkEnd w:id="172"/>
      <w:r>
        <w:rPr/>
        <w:t xml:space="preserve">11.5 Zusätzliche Maßnahmen für wichtige </w:t>
      </w:r>
      <w:del w:id="101" w:author="Mark Semmler" w:date="2024-06-27T15:41:04Z">
        <w:r>
          <w:rPr/>
          <w:delText xml:space="preserve">und besonders schützenswerte </w:delText>
        </w:r>
      </w:del>
      <w:r>
        <w:rPr/>
        <w:t>Verbindungen</w:t>
      </w:r>
      <w:bookmarkEnd w:id="1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alle wichtigen </w:t>
            </w:r>
            <w:del w:id="102" w:author="Mark Semmler" w:date="2024-06-27T15:41:10Z">
              <w:r>
                <w:rPr/>
                <w:delText>und besonders schützenswerten</w:delText>
              </w:r>
            </w:del>
            <w:r>
              <w:rPr/>
              <w:t xml:space="preserve"> Verbindungen,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74" w:name="__RefHeading___mobile_datentraeger_89"/>
      <w:bookmarkStart w:id="175" w:name="mobile_datentraeger"/>
      <w:bookmarkEnd w:id="174"/>
      <w:r>
        <w:rPr/>
        <w:t>12 Mobile Datenträger</w:t>
      </w:r>
      <w:bookmarkEnd w:id="1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76" w:name="__RefHeading___is-richtlinie_90"/>
      <w:bookmarkStart w:id="177" w:name="is-richtlinie1"/>
      <w:bookmarkEnd w:id="176"/>
      <w:r>
        <w:rPr/>
        <w:t>12.1 IS-Richtlinie</w:t>
      </w:r>
      <w:bookmarkEnd w:id="17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78" w:name="__RefHeading___schutz_der_informationen1"/>
      <w:bookmarkStart w:id="179" w:name="schutz_der_informationen1"/>
      <w:bookmarkEnd w:id="178"/>
      <w:r>
        <w:rPr/>
        <w:t>12.2 Schutz der Informationen</w:t>
      </w:r>
      <w:bookmarkEnd w:id="17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80" w:name="__RefHeading___zusaetzliche_massnahmen_3"/>
      <w:bookmarkStart w:id="181" w:name="zusaetzliche_massnahmen_fuer_kritische_m"/>
      <w:bookmarkEnd w:id="180"/>
      <w:r>
        <w:rPr/>
        <w:t xml:space="preserve">12.3 Zusätzliche Maßnahmen für wichtige </w:t>
      </w:r>
      <w:del w:id="103" w:author="Mark Semmler" w:date="2024-06-27T15:44:18Z">
        <w:r>
          <w:rPr/>
          <w:delText xml:space="preserve">und besonders schützenswerte </w:delText>
        </w:r>
      </w:del>
      <w:r>
        <w:rPr/>
        <w:t>mobile Datenträger</w:t>
      </w:r>
      <w:bookmarkEnd w:id="1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del w:id="104" w:author="Mark Semmler" w:date="2024-06-27T15:44:44Z">
              <w:r>
                <w:rPr/>
                <w:delText>ToDO: anpassen &amp; übernehmen</w:delText>
              </w:r>
            </w:del>
            <w:ins w:id="105" w:author="Mark Semmler" w:date="2024-06-27T15:44:44Z">
              <w:r>
                <w:rPr/>
                <w:t xml:space="preserve">kritisch </w:t>
              </w:r>
            </w:ins>
            <w:ins w:id="106" w:author="Mark Semmler" w:date="2024-06-27T15:44:44Z">
              <w:r>
                <w:rPr>
                  <w:rFonts w:eastAsia="Bitstream Vera Sans" w:cs="Bitstream Vera Sans"/>
                  <w:color w:val="auto"/>
                  <w:kern w:val="0"/>
                  <w:sz w:val="20"/>
                  <w:szCs w:val="24"/>
                  <w:lang w:val="de-DE" w:eastAsia="en-US" w:bidi="en-US"/>
                </w:rPr>
                <w:t>→</w:t>
              </w:r>
            </w:ins>
            <w:ins w:id="107" w:author="Mark Semmler" w:date="2024-06-27T15:44:44Z">
              <w:r>
                <w:rPr/>
                <w:t xml:space="preserve"> wichtig</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08" w:author="Mark Semmler" w:date="2024-06-27T15:44:28Z">
              <w:r>
                <w:rPr/>
                <w:t xml:space="preserve">Für alle </w:t>
              </w:r>
            </w:ins>
            <w:ins w:id="109" w:author="Mark Semmler" w:date="2024-06-27T15:44:28Z">
              <w:r>
                <w:rPr/>
                <w:t>wichtigen mobilen</w:t>
              </w:r>
            </w:ins>
            <w:ins w:id="110" w:author="Mark Semmler" w:date="2024-06-27T15:44:28Z">
              <w:r>
                <w:rPr/>
                <w:t xml:space="preserve"> Datenträger MUSS eine Risikoanalyse und –behandlung (siehe Anhang A 2) etabliert werden.</w:t>
              </w:r>
            </w:ins>
          </w:p>
        </w:tc>
      </w:tr>
    </w:tbl>
    <w:p>
      <w:pPr>
        <w:pStyle w:val="Heading1"/>
        <w:numPr>
          <w:ilvl w:val="0"/>
          <w:numId w:val="1"/>
        </w:numPr>
        <w:tabs>
          <w:tab w:val="clear" w:pos="709"/>
          <w:tab w:val="left" w:pos="0" w:leader="none"/>
        </w:tabs>
        <w:bidi w:val="0"/>
        <w:ind w:hanging="0" w:start="0"/>
        <w:jc w:val="start"/>
        <w:rPr/>
      </w:pPr>
      <w:bookmarkStart w:id="182" w:name="__RefHeading___umgebung_93"/>
      <w:bookmarkStart w:id="183" w:name="umgebung"/>
      <w:bookmarkEnd w:id="182"/>
      <w:r>
        <w:rPr/>
        <w:t>13 Umgebung</w:t>
      </w:r>
      <w:bookmarkEnd w:id="1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11" w:author="Mark Semmler" w:date="2024-06-27T16:03:29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12" w:author="Mark Semmler" w:date="2024-06-27T16:03:43Z">
              <w:r>
                <w:rPr/>
                <w:t>Die Organisation MUSS ihre IT-Systeme und Datenleitungen gegen negative Umwelteinflüsse absichern.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13" w:author="Mark Semmler" w:date="2024-06-27T16:03:29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14" w:author="Mark Semmler" w:date="2024-06-27T16:03:43Z">
              <w:r>
                <w:rPr>
                  <w:rStyle w:val="Emphasis"/>
                </w:rPr>
                <w:t>Dies SOLLTE auf Basis eines anerkannten Standards wie z. B. VdS 2007 erfolgen.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15" w:author="Mark Semmler" w:date="2024-06-27T16:03:29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16" w:author="Mark Semmler" w:date="2024-06-27T16:03:43Z">
              <w:r>
                <w:rPr/>
                <w:t>Wenn eine andere Vorgehensweise gewählt wird, so MUSS hierfür ein Verfahren (siehe Anhang A 1) implementiert werden, das die Anforderungen folgender Abschnitte erfüllt.</w:t>
              </w:r>
            </w:ins>
          </w:p>
        </w:tc>
      </w:tr>
    </w:tbl>
    <w:p>
      <w:pPr>
        <w:pStyle w:val="Heading2"/>
        <w:numPr>
          <w:ilvl w:val="1"/>
          <w:numId w:val="1"/>
        </w:numPr>
        <w:tabs>
          <w:tab w:val="clear" w:pos="709"/>
          <w:tab w:val="left" w:pos="0" w:leader="none"/>
        </w:tabs>
        <w:bidi w:val="0"/>
        <w:ind w:hanging="0" w:start="0"/>
        <w:jc w:val="start"/>
        <w:rPr/>
      </w:pPr>
      <w:bookmarkStart w:id="184" w:name="__RefHeading___server_aktive_netzwerkkom"/>
      <w:bookmarkStart w:id="185" w:name="server_aktive_netzwerkkomponenten_und_ne"/>
      <w:bookmarkEnd w:id="184"/>
      <w:r>
        <w:rPr/>
        <w:t>13.1 Server, aktive Netzwerkkomponenten und Netzwerkverteilstellen</w:t>
      </w:r>
      <w:bookmarkEnd w:id="18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17" w:author="Mark Semmler" w:date="2024-06-27T16:03:13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18" w:author="Mark Semmler" w:date="2024-06-27T16:03:11Z">
              <w:r>
                <w:rPr/>
                <w:t>Server, aktive Netzwerkkomponenten und Netzwerkverteilstellen (z. B. Patchfelder) MÜSSEN vor Beschädigung und unberechtigtem Zutritt geschützt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19" w:author="Mark Semmler" w:date="2024-06-27T16:03:22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20" w:author="Mark Semmler" w:date="2024-06-27T16:03:11Z">
              <w:r>
                <w:rPr>
                  <w:rStyle w:val="Emphasis"/>
                </w:rPr>
                <w:t>Dies KANN z. B. durch bauliche Maßnahmen (Serverraum) oder durch abschließbare Schränke (Server- oder Netzwerkschränke) umgesetzt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21" w:author="Mark Semmler" w:date="2024-06-27T16:03:22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22" w:author="Mark Semmler" w:date="2024-06-27T16:03:11Z">
              <w:r>
                <w:rPr>
                  <w:rStyle w:val="Emphasis"/>
                </w:rPr>
                <w:t>Insbesondere SOLLTEN folgende Bedrohungen bewertet und behandelt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23" w:author="Mark Semmler" w:date="2024-06-27T16:03:22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24" w:author="Mark Semmler" w:date="2024-06-27T16:03:11Z">
              <w:r>
                <w:rPr>
                  <w:rStyle w:val="Emphasis"/>
                </w:rPr>
                <w:t>1. ungeeignete Umgebungsbedingungen (wie z. B. ungeeignete Temperatur oder Luftfeuchtigkeit, Staub oder Rauch)</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25" w:author="Mark Semmler" w:date="2024-06-27T16:03:22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26" w:author="Mark Semmler" w:date="2024-06-27T16:03:11Z">
              <w:r>
                <w:rPr>
                  <w:rStyle w:val="Emphasis"/>
                </w:rPr>
                <w:t>2. negative Umwelteinflüsse (wie z. B. Feuer, Wasser, Blitzschlag)</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27" w:author="Mark Semmler" w:date="2024-06-27T16:03:22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28" w:author="Mark Semmler" w:date="2024-06-27T16:03:11Z">
              <w:r>
                <w:rPr>
                  <w:rStyle w:val="Emphasis"/>
                </w:rPr>
                <w:t>3. unzuverlässige Stromversorgung (wie z. B. Unter- oder Überspannung, Spannungsspitzen, Unterbrechung)</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29" w:author="Mark Semmler" w:date="2024-06-27T16:03:22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30" w:author="Mark Semmler" w:date="2024-06-27T16:03:11Z">
              <w:r>
                <w:rPr>
                  <w:rStyle w:val="Emphasis"/>
                </w:rPr>
                <w:t>Fest installierte Niederspannungsanlagen SOLLTEN gemäß gängiger Normen und Standards wie z. B. der DIN VDE 0100-Reihe errichtet sein.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31" w:author="Mark Semmler" w:date="2024-06-27T16:03:22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32" w:author="Mark Semmler" w:date="2024-06-27T16:03:11Z">
              <w:r>
                <w:rPr>
                  <w:rStyle w:val="Emphasis"/>
                </w:rPr>
                <w:t>4. Beschädigung und Verlust (wie z. B. Löschmittel, Vandalismus, Diebstahl)</w:t>
              </w:r>
            </w:ins>
          </w:p>
        </w:tc>
      </w:tr>
    </w:tbl>
    <w:p>
      <w:pPr>
        <w:pStyle w:val="Heading2"/>
        <w:numPr>
          <w:ilvl w:val="1"/>
          <w:numId w:val="1"/>
        </w:numPr>
        <w:tabs>
          <w:tab w:val="clear" w:pos="709"/>
          <w:tab w:val="left" w:pos="0" w:leader="none"/>
        </w:tabs>
        <w:bidi w:val="0"/>
        <w:ind w:hanging="0" w:start="0"/>
        <w:jc w:val="start"/>
        <w:rPr/>
      </w:pPr>
      <w:bookmarkStart w:id="186" w:name="__RefHeading___datenleitungen_95"/>
      <w:bookmarkStart w:id="187" w:name="datenleitungen"/>
      <w:bookmarkEnd w:id="186"/>
      <w:r>
        <w:rPr/>
        <w:t>13.2 Datenleitungen</w:t>
      </w:r>
      <w:bookmarkEnd w:id="1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133" w:author="Mark Semmler" w:date="2024-06-27T16:02:30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34" w:author="Mark Semmler" w:date="2024-06-27T16:02:39Z">
              <w:r>
                <w:rPr>
                  <w:rStyle w:val="Emphasis"/>
                </w:rPr>
                <w:t>Sämtliche Datenleitungen SOLLTEN gemäß gängiger Normen und Standards wie z. B. DIN EN 50173/4-Reihe installiert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135" w:author="Mark Semmler" w:date="2024-06-27T16:02:30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36" w:author="Mark Semmler" w:date="2024-06-27T16:02:39Z">
              <w:r>
                <w:rPr/>
                <w:t>Wenn eine andere Vorgehensweise gewählt wird, MÜSSEN fest installierte Datenleitungen durch entsprechende bauliche Maßnahmen vor Beschädigung geschützt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137" w:author="Mark Semmler" w:date="2024-06-27T16:02:30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38" w:author="Mark Semmler" w:date="2024-06-27T16:02:39Z">
              <w:r>
                <w:rPr>
                  <w:rStyle w:val="Emphasis"/>
                </w:rPr>
                <w:t>Dies KANN z. B. durch das Verlegen der Datenleitungen in Kabelkanälen umgesetzt werden.</w:t>
              </w:r>
            </w:ins>
          </w:p>
        </w:tc>
      </w:tr>
    </w:tbl>
    <w:p>
      <w:pPr>
        <w:pStyle w:val="Heading2"/>
        <w:numPr>
          <w:ilvl w:val="1"/>
          <w:numId w:val="1"/>
        </w:numPr>
        <w:tabs>
          <w:tab w:val="clear" w:pos="709"/>
          <w:tab w:val="left" w:pos="0" w:leader="none"/>
        </w:tabs>
        <w:bidi w:val="0"/>
        <w:ind w:hanging="0" w:start="0"/>
        <w:jc w:val="start"/>
        <w:rPr/>
      </w:pPr>
      <w:bookmarkStart w:id="188" w:name="__RefHeading___zusaetzliche_massnahmen_4"/>
      <w:bookmarkStart w:id="189" w:name="zusaetzliche_massnahmen_fuer_kritische_1"/>
      <w:bookmarkEnd w:id="188"/>
      <w:r>
        <w:rPr/>
        <w:t>13.3 Zusätzliche Maßnahmen für wichtige</w:t>
      </w:r>
      <w:del w:id="139" w:author="Mark Semmler" w:date="2024-06-27T16:01:19Z">
        <w:r>
          <w:rPr/>
          <w:delText xml:space="preserve"> und besonders schützenswerte</w:delText>
        </w:r>
      </w:del>
      <w:ins w:id="140" w:author="Mark Semmler" w:date="2024-06-27T16:01:19Z">
        <w:r>
          <w:rPr/>
          <w:t>n</w:t>
        </w:r>
      </w:ins>
      <w:r>
        <w:rPr/>
        <w:t xml:space="preserve"> IT-Systeme</w:t>
      </w:r>
      <w:bookmarkEnd w:id="18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141" w:author="Mark Semmler" w:date="2024-06-27T16:02:04Z">
              <w:r>
                <w:rPr/>
                <w:t xml:space="preserve">kritisch </w:t>
              </w:r>
            </w:ins>
            <w:ins w:id="142" w:author="Mark Semmler" w:date="2024-06-27T16:02:04Z">
              <w:r>
                <w:rPr>
                  <w:rFonts w:eastAsia="Bitstream Vera Sans" w:cs="Bitstream Vera Sans"/>
                  <w:color w:val="auto"/>
                  <w:kern w:val="0"/>
                  <w:sz w:val="20"/>
                  <w:szCs w:val="24"/>
                  <w:lang w:val="de-DE" w:eastAsia="en-US" w:bidi="en-US"/>
                </w:rPr>
                <w:t>→</w:t>
              </w:r>
            </w:ins>
            <w:ins w:id="143" w:author="Mark Semmler" w:date="2024-06-27T16:02:04Z">
              <w:r>
                <w:rPr/>
                <w:t xml:space="preserve"> wichtig (</w:t>
              </w:r>
            </w:ins>
            <w:r>
              <w:rPr/>
              <w:t>ToDo: Prüfen, ob das passt</w:t>
            </w:r>
            <w:ins w:id="144" w:author="Mark Semmler" w:date="2024-06-27T16:02:11Z">
              <w:r>
                <w:rPr/>
                <w:t>)</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45" w:author="Mark Semmler" w:date="2024-06-27T16:01:24Z">
              <w:r>
                <w:rPr/>
                <w:t xml:space="preserve">Im Zuge der Risikoanalyse und -behandlung (siehe Abschnitt 10.5.1) MÜSSEN für alle </w:t>
              </w:r>
            </w:ins>
            <w:ins w:id="146" w:author="Mark Semmler" w:date="2024-06-27T16:01:24Z">
              <w:r>
                <w:rPr/>
                <w:t>wichtigen</w:t>
              </w:r>
            </w:ins>
            <w:ins w:id="147" w:author="Mark Semmler" w:date="2024-06-27T16:01:24Z">
              <w:r>
                <w:rPr/>
                <w:t xml:space="preserve"> IT-Systeme folgende Bedrohungen behandelt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148" w:author="Mark Semmler" w:date="2024-06-27T16:01:44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49" w:author="Mark Semmler" w:date="2024-06-27T16:01:42Z">
              <w:r>
                <w:rPr/>
                <w:t>1. ungeeignete Umgebungsbedingungen (wie z. B. ungeeignete Temperatur oder Luftfeuchtigkeit, Staub oder Rauch)</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150" w:author="Mark Semmler" w:date="2024-06-27T16:01:51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51" w:author="Mark Semmler" w:date="2024-06-27T16:01:42Z">
              <w:r>
                <w:rPr/>
                <w:t>2. negative Umwelteinflüsse (wie z. B. Feuer, Wasser, Blitzschlag)</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152" w:author="Mark Semmler" w:date="2024-06-27T16:01:51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53" w:author="Mark Semmler" w:date="2024-06-27T16:01:42Z">
              <w:r>
                <w:rPr/>
                <w:t>3. unzuverlässige Stromversorgung (wie z. B. Unter- oder Überspannung, Spannungsspitzen, Unterbrechung)</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154" w:author="Mark Semmler" w:date="2024-06-27T16:01:51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55" w:author="Mark Semmler" w:date="2024-06-27T16:01:42Z">
              <w:r>
                <w:rPr/>
                <w:t>4. Beschädigung und Verlust (wie z. B. Löschmittel, Vandalismus, Diebstahl)</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156" w:author="Mark Semmler" w:date="2024-06-27T16:01:51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57" w:author="Mark Semmler" w:date="2024-06-27T16:01:42Z">
              <w:r>
                <w:rPr/>
                <w:t>5. unautorisierter Zutritt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158" w:author="Mark Semmler" w:date="2024-06-27T16:01:51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59" w:author="Mark Semmler" w:date="2024-06-27T16:01:42Z">
              <w:r>
                <w:rPr/>
                <w:t>6. Ausspähen vertraulicher Informationen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160" w:author="Mark Semmler" w:date="2024-06-27T16:01:51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61" w:author="Mark Semmler" w:date="2024-06-27T16:01:42Z">
              <w:r>
                <w:rPr>
                  <w:rStyle w:val="Emphasis"/>
                </w:rPr>
                <w:t>Insbesondere SOLLTE geprüft werden, kritische IT-Systeme in zusätzlich abgesicherten Gebäuden oder Gebäudeteilen unterzubringen (Sicherheitszonen).</w:t>
              </w:r>
            </w:ins>
          </w:p>
        </w:tc>
      </w:tr>
    </w:tbl>
    <w:p>
      <w:pPr>
        <w:pStyle w:val="Heading1"/>
        <w:numPr>
          <w:ilvl w:val="0"/>
          <w:numId w:val="1"/>
        </w:numPr>
        <w:tabs>
          <w:tab w:val="clear" w:pos="709"/>
          <w:tab w:val="left" w:pos="0" w:leader="none"/>
        </w:tabs>
        <w:bidi w:val="0"/>
        <w:ind w:hanging="0" w:start="0"/>
        <w:jc w:val="start"/>
        <w:rPr/>
      </w:pPr>
      <w:bookmarkStart w:id="190" w:name="__RefHeading___it-outsourcing_und_cloud_"/>
      <w:bookmarkStart w:id="191" w:name="it-outsourcing_und_cloud_computing"/>
      <w:bookmarkEnd w:id="190"/>
      <w:r>
        <w:rPr/>
        <w:t>14 IT-Outsourcing und Cloud Computing</w:t>
      </w:r>
      <w:bookmarkEnd w:id="19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92" w:name="__RefHeading___is-richtlinie_98"/>
      <w:bookmarkStart w:id="193" w:name="is-richtlinie2"/>
      <w:bookmarkEnd w:id="192"/>
      <w:r>
        <w:rPr/>
        <w:t>14.1 IS-Richtlinie</w:t>
      </w:r>
      <w:bookmarkEnd w:id="19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94" w:name="__RefHeading___vorbereitung_99"/>
      <w:bookmarkStart w:id="195" w:name="vorbereitung"/>
      <w:bookmarkEnd w:id="194"/>
      <w:r>
        <w:rPr/>
        <w:t>14.2 Vorbereitung</w:t>
      </w:r>
      <w:bookmarkEnd w:id="19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196" w:name="__RefHeading___vertragsgestaltung_100"/>
      <w:bookmarkStart w:id="197" w:name="vertragsgestaltung"/>
      <w:bookmarkEnd w:id="196"/>
      <w:r>
        <w:rPr/>
        <w:t>14.3 Vertragsgestaltung</w:t>
      </w:r>
      <w:bookmarkEnd w:id="19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98" w:name="__RefHeading___zusaetzliche_massnahmen_5"/>
      <w:bookmarkStart w:id="199" w:name="zusaetzliche_massnahmen_fuer_kritische_2"/>
      <w:bookmarkEnd w:id="198"/>
      <w:r>
        <w:rPr/>
        <w:t>14.4 Zusätzliche Maßnahmen für kritische IT-Ressourcen</w:t>
      </w:r>
      <w:bookmarkEnd w:id="19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200" w:name="__RefHeading___zugaenge_und_zugriffsrech"/>
      <w:bookmarkStart w:id="201" w:name="zugaenge_und_zugriffsrechte"/>
      <w:bookmarkEnd w:id="200"/>
      <w:r>
        <w:rPr/>
        <w:t>15 Zugänge und Zugriffsrechte</w:t>
      </w:r>
      <w:bookmarkEnd w:id="20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02" w:name="__RefHeading___verwaltung_103"/>
      <w:bookmarkStart w:id="203" w:name="verwaltung"/>
      <w:bookmarkEnd w:id="202"/>
      <w:r>
        <w:rPr/>
        <w:t>15.1 Verwaltung</w:t>
      </w:r>
      <w:bookmarkEnd w:id="20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04" w:name="__RefHeading___zusaetzliche_massnahmen_6"/>
      <w:bookmarkStart w:id="205" w:name="zusaetzliche_massnahmen_fuer_kritische_3"/>
      <w:bookmarkEnd w:id="204"/>
      <w:r>
        <w:rPr/>
        <w:t>15.2 Zusätzliche Maßnahmen für besonders schützenswerte IT-Systeme und Informationen</w:t>
      </w:r>
      <w:bookmarkEnd w:id="20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1"/>
        <w:numPr>
          <w:ilvl w:val="0"/>
          <w:numId w:val="1"/>
        </w:numPr>
        <w:tabs>
          <w:tab w:val="clear" w:pos="709"/>
          <w:tab w:val="left" w:pos="0" w:leader="none"/>
        </w:tabs>
        <w:bidi w:val="0"/>
        <w:ind w:hanging="0" w:start="0"/>
        <w:jc w:val="start"/>
        <w:rPr/>
      </w:pPr>
      <w:bookmarkStart w:id="206" w:name="__RefHeading___datensicherung_und_archiv"/>
      <w:bookmarkStart w:id="207" w:name="datensicherung_und_archivierung"/>
      <w:bookmarkEnd w:id="206"/>
      <w:r>
        <w:rPr/>
        <w:t>16 Datensicherung und Archivierung</w:t>
      </w:r>
      <w:bookmarkEnd w:id="20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08" w:name="__RefHeading___is-richtlinie_106"/>
      <w:bookmarkStart w:id="209" w:name="is-richtlinie3"/>
      <w:bookmarkEnd w:id="208"/>
      <w:r>
        <w:rPr/>
        <w:t>16.1 IS-Richtlinie</w:t>
      </w:r>
      <w:bookmarkEnd w:id="20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10" w:name="__RefHeading___archivierung_107"/>
      <w:bookmarkStart w:id="211" w:name="archivierung"/>
      <w:bookmarkEnd w:id="210"/>
      <w:r>
        <w:rPr/>
        <w:t>16.2 Archivierung</w:t>
      </w:r>
      <w:bookmarkEnd w:id="2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12" w:name="__RefHeading___verfahren_108"/>
      <w:bookmarkStart w:id="213" w:name="verfahren"/>
      <w:bookmarkEnd w:id="212"/>
      <w:r>
        <w:rPr/>
        <w:t>16.3 Verfahren</w:t>
      </w:r>
      <w:bookmarkEnd w:id="213"/>
    </w:p>
    <w:p>
      <w:pPr>
        <w:pStyle w:val="BodyText"/>
        <w:tabs>
          <w:tab w:val="clear" w:pos="709"/>
          <w:tab w:val="left" w:pos="0" w:leader="none"/>
        </w:tabs>
        <w:bidi w:val="0"/>
        <w:ind w:hanging="0" w:start="0"/>
        <w:jc w:val="start"/>
        <w:rPr/>
      </w:pPr>
      <w:r>
        <w:rPr/>
        <w:t>ToDO: VdS 10005 nutzen, um die VdS 10k zu verbessern und auch hier zu übernehmen.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14" w:name="__RefHeading___weiterentwicklung_112"/>
      <w:bookmarkStart w:id="215" w:name="weiterentwicklung"/>
      <w:bookmarkEnd w:id="214"/>
      <w:r>
        <w:rPr/>
        <w:t>16.4 Weiterentwicklung</w:t>
      </w:r>
      <w:bookmarkEnd w:id="2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16" w:name="__RefHeading___basisschutz_113"/>
      <w:bookmarkStart w:id="217" w:name="basisschutz2"/>
      <w:bookmarkEnd w:id="216"/>
      <w:r>
        <w:rPr/>
        <w:t>16.5 Basisschutz</w:t>
      </w:r>
      <w:bookmarkEnd w:id="2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218" w:name="__RefHeading___speicherorte_114"/>
      <w:bookmarkStart w:id="219" w:name="speicherorte"/>
      <w:bookmarkEnd w:id="218"/>
      <w:r>
        <w:rPr/>
        <w:t>16.5.1 Speicherorte</w:t>
      </w:r>
      <w:bookmarkEnd w:id="2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220" w:name="__RefHeading___server_115"/>
      <w:bookmarkStart w:id="221" w:name="server"/>
      <w:bookmarkEnd w:id="220"/>
      <w:r>
        <w:rPr/>
        <w:t>16.5.2 Server</w:t>
      </w:r>
      <w:bookmarkEnd w:id="2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3"/>
        <w:numPr>
          <w:ilvl w:val="2"/>
          <w:numId w:val="1"/>
        </w:numPr>
        <w:tabs>
          <w:tab w:val="clear" w:pos="709"/>
          <w:tab w:val="left" w:pos="0" w:leader="none"/>
        </w:tabs>
        <w:bidi w:val="0"/>
        <w:ind w:hanging="0" w:start="0"/>
        <w:jc w:val="start"/>
        <w:rPr/>
      </w:pPr>
      <w:bookmarkStart w:id="222" w:name="__RefHeading___aktive_netzwerkkomponent1"/>
      <w:bookmarkStart w:id="223" w:name="aktive_netzwerkkomponenten1"/>
      <w:bookmarkEnd w:id="222"/>
      <w:r>
        <w:rPr/>
        <w:t>16.5.3 Aktive Netzwerkkomponenten</w:t>
      </w:r>
      <w:bookmarkEnd w:id="2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224" w:name="__RefHeading___mobile_it-systeme_117"/>
      <w:bookmarkStart w:id="225" w:name="mobile_it-systeme"/>
      <w:bookmarkEnd w:id="224"/>
      <w:r>
        <w:rPr/>
        <w:t>16.5.4 Mobile IT-Systeme</w:t>
      </w:r>
      <w:bookmarkEnd w:id="2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226" w:name="__RefHeading___zusaetzliche_massnahmen_7"/>
      <w:bookmarkStart w:id="227" w:name="zusaetzliche_massnahmen_fuer_kritische_4"/>
      <w:bookmarkEnd w:id="226"/>
      <w:r>
        <w:rPr/>
        <w:t>16.6 Zusätzliche Maßnahmen für wichtige und besonders schützenswerte IT-Systeme</w:t>
      </w:r>
      <w:bookmarkEnd w:id="2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3"/>
        <w:numPr>
          <w:ilvl w:val="2"/>
          <w:numId w:val="1"/>
        </w:numPr>
        <w:tabs>
          <w:tab w:val="clear" w:pos="709"/>
          <w:tab w:val="left" w:pos="0" w:leader="none"/>
        </w:tabs>
        <w:bidi w:val="0"/>
        <w:ind w:hanging="0" w:start="0"/>
        <w:jc w:val="start"/>
        <w:rPr/>
      </w:pPr>
      <w:bookmarkStart w:id="228" w:name="__RefHeading___risikoanalyse_119"/>
      <w:bookmarkStart w:id="229" w:name="risikoanalyse"/>
      <w:bookmarkEnd w:id="228"/>
      <w:r>
        <w:rPr/>
        <w:t>16.6.1 Risikoanalyse</w:t>
      </w:r>
      <w:bookmarkEnd w:id="2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230" w:name="__RefHeading___verfahren_120"/>
      <w:bookmarkStart w:id="231" w:name="verfahren1"/>
      <w:bookmarkEnd w:id="230"/>
      <w:r>
        <w:rPr/>
        <w:t>16.6.2 Verfahren</w:t>
      </w:r>
      <w:bookmarkEnd w:id="2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232" w:name="__RefHeading___stoerungen_und_ausfaelle_"/>
      <w:bookmarkStart w:id="233" w:name="stoerungen_und_ausfaelle"/>
      <w:bookmarkEnd w:id="232"/>
      <w:r>
        <w:rPr/>
        <w:t xml:space="preserve">17 </w:t>
      </w:r>
      <w:bookmarkEnd w:id="233"/>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1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zusammengelegt.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34" w:name="__RefHeading___is-richtlinie_122"/>
      <w:bookmarkStart w:id="235" w:name="is-richtlinie4"/>
      <w:bookmarkEnd w:id="234"/>
      <w:r>
        <w:rPr/>
        <w:t>17.1 IS-Richtlinie</w:t>
      </w:r>
      <w:bookmarkEnd w:id="2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Definition </w:t>
            </w:r>
            <w:r>
              <w:rPr>
                <w:rFonts w:eastAsia="Bitstream Vera Sans" w:cs="Bitstream Vera Sans"/>
                <w:color w:val="auto"/>
                <w:kern w:val="0"/>
                <w:sz w:val="20"/>
                <w:szCs w:val="24"/>
                <w:lang w:val="de-DE" w:eastAsia="en-US" w:bidi="en-US"/>
              </w:rPr>
              <w:t>„erheblicher Sicherheitsvorfall“ in Kap. 3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6. Es wird definiert, ab wann ein Sicherheitsvorfall als </w:t>
            </w:r>
            <w:r>
              <w:rPr>
                <w:rFonts w:eastAsia="Bitstream Vera Sans" w:cs="Bitstream Vera Sans"/>
                <w:color w:val="auto"/>
                <w:kern w:val="0"/>
                <w:sz w:val="20"/>
                <w:szCs w:val="24"/>
                <w:lang w:val="de-DE" w:eastAsia="en-US" w:bidi="en-US"/>
              </w:rPr>
              <w:t>ein erheblicher Sicherheitsvorfall eingestuft wird.</w:t>
            </w:r>
          </w:p>
        </w:tc>
      </w:tr>
    </w:tbl>
    <w:p>
      <w:pPr>
        <w:pStyle w:val="Heading2"/>
        <w:numPr>
          <w:ilvl w:val="1"/>
          <w:numId w:val="1"/>
        </w:numPr>
        <w:tabs>
          <w:tab w:val="clear" w:pos="709"/>
          <w:tab w:val="left" w:pos="0" w:leader="none"/>
        </w:tabs>
        <w:bidi w:val="0"/>
        <w:ind w:hanging="0" w:start="0"/>
        <w:jc w:val="start"/>
        <w:rPr/>
      </w:pPr>
      <w:bookmarkStart w:id="236" w:name="__RefHeading___erkennen_129_Copy_1"/>
      <w:bookmarkStart w:id="237" w:name="erkennen_Copy_1"/>
      <w:bookmarkEnd w:id="236"/>
      <w:r>
        <w:rPr/>
        <w:t>17.2 Erkennen</w:t>
      </w:r>
      <w:bookmarkEnd w:id="2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MÜSSEN bei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ToDo: Aktualisieren.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ToDo: besser formulieren</w:t>
            </w:r>
          </w:p>
          <w:p>
            <w:pPr>
              <w:pStyle w:val="TableContents"/>
              <w:numPr>
                <w:ilvl w:val="0"/>
                <w:numId w:val="1"/>
              </w:numPr>
              <w:bidi w:val="0"/>
              <w:jc w:val="start"/>
              <w:rPr/>
            </w:pPr>
            <w:r>
              <w:rPr/>
              <w:t xml:space="preserve">ToDo: in die VdS 10k folgende Änderung implementieren: </w:t>
            </w:r>
            <w:r>
              <w:rPr>
                <w:rFonts w:eastAsia="Bitstream Vera Sans" w:cs="Bitstream Vera Sans"/>
                <w:color w:val="auto"/>
                <w:kern w:val="0"/>
                <w:sz w:val="20"/>
                <w:szCs w:val="24"/>
                <w:lang w:val="de-DE" w:eastAsia="en-US" w:bidi="en-US"/>
              </w:rPr>
              <w:t>„Zugriffe auf besonders sensible Informationen“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Pr>
              <w:t xml:space="preserve"> </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bl>
    <w:p>
      <w:pPr>
        <w:pStyle w:val="Heading2"/>
        <w:numPr>
          <w:ilvl w:val="1"/>
          <w:numId w:val="1"/>
        </w:numPr>
        <w:tabs>
          <w:tab w:val="clear" w:pos="709"/>
          <w:tab w:val="left" w:pos="0" w:leader="none"/>
        </w:tabs>
        <w:bidi w:val="0"/>
        <w:ind w:hanging="0" w:start="0"/>
        <w:jc w:val="start"/>
        <w:rPr/>
      </w:pPr>
      <w:bookmarkStart w:id="238" w:name="__RefHeading___reaktion_123"/>
      <w:bookmarkStart w:id="239" w:name="reaktion"/>
      <w:bookmarkEnd w:id="238"/>
      <w:r>
        <w:rPr/>
        <w:t>17.3 Reaktion</w:t>
      </w:r>
      <w:bookmarkEnd w:id="2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Ggf. in die VdS 10000 aufnehmen?! Organisationen sind z. B. auch ohne NIS2 verpflichtet, Informationen an Dritte (z. B. an Versicherungen, Datenschutz-Aufsichtsbehörden usw.) weiterzugeben,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so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pPr>
            <w:r>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tabs>
          <w:tab w:val="clear" w:pos="709"/>
          <w:tab w:val="left" w:pos="0" w:leader="none"/>
        </w:tabs>
        <w:bidi w:val="0"/>
        <w:ind w:hanging="0" w:start="0"/>
        <w:jc w:val="start"/>
        <w:rPr/>
      </w:pPr>
      <w:bookmarkStart w:id="240" w:name="__RefHeading___zusaetzliche_massnahmen_8"/>
      <w:bookmarkStart w:id="241" w:name="zusaetzliche_massnahmen_fuer_kritische_5"/>
      <w:bookmarkEnd w:id="240"/>
      <w:r>
        <w:rPr/>
        <w:t>17.4 Zusätzliche Maßnahmen für kritische IT-Systeme</w:t>
      </w:r>
      <w:bookmarkEnd w:id="2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242" w:name="__RefHeading___wiederanlaufplaene_125"/>
      <w:bookmarkStart w:id="243" w:name="wiederanlaufplaene"/>
      <w:bookmarkEnd w:id="242"/>
      <w:r>
        <w:rPr/>
        <w:t>17.4.1 Wiederanlaufpläne</w:t>
      </w:r>
      <w:bookmarkEnd w:id="2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kritische 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und Authentifizierungsmerkmale.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244" w:name="__RefHeading___abhaengigkeiten_126"/>
      <w:bookmarkStart w:id="245" w:name="abhaengigkeiten"/>
      <w:bookmarkEnd w:id="244"/>
      <w:r>
        <w:rPr/>
        <w:t>17.4.2 Abhängigkeiten</w:t>
      </w:r>
      <w:bookmarkEnd w:id="2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BodyText"/>
        <w:numPr>
          <w:ilvl w:val="0"/>
          <w:numId w:val="1"/>
        </w:numPr>
        <w:rPr/>
      </w:pPr>
      <w:r>
        <w:rPr/>
      </w:r>
      <w:bookmarkStart w:id="246" w:name="__RefHeading___sicherheitsvorfaelle_127"/>
      <w:bookmarkStart w:id="247" w:name="__RefHeading___sicherheitsvorfaelle_127"/>
      <w:bookmarkEnd w:id="24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2" name="0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1"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bidi w:val="0"/>
              <w:ind w:hanging="0" w:start="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Kapitel 18 der VdS 10000 entfällt in Zukunft.</w:t>
            </w:r>
          </w:p>
        </w:tc>
      </w:tr>
    </w:tbl>
    <w:p>
      <w:pPr>
        <w:pStyle w:val="Heading1"/>
        <w:numPr>
          <w:ilvl w:val="0"/>
          <w:numId w:val="1"/>
        </w:numPr>
        <w:tabs>
          <w:tab w:val="clear" w:pos="709"/>
          <w:tab w:val="left" w:pos="0" w:leader="none"/>
        </w:tabs>
        <w:bidi w:val="0"/>
        <w:ind w:hanging="0" w:start="0"/>
        <w:jc w:val="start"/>
        <w:rPr/>
      </w:pPr>
      <w:bookmarkStart w:id="248" w:name="__RefHeading___anhang_a_131"/>
      <w:bookmarkStart w:id="249" w:name="anhang_a"/>
      <w:bookmarkEnd w:id="248"/>
      <w:r>
        <w:rPr/>
        <w:t>Anhang A</w:t>
      </w:r>
      <w:bookmarkEnd w:id="249"/>
    </w:p>
    <w:p>
      <w:pPr>
        <w:pStyle w:val="Heading2"/>
        <w:numPr>
          <w:ilvl w:val="1"/>
          <w:numId w:val="1"/>
        </w:numPr>
        <w:tabs>
          <w:tab w:val="clear" w:pos="709"/>
          <w:tab w:val="left" w:pos="0" w:leader="none"/>
        </w:tabs>
        <w:bidi w:val="0"/>
        <w:ind w:hanging="0" w:start="0"/>
        <w:jc w:val="start"/>
        <w:rPr/>
      </w:pPr>
      <w:bookmarkStart w:id="250" w:name="__RefHeading___a_1_verfahren_132"/>
      <w:bookmarkStart w:id="251" w:name="a_1_verfahren"/>
      <w:bookmarkEnd w:id="250"/>
      <w:r>
        <w:rPr/>
        <w:t>A 1 Verfahren</w:t>
      </w:r>
      <w:bookmarkEnd w:id="2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52" w:name="__RefHeading___a_2_risikoanalyse_und_-be"/>
      <w:bookmarkStart w:id="253" w:name="a_2_risikoanalyse_und_-behandlung"/>
      <w:bookmarkEnd w:id="252"/>
      <w:r>
        <w:rPr/>
        <w:t>A 2 Risiko</w:t>
      </w:r>
      <w:bookmarkEnd w:id="253"/>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pPrChange w:id="0" w:author="Mark Semmler" w:date="2024-06-27T14:47:27Z">
                <w:pPr>
                  <w:pStyle w:val="TableContents"/>
                </w:pPr>
              </w:pPrChange>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Change w:id="0" w:author="Mark Semmler" w:date="2024-06-27T14:47:34Z"/>
              </w:rPr>
              <w:t>Risikoanalysen</w:t>
            </w:r>
            <w:r>
              <w:rPr>
                <w:i w:val="false"/>
                <w:iCs w:val="false"/>
                <w:rPrChange w:id="0" w:author="Mark Semmler" w:date="2024-06-27T14:47:34Z"/>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del w:id="164" w:author="Mark Semmler" w:date="2024-06-27T14:47:10Z">
              <w:r>
                <w:rPr/>
                <w:delText>Achtung! Risikomanagement! Muss umformuliert werden,</w:delText>
              </w:r>
            </w:del>
            <w:ins w:id="165" w:author="Mark Semmler" w:date="2024-06-27T14:47:10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66" w:author="Mark Semmler" w:date="2024-06-27T14:47:18Z">
              <w:r>
                <w:rPr/>
                <w:t>Die Organisation MUSS die in diesen Richtlinien geforderten Risikoanalysen durchführen und erkannte Risiken zeitnah und angemessen behandeln.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54" w:name="__RefHeading___a_2.1_risikoanalyse_134_C"/>
      <w:bookmarkStart w:id="255" w:name="a_2.1_risikoanalyse_Copy_1"/>
      <w:bookmarkEnd w:id="254"/>
      <w:r>
        <w:rPr/>
        <w:t xml:space="preserve">A 2.1 </w:t>
      </w:r>
      <w:bookmarkEnd w:id="255"/>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i/>
                <w:i/>
                <w:iCs/>
              </w:rPr>
            </w:pPr>
            <w:r>
              <w:rPr>
                <w:i/>
                <w:iCs/>
              </w:rPr>
              <w:t>- ISO 31010 in Kap. 2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56" w:name="__RefHeading___a_2.1_risikoanalyse_134"/>
      <w:bookmarkStart w:id="257" w:name="a_2.1_risikoanalyse"/>
      <w:bookmarkEnd w:id="256"/>
      <w:r>
        <w:rPr/>
        <w:t>A 2.2 Risikoanalyse</w:t>
      </w:r>
      <w:bookmarkEnd w:id="2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Risikoanalyse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p>
            <w:pPr>
              <w:pStyle w:val="TableContents"/>
              <w:bidi w:val="0"/>
              <w:jc w:val="start"/>
              <w:rPr/>
            </w:pPr>
            <w:r>
              <w:rPr/>
            </w:r>
          </w:p>
          <w:p>
            <w:pPr>
              <w:pStyle w:val="TableContents"/>
              <w:bidi w:val="0"/>
              <w:jc w:val="start"/>
              <w:rPr>
                <w:u w:val="single"/>
              </w:rPr>
            </w:pPr>
            <w:r>
              <w:rPr>
                <w:u w:val="single"/>
              </w:rPr>
              <w:t>ACHTUNG!</w:t>
            </w:r>
          </w:p>
          <w:p>
            <w:pPr>
              <w:pStyle w:val="TableContents"/>
              <w:bidi w:val="0"/>
              <w:jc w:val="start"/>
              <w:rPr/>
            </w:pPr>
            <w:r>
              <w:rPr/>
              <w:t>Als Grundlage der Risikoidentifikation benötigen wir konkrete Anforderungen an die Verfügbarkeit, Integrität und Vertraulichkeit von Prozessen (9.1), Informationen (9.2) und IT-Ressourcen (9.3). Dabei sollten die Anforderungen an Informationen und IT-Ressourcen von denen der Prozesse vereerbt werden. Noch unklar!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 Für die Umsetzung eines schlagkräftigen Risikomanagements ist es sicher hilfreich, das Rad nicht neu erfinden zu müssen. Es bestehen verschiedene Sammlungen von Bedrohungen bzw. Gefährdungen, die hinzugezogen werden können.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58" w:name="__RefHeading___a_2.2_risikobehandlung_13"/>
      <w:bookmarkStart w:id="259" w:name="a_2.2_risikobehandlung"/>
      <w:bookmarkEnd w:id="258"/>
      <w:r>
        <w:rPr/>
        <w:t>A 2.3 Risikobehandlung</w:t>
      </w:r>
      <w:bookmarkEnd w:id="2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 Richtlinien (siehe Kapitel 6) oder in Verfahren (siehe Anhang A 2.1) aufgenommen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Organisatorische Maßnahmen in RL und Verfahren verankern: SOLLTE oder MUSS?</w:t>
            </w:r>
          </w:p>
          <w:p>
            <w:pPr>
              <w:pStyle w:val="TableContents"/>
              <w:bidi w:val="0"/>
              <w:jc w:val="start"/>
              <w:rPr/>
            </w:pPr>
            <w:r>
              <w:rPr/>
              <w:t>Kann in die VdS 10k als SOLLTE aufgenommen werden.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IS-Richtlinien (siehe Kapitel 6) oder in Verfahren (siehe Anhang A 2.1) aufgenommen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tc>
        <w:tc>
          <w:tcPr>
            <w:tcW w:w="4712"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verhältnismäßig und wirksam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60" w:name="__RefHeading___a_2.3_wiederholung_und_an"/>
      <w:bookmarkStart w:id="261" w:name="a_2.3_wiederholung_und_anpassung"/>
      <w:bookmarkEnd w:id="260"/>
      <w:r>
        <w:rPr/>
        <w:t>A 2.4 Wiederholung und Anpassung</w:t>
      </w:r>
      <w:bookmarkEnd w:id="2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(Diese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62" w:name="__RefHeading___a_2.3_wiederholung_und_a1"/>
      <w:bookmarkStart w:id="263" w:name="a_2.3_wiederholung_und_anpassung_Copy_1_"/>
      <w:bookmarkEnd w:id="262"/>
      <w:r>
        <w:rPr/>
        <w:t xml:space="preserve">A 2.5 </w:t>
      </w:r>
      <w:bookmarkEnd w:id="263"/>
      <w:r>
        <w:rPr/>
        <w:t>Überwachung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r>
              <w:rPr/>
              <w:t>§ 38 (1):</w:t>
            </w:r>
          </w:p>
          <w:p>
            <w:pPr>
              <w:pStyle w:val="TableContents"/>
              <w:numPr>
                <w:ilvl w:val="0"/>
                <w:numId w:val="1"/>
              </w:numPr>
              <w:bidi w:val="0"/>
              <w:jc w:val="start"/>
              <w:rPr/>
            </w:pPr>
            <w:r>
              <w:rPr/>
              <w:t>Geschäftsleitungen besonders wichtiger Einrichtungen und wichtiger Einrichtungen sind verpflichtet, die von diesen Einrichtungen nach § 30 zu ergreifenden Risikomanagementmaßnahmen im Bereich der Cybersicherheit zu billigen und ihre Umsetzung zu überwachen.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Maßnahmen des Risikomanagements MÜSSEN jährlich vom Topmanagement geprüft und gebilligt werden.</w:t>
            </w:r>
          </w:p>
        </w:tc>
      </w:tr>
    </w:tbl>
    <w:p>
      <w:pPr>
        <w:pStyle w:val="BodyText"/>
        <w:numPr>
          <w:ilvl w:val="0"/>
          <w:numId w:val="1"/>
        </w:numPr>
        <w:spacing w:before="0" w:after="120"/>
        <w:rPr/>
      </w:pPr>
      <w:r>
        <w:rPr/>
      </w:r>
    </w:p>
    <w:sectPr>
      <w:headerReference w:type="even" r:id="rId14"/>
      <w:headerReference w:type="default" r:id="rId15"/>
      <w:headerReference w:type="first" r:id="rId16"/>
      <w:footerReference w:type="even" r:id="rId17"/>
      <w:footerReference w:type="default" r:id="rId18"/>
      <w:footerReference w:type="first" r:id="rId19"/>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Symbol">
    <w:charset w:val="02"/>
    <w:family w:val="auto"/>
    <w:pitch w:val="default"/>
  </w:font>
  <w:font w:name="OpenSymbol">
    <w:altName w:val="Arial Unicode MS"/>
    <w:charset w:val="01"/>
    <w:family w:val="auto"/>
    <w:pitch w:val="variable"/>
    <w:embedRegular r:id="rId17" w:fontKey="{11014A78-CABC-4EF0-12AC-5CD89AEFDE11}"/>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52</w:t>
    </w:r>
    <w:r>
      <w:rPr/>
      <w:fldChar w:fldCharType="end"/>
    </w:r>
    <w:r>
      <w:rPr/>
      <w:t xml:space="preserve"> von </w:t>
    </w:r>
    <w:r>
      <w:rPr/>
      <w:fldChar w:fldCharType="begin"/>
    </w:r>
    <w:r>
      <w:rPr/>
      <w:instrText xml:space="preserve"> NUMPAGES </w:instrText>
    </w:r>
    <w:r>
      <w:rPr/>
      <w:fldChar w:fldCharType="separate"/>
    </w:r>
    <w:r>
      <w:rPr/>
      <w:t>84</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52</w:t>
    </w:r>
    <w:r>
      <w:rPr/>
      <w:fldChar w:fldCharType="end"/>
    </w:r>
    <w:r>
      <w:rPr/>
      <w:t xml:space="preserve"> von </w:t>
    </w:r>
    <w:r>
      <w:rPr/>
      <w:fldChar w:fldCharType="begin"/>
    </w:r>
    <w:r>
      <w:rPr/>
      <w:instrText xml:space="preserve"> NUMPAGES </w:instrText>
    </w:r>
    <w:r>
      <w:rPr/>
      <w:fldChar w:fldCharType="separate"/>
    </w:r>
    <w:r>
      <w:rPr/>
      <w:t>84</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0.1.</w:t>
    </w:r>
    <w:del w:id="167" w:author="Mark Semmler" w:date="2024-06-27T12:07:20Z">
      <w:r>
        <w:rPr>
          <w:u w:val="single"/>
        </w:rPr>
        <w:delText>1</w:delText>
      </w:r>
    </w:del>
    <w:ins w:id="168" w:author="Mark Semmler" w:date="2024-06-27T12:07:20Z">
      <w:r>
        <w:rPr>
          <w:u w:val="single"/>
        </w:rPr>
        <w:t>2</w:t>
      </w:r>
    </w:ins>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0.1.</w:t>
    </w:r>
    <w:del w:id="169" w:author="Mark Semmler" w:date="2024-06-27T12:07:20Z">
      <w:r>
        <w:rPr>
          <w:u w:val="single"/>
        </w:rPr>
        <w:delText>1</w:delText>
      </w:r>
    </w:del>
    <w:ins w:id="170" w:author="Mark Semmler" w:date="2024-06-27T12:07:20Z">
      <w:r>
        <w:rPr>
          <w:u w:val="single"/>
        </w:rPr>
        <w:t>2</w:t>
      </w:r>
    </w:ins>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60"/>
  <w:trackRevisions/>
  <w:embedTrueTypeFonts/>
  <w:defaultTabStop w:val="709"/>
  <w:autoHyphenation w:val="true"/>
  <w:compat>
    <w:doNotBreakWrappedTables/>
    <w:compatSetting w:name="compatibilityMode" w:uri="http://schemas.microsoft.com/office/word" w:val="15"/>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fals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1"/>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header" Target="header3.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oter" Target="footer3.xml"/><Relationship Id="rId20" Type="http://schemas.openxmlformats.org/officeDocument/2006/relationships/numbering" Target="numbering.xml"/><Relationship Id="rId21" Type="http://schemas.openxmlformats.org/officeDocument/2006/relationships/fontTable" Target="fontTable.xml"/><Relationship Id="rId22" Type="http://schemas.openxmlformats.org/officeDocument/2006/relationships/settings" Target="settings.xml"/><Relationship Id="rId23"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7834</TotalTime>
  <Application>LibreOffice/24.2.3.2$Linux_X86_64 LibreOffice_project/433d9c2ded56988e8a90e6b2e771ee4e6a5ab2ba</Application>
  <AppVersion>15.0000</AppVersion>
  <Pages>84</Pages>
  <Words>18442</Words>
  <Characters>124260</Characters>
  <CharactersWithSpaces>140065</CharactersWithSpaces>
  <Paragraphs>2668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2024-06-27T11:39:29Z</cp:lastPrinted>
  <dcterms:modified xsi:type="dcterms:W3CDTF">2024-06-27T16:04:10Z</dcterms:modified>
  <cp:revision>123</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