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2.xml.rels" ContentType="application/vnd.openxmlformats-package.relationships+xml"/>
  <Override PartName="/word/_rels/header3.xml.rels" ContentType="application/vnd.openxmlformats-package.relationships+xml"/>
  <Override PartName="/word/_rels/fontTable.xml.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theme/theme1.xml" ContentType="application/vnd.openxmlformats-officedocument.them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settings.xml" ContentType="application/vnd.openxmlformats-officedocument.wordprocessingml.settings+xml"/>
  <Override PartName="/word/fonts/font9.odttf" ContentType="application/vnd.openxmlformats-officedocument.obfuscatedFont"/>
  <Override PartName="/word/fonts/font15.odttf" ContentType="application/vnd.openxmlformats-officedocument.obfuscatedFont"/>
  <Override PartName="/word/fonts/font8.odttf" ContentType="application/vnd.openxmlformats-officedocument.obfuscatedFont"/>
  <Override PartName="/word/fonts/font14.odttf" ContentType="application/vnd.openxmlformats-officedocument.obfuscatedFont"/>
  <Override PartName="/word/fonts/font17.odttf" ContentType="application/vnd.openxmlformats-officedocument.obfuscatedFont"/>
  <Override PartName="/word/fonts/font16.odttf" ContentType="application/vnd.openxmlformats-officedocument.obfuscatedFont"/>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10.odttf" ContentType="application/vnd.openxmlformats-officedocument.obfuscatedFont"/>
  <Override PartName="/word/fonts/font4.odttf" ContentType="application/vnd.openxmlformats-officedocument.obfuscatedFont"/>
  <Override PartName="/word/fonts/font7.odttf" ContentType="application/vnd.openxmlformats-officedocument.obfuscatedFont"/>
  <Override PartName="/word/fonts/font13.odttf" ContentType="application/vnd.openxmlformats-officedocument.obfuscatedFont"/>
  <Override PartName="/word/fonts/font11.odttf" ContentType="application/vnd.openxmlformats-officedocument.obfuscatedFont"/>
  <Override PartName="/word/fonts/font5.odttf" ContentType="application/vnd.openxmlformats-officedocument.obfuscatedFont"/>
  <Override PartName="/word/fonts/font12.odttf" ContentType="application/vnd.openxmlformats-officedocument.obfuscatedFont"/>
  <Override PartName="/word/fonts/font6.odttf" ContentType="application/vnd.openxmlformats-officedocument.obfuscatedFont"/>
  <Override PartName="/word/header3.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OC1"/>
        <w:rPr/>
      </w:pPr>
      <w:r>
        <w:rPr/>
      </w:r>
    </w:p>
    <w:tbl>
      <w:tblPr>
        <w:tblW w:w="4150" w:type="pct"/>
        <w:jc w:val="center"/>
        <w:tblInd w:w="0" w:type="dxa"/>
        <w:tblLayout w:type="fixed"/>
        <w:tblCellMar>
          <w:top w:w="0" w:type="dxa"/>
          <w:start w:w="2" w:type="dxa"/>
          <w:bottom w:w="0" w:type="dxa"/>
          <w:end w:w="0" w:type="dxa"/>
        </w:tblCellMar>
      </w:tblPr>
      <w:tblGrid>
        <w:gridCol w:w="1415"/>
        <w:gridCol w:w="11618"/>
      </w:tblGrid>
      <w:tr>
        <w:trPr/>
        <w:tc>
          <w:tcPr>
            <w:tcW w:w="1415"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1" name="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descr="" title=""/>
                          <pic:cNvPicPr>
                            <a:picLocks noChangeAspect="1" noChangeArrowheads="1"/>
                          </pic:cNvPicPr>
                        </pic:nvPicPr>
                        <pic:blipFill>
                          <a:blip r:embed="rId2"/>
                          <a:stretch>
                            <a:fillRect/>
                          </a:stretch>
                        </pic:blipFill>
                        <pic:spPr bwMode="auto">
                          <a:xfrm>
                            <a:off x="0" y="0"/>
                            <a:ext cx="457200" cy="457200"/>
                          </a:xfrm>
                          <a:prstGeom prst="rect">
                            <a:avLst/>
                          </a:prstGeom>
                        </pic:spPr>
                      </pic:pic>
                    </a:graphicData>
                  </a:graphic>
                </wp:inline>
              </w:drawing>
            </w:r>
          </w:p>
        </w:tc>
        <w:tc>
          <w:tcPr>
            <w:tcW w:w="11618" w:type="dxa"/>
            <w:tcBorders>
              <w:top w:val="single" w:sz="2" w:space="0" w:color="000000"/>
              <w:bottom w:val="single" w:sz="2" w:space="0" w:color="000000"/>
              <w:end w:val="single" w:sz="2" w:space="0" w:color="000000"/>
            </w:tcBorders>
            <w:shd w:fill="FFFF00" w:val="clear"/>
          </w:tcPr>
          <w:p>
            <w:pPr>
              <w:pStyle w:val="Normal"/>
              <w:bidi w:val="0"/>
              <w:jc w:val="start"/>
              <w:rPr/>
            </w:pPr>
            <w:r>
              <w:rPr/>
              <w:t>Änderungen bitte im Änderungsmodus (Tracking) verfassen.</w:t>
            </w:r>
          </w:p>
          <w:p>
            <w:pPr>
              <w:pStyle w:val="Normal"/>
              <w:bidi w:val="0"/>
              <w:jc w:val="start"/>
              <w:rPr/>
            </w:pPr>
            <w:r>
              <w:rPr/>
              <w:t>Geänderte Versionen bitte per Mail senden an: vds10100-feedback [at] vds-nis2.de</w:t>
            </w:r>
          </w:p>
          <w:p>
            <w:pPr>
              <w:pStyle w:val="Normal"/>
              <w:bidi w:val="0"/>
              <w:jc w:val="start"/>
              <w:rPr/>
            </w:pPr>
            <w:r>
              <w:rPr/>
            </w:r>
          </w:p>
          <w:p>
            <w:pPr>
              <w:pStyle w:val="Normal"/>
              <w:bidi w:val="0"/>
              <w:jc w:val="start"/>
              <w:rPr/>
            </w:pPr>
            <w:r>
              <w:rPr/>
              <w:t>Feedback welcome!</w:t>
            </w:r>
          </w:p>
          <w:p>
            <w:pPr>
              <w:pStyle w:val="Normal"/>
              <w:bidi w:val="0"/>
              <w:jc w:val="start"/>
              <w:rPr/>
            </w:pPr>
            <w:r>
              <w:rPr/>
            </w:r>
          </w:p>
        </w:tc>
      </w:tr>
    </w:tbl>
    <w:p>
      <w:pPr>
        <w:pStyle w:val="Heading1"/>
        <w:numPr>
          <w:ilvl w:val="0"/>
          <w:numId w:val="0"/>
        </w:numPr>
        <w:tabs>
          <w:tab w:val="clear" w:pos="709"/>
          <w:tab w:val="left" w:pos="0" w:leader="none"/>
        </w:tabs>
        <w:bidi w:val="0"/>
        <w:ind w:hanging="0" w:start="0"/>
        <w:jc w:val="start"/>
        <w:rPr/>
      </w:pPr>
      <w:bookmarkStart w:id="0" w:name="__RefHeading___Toc10679_2312135153"/>
      <w:bookmarkEnd w:id="0"/>
      <w:r>
        <w:rPr/>
        <w:t>Vorbemerkung:</w:t>
      </w:r>
    </w:p>
    <w:p>
      <w:pPr>
        <w:pStyle w:val="Normal"/>
        <w:bidi w:val="0"/>
        <w:jc w:val="start"/>
        <w:rPr/>
      </w:pPr>
      <w:r>
        <w:rPr/>
        <w:t>Die Anforderungen von NIS2 sind umfangreich und z. T. aktuell noch widersprüchlich (deshalb sind konkret geforderte Maßnahmen gem § 30 (2) im aktuellen Entwurf noch nicht aufgenommen.</w:t>
      </w:r>
    </w:p>
    <w:p>
      <w:pPr>
        <w:pStyle w:val="Normal"/>
        <w:bidi w:val="0"/>
        <w:jc w:val="start"/>
        <w:rPr/>
      </w:pPr>
      <w:r>
        <w:rPr/>
        <w:t xml:space="preserve">Die betroffenen Organisationen sind verpflichtet, ihre </w:t>
      </w:r>
      <w:r>
        <w:rPr>
          <w:rFonts w:eastAsia="Bitstream Vera Sans" w:cs="Bitstream Vera Sans"/>
          <w:color w:val="auto"/>
          <w:kern w:val="0"/>
          <w:sz w:val="20"/>
          <w:szCs w:val="24"/>
          <w:lang w:val="de-DE" w:eastAsia="en-US" w:bidi="en-US"/>
        </w:rPr>
        <w:t>„</w:t>
      </w:r>
      <w:r>
        <w:rPr/>
        <w:t>informationstechnischen Systeme, Komponenten und Prozesse, die sie für die Erbringung ihrer Dienste nutzen</w:t>
      </w:r>
      <w:r>
        <w:rPr>
          <w:rFonts w:eastAsia="Bitstream Vera Sans" w:cs="Bitstream Vera Sans"/>
          <w:color w:val="auto"/>
          <w:kern w:val="0"/>
          <w:sz w:val="20"/>
          <w:szCs w:val="24"/>
          <w:lang w:val="de-DE" w:eastAsia="en-US" w:bidi="en-US"/>
        </w:rPr>
        <w:t xml:space="preserve">“ durch entsprechende „geeignete, verhältnismäßige und wirksame technische und organisatorische Maßnahmen“ abzusichern (§ 30 Abs. 1 Satz 1). </w:t>
      </w:r>
    </w:p>
    <w:p>
      <w:pPr>
        <w:pStyle w:val="Normal"/>
        <w:bidi w:val="0"/>
        <w:jc w:val="start"/>
        <w:rPr/>
      </w:pPr>
      <w:r>
        <w:rPr/>
        <w:t xml:space="preserve">Die Erklärung im Gesetzesentwurf stellt klar, dass </w:t>
      </w:r>
      <w:r>
        <w:rPr>
          <w:rFonts w:eastAsia="Bitstream Vera Sans" w:cs="Bitstream Vera Sans"/>
          <w:color w:val="auto"/>
          <w:kern w:val="0"/>
          <w:sz w:val="20"/>
          <w:szCs w:val="24"/>
          <w:lang w:val="de-DE" w:eastAsia="en-US" w:bidi="en-US"/>
        </w:rPr>
        <w:t>„d</w:t>
      </w:r>
      <w:r>
        <w:rPr/>
        <w:t>er Begriff „Erbringung ihrer Dienste“ (</w:t>
      </w:r>
      <w:r>
        <w:rPr>
          <w:rFonts w:eastAsia="Bitstream Vera Sans" w:cs="Bitstream Vera Sans"/>
          <w:color w:val="auto"/>
          <w:kern w:val="0"/>
          <w:sz w:val="20"/>
          <w:szCs w:val="24"/>
          <w:lang w:val="de-DE" w:eastAsia="en-US" w:bidi="en-US"/>
        </w:rPr>
        <w:t>…</w:t>
      </w:r>
      <w:r>
        <w:rPr/>
        <w:t>) weit gefasst (ist) und insbesondere nicht mit der Erbringung (kritischer) Versorgungsdienstleistungen zu verwechseln (ist). Vielmehr sind die hier gemeinten Dienste sämtliche Aktivitäten der Einrichtung, für die IT-Systeme eingesetzt werden, dies beinhaltet beispielsweise auch Büro-IT oder andere IT-Systeme, die durch die Einrichtung betrieben werden.</w:t>
      </w:r>
      <w:r>
        <w:rPr>
          <w:rFonts w:eastAsia="Bitstream Vera Sans" w:cs="Bitstream Vera Sans"/>
          <w:color w:val="auto"/>
          <w:kern w:val="0"/>
          <w:sz w:val="20"/>
          <w:szCs w:val="24"/>
          <w:lang w:val="de-DE" w:eastAsia="en-US" w:bidi="en-US"/>
        </w:rPr>
        <w:t>“ Deshalb wird in Abschnitt 1.2 der VdS 10100 (Anwendungs- und Geltungsbereich) festgelegt, dass die Richtlinien in der gesamten Organisation umzusetzen sind.</w:t>
      </w:r>
    </w:p>
    <w:p>
      <w:pPr>
        <w:pStyle w:val="Normal"/>
        <w:rPr/>
      </w:pPr>
      <w:r>
        <w:rPr/>
      </w:r>
    </w:p>
    <w:p>
      <w:pPr>
        <w:pStyle w:val="Normal"/>
        <w:bidi w:val="0"/>
        <w:jc w:val="start"/>
        <w:rPr/>
      </w:pPr>
      <w:r>
        <w:rPr/>
        <w:t xml:space="preserve">Gleichzeitig wird im </w:t>
      </w:r>
      <w:r>
        <w:rPr>
          <w:rFonts w:eastAsia="Bitstream Vera Sans" w:cs="Bitstream Vera Sans"/>
          <w:color w:val="auto"/>
          <w:kern w:val="0"/>
          <w:sz w:val="20"/>
          <w:szCs w:val="24"/>
          <w:lang w:val="de-DE" w:eastAsia="en-US" w:bidi="en-US"/>
        </w:rPr>
        <w:t>Gesetzestext</w:t>
      </w:r>
      <w:r>
        <w:rPr/>
        <w:t xml:space="preserve"> betont, dass bei der Auswahl der technischen und organisatorischen Maßnahmen </w:t>
      </w:r>
      <w:r>
        <w:rPr>
          <w:rFonts w:eastAsia="Bitstream Vera Sans" w:cs="Bitstream Vera Sans"/>
          <w:color w:val="auto"/>
          <w:kern w:val="0"/>
          <w:sz w:val="20"/>
          <w:szCs w:val="24"/>
          <w:lang w:val="de-DE" w:eastAsia="en-US" w:bidi="en-US"/>
        </w:rPr>
        <w:t>„das Ausmaß der Risikoexposition die Größe der Einrichtung, die Umsetzungskosten und die Eintrittswahrscheinlichkeit und Schwere von Sicherheitsvorfällen sowie ihre gesellschaftlichen und wirtschaftlichen Auswirkungen zu berücksichtigen“ sind (§ 30 Abs. 1 Satz 2).</w:t>
      </w:r>
    </w:p>
    <w:p>
      <w:pPr>
        <w:pStyle w:val="Normal"/>
        <w:bidi w:val="0"/>
        <w:jc w:val="start"/>
        <w:rPr/>
      </w:pPr>
      <w:r>
        <w:rPr/>
        <w:t>Der Aufwand für die Umsetzung gängiger Regelwerke wird z. B. dadurch beschränkt, dass ein Geltungsbereich definiert werden kann. Dies scheint hier nicht möglich zu sein. Um den Implementationsaufwand zu reduzieren und die zur Verfügung stehenden Ressourcen möglichst effektiv und effizient für die Informationssicherheit einzusetzen, werden wir folgende Vorgehensweise umsetzen:</w:t>
      </w:r>
    </w:p>
    <w:p>
      <w:pPr>
        <w:pStyle w:val="Normal"/>
        <w:bidi w:val="0"/>
        <w:jc w:val="start"/>
        <w:rPr/>
      </w:pPr>
      <w:r>
        <w:rPr/>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Kriterien für Risikoakzeptanz festlegen (Anhang A.2)</w:t>
      </w:r>
    </w:p>
    <w:p>
      <w:pPr>
        <w:pStyle w:val="Normal"/>
        <w:numPr>
          <w:ilvl w:val="0"/>
          <w:numId w:val="5"/>
        </w:numPr>
        <w:bidi w:val="0"/>
        <w:jc w:val="start"/>
        <w:rPr/>
      </w:pPr>
      <w:r>
        <w:rPr/>
        <w:t>Analyse</w:t>
      </w:r>
      <w:r>
        <w:rPr>
          <w:rFonts w:eastAsia="Bitstream Vera Sans" w:cs="Bitstream Vera Sans"/>
          <w:color w:val="auto"/>
          <w:kern w:val="0"/>
          <w:sz w:val="20"/>
          <w:szCs w:val="24"/>
          <w:lang w:val="de-DE" w:eastAsia="en-US" w:bidi="en-US"/>
        </w:rPr>
        <w:t>: Welche Teile der IT-Infrastruktur liegen unterhalb der Risikoakzeptanz-Grenze (die Schadenshöhe im Eintrittsfall ist zu gering). Diese Teile werden nicht abgesichert!</w:t>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Der verbleibende Teil wird gem. VdS 10000 behandelt, ggf. mit einer weiteren Klasse („wichtige Teile der IT-Infrastruktur“).</w:t>
      </w:r>
    </w:p>
    <w:p>
      <w:pPr>
        <w:pStyle w:val="Normal"/>
        <w:bidi w:val="0"/>
        <w:jc w:val="center"/>
        <w:rPr>
          <w:rFonts w:eastAsia="Bitstream Vera Sans" w:cs="Bitstream Vera Sans"/>
          <w:color w:val="auto"/>
          <w:kern w:val="0"/>
          <w:sz w:val="20"/>
          <w:szCs w:val="24"/>
          <w:lang w:val="de-DE" w:eastAsia="en-US" w:bidi="en-US"/>
        </w:rPr>
      </w:pPr>
      <w:r>
        <w:rPr/>
      </w:r>
      <w:r>
        <w:br w:type="page"/>
      </w:r>
    </w:p>
    <w:p>
      <w:pPr>
        <w:pStyle w:val="BodyText"/>
        <w:rPr/>
      </w:pPr>
      <w:r>
        <w:rPr/>
      </w:r>
    </w:p>
    <w:p>
      <w:pPr>
        <w:pStyle w:val="Normal"/>
        <w:bidi w:val="0"/>
        <w:jc w:val="center"/>
        <w:rPr/>
      </w:pPr>
      <w:r>
        <w:rPr/>
        <w:drawing>
          <wp:inline distT="0" distB="0" distL="0" distR="0">
            <wp:extent cx="5870575" cy="4947920"/>
            <wp:effectExtent l="0" t="0" r="0" b="0"/>
            <wp:docPr id="2" name="Image3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Copy 1" descr="" title=""/>
                    <pic:cNvPicPr>
                      <a:picLocks noChangeAspect="1" noChangeArrowheads="1"/>
                    </pic:cNvPicPr>
                  </pic:nvPicPr>
                  <pic:blipFill>
                    <a:blip r:embed="rId3"/>
                    <a:stretch>
                      <a:fillRect/>
                    </a:stretch>
                  </pic:blipFill>
                  <pic:spPr bwMode="auto">
                    <a:xfrm>
                      <a:off x="0" y="0"/>
                      <a:ext cx="5870575" cy="4947920"/>
                    </a:xfrm>
                    <a:prstGeom prst="rect">
                      <a:avLst/>
                    </a:prstGeom>
                  </pic:spPr>
                </pic:pic>
              </a:graphicData>
            </a:graphic>
          </wp:inline>
        </w:drawing>
      </w:r>
      <w:r>
        <w:br w:type="page"/>
      </w:r>
    </w:p>
    <w:p>
      <w:pPr>
        <w:pStyle w:val="Normal"/>
        <w:bidi w:val="0"/>
        <w:jc w:val="center"/>
        <w:rPr/>
      </w:pPr>
      <w:r>
        <w:rPr/>
        <w:drawing>
          <wp:inline distT="0" distB="0" distL="0" distR="0">
            <wp:extent cx="9972040" cy="5046980"/>
            <wp:effectExtent l="0" t="0" r="0" b="0"/>
            <wp:docPr id="3"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 title=""/>
                    <pic:cNvPicPr>
                      <a:picLocks noChangeAspect="1" noChangeArrowheads="1"/>
                    </pic:cNvPicPr>
                  </pic:nvPicPr>
                  <pic:blipFill>
                    <a:blip r:embed="rId4"/>
                    <a:stretch>
                      <a:fillRect/>
                    </a:stretch>
                  </pic:blipFill>
                  <pic:spPr bwMode="auto">
                    <a:xfrm>
                      <a:off x="0" y="0"/>
                      <a:ext cx="9972040" cy="5046980"/>
                    </a:xfrm>
                    <a:prstGeom prst="rect">
                      <a:avLst/>
                    </a:prstGeom>
                  </pic:spPr>
                </pic:pic>
              </a:graphicData>
            </a:graphic>
          </wp:inline>
        </w:drawing>
      </w:r>
      <w:r>
        <w:br w:type="page"/>
      </w:r>
    </w:p>
    <w:p>
      <w:pPr>
        <w:pStyle w:val="Normal"/>
        <w:bidi w:val="0"/>
        <w:jc w:val="center"/>
        <w:rPr/>
      </w:pPr>
      <w:r>
        <w:rPr/>
      </w:r>
    </w:p>
    <w:p>
      <w:pPr>
        <w:pStyle w:val="Heading1"/>
        <w:numPr>
          <w:ilvl w:val="0"/>
          <w:numId w:val="0"/>
        </w:numPr>
        <w:tabs>
          <w:tab w:val="clear" w:pos="709"/>
          <w:tab w:val="left" w:pos="0" w:leader="none"/>
        </w:tabs>
        <w:bidi w:val="0"/>
        <w:ind w:hanging="0" w:start="0"/>
        <w:jc w:val="start"/>
        <w:rPr/>
      </w:pPr>
      <w:bookmarkStart w:id="1" w:name="__RefHeading___vorlage_fuer_assessment_d"/>
      <w:bookmarkStart w:id="2" w:name="vorlage_fuer_assessment_der_vds_10000_in"/>
      <w:bookmarkStart w:id="3" w:name="trainings%25252525252525252525253Asem-2t"/>
      <w:bookmarkEnd w:id="1"/>
      <w:bookmarkEnd w:id="3"/>
      <w:r>
        <w:rPr/>
        <w:t>V</w:t>
      </w:r>
      <w:bookmarkEnd w:id="2"/>
      <w:r>
        <w:rPr/>
        <w:t>dS 10100, Version 0.1.</w:t>
      </w:r>
      <w:r>
        <w:rPr/>
        <w:t>2</w:t>
      </w:r>
      <w:r>
        <w:rPr/>
        <w:t xml:space="preserve"> vom 2</w:t>
      </w:r>
      <w:r>
        <w:rPr/>
        <w:t>7</w:t>
      </w:r>
      <w:r>
        <w:rPr/>
        <w:t>.06.2024</w:t>
      </w:r>
    </w:p>
    <w:p>
      <w:pPr>
        <w:pStyle w:val="Heading4"/>
        <w:numPr>
          <w:ilvl w:val="0"/>
          <w:numId w:val="0"/>
        </w:numPr>
        <w:tabs>
          <w:tab w:val="clear" w:pos="709"/>
          <w:tab w:val="left" w:pos="0" w:leader="none"/>
        </w:tabs>
        <w:bidi w:val="0"/>
        <w:ind w:hanging="0" w:start="0"/>
        <w:jc w:val="start"/>
        <w:rPr/>
      </w:pPr>
      <w:bookmarkStart w:id="4" w:name="__RefHeading___vds-richtlinien_fuer_die_"/>
      <w:bookmarkStart w:id="5" w:name="vds-richtlinien_fuer_die_informationsver"/>
      <w:bookmarkEnd w:id="4"/>
      <w:r>
        <w:rPr/>
        <w:t>0 VdS-Richtlinien für die Informationsverarbeitung</w:t>
      </w:r>
      <w:bookmarkEnd w:id="5"/>
    </w:p>
    <w:p>
      <w:pPr>
        <w:pStyle w:val="Heading1"/>
        <w:numPr>
          <w:ilvl w:val="0"/>
          <w:numId w:val="0"/>
        </w:numPr>
        <w:tabs>
          <w:tab w:val="clear" w:pos="709"/>
          <w:tab w:val="left" w:pos="0" w:leader="none"/>
        </w:tabs>
        <w:bidi w:val="0"/>
        <w:ind w:hanging="0" w:start="0"/>
        <w:jc w:val="start"/>
        <w:rPr/>
      </w:pPr>
      <w:bookmarkStart w:id="6" w:name="__RefHeading___informationssicherheitsma"/>
      <w:bookmarkEnd w:id="6"/>
      <w:r>
        <w:rPr/>
        <w:t>Strukturierte Informationssicherheit gemäß NIS2</w:t>
      </w:r>
    </w:p>
    <w:sdt>
      <w:sdtPr>
        <w:docPartObj>
          <w:docPartGallery w:val="Table of Contents"/>
          <w:docPartUnique w:val="true"/>
        </w:docPartObj>
      </w:sdtPr>
      <w:sdtContent>
        <w:p>
          <w:pPr>
            <w:pStyle w:val="TOCHeading"/>
            <w:suppressLineNumbers/>
            <w:ind w:hanging="0" w:start="0" w:end="0"/>
            <w:rPr>
              <w:b/>
              <w:bCs/>
              <w:sz w:val="32"/>
              <w:szCs w:val="32"/>
            </w:rPr>
          </w:pPr>
          <w:r>
            <w:rPr>
              <w:b/>
              <w:bCs/>
              <w:sz w:val="32"/>
              <w:szCs w:val="32"/>
            </w:rPr>
            <w:t>Inhaltsverzeichnis</w:t>
          </w:r>
        </w:p>
        <w:p>
          <w:pPr>
            <w:pStyle w:val="TOC1"/>
            <w:rPr/>
          </w:pPr>
          <w:r>
            <w:fldChar w:fldCharType="begin"/>
          </w:r>
          <w:r>
            <w:rPr>
              <w:rStyle w:val="IndexLink"/>
            </w:rPr>
            <w:instrText xml:space="preserve"> TOC \f \o "1-9" \h</w:instrText>
          </w:r>
          <w:r>
            <w:rPr>
              <w:rStyle w:val="IndexLink"/>
            </w:rPr>
            <w:fldChar w:fldCharType="separate"/>
          </w:r>
          <w:hyperlink w:anchor="__RefHeading___Toc10679_2312135153">
            <w:r>
              <w:rPr>
                <w:rStyle w:val="IndexLink"/>
              </w:rPr>
              <w:t>Vorbemerkung:</w:t>
              <w:tab/>
              <w:t>1</w:t>
            </w:r>
          </w:hyperlink>
        </w:p>
        <w:p>
          <w:pPr>
            <w:pStyle w:val="TOC1"/>
            <w:rPr/>
          </w:pPr>
          <w:hyperlink w:anchor="__RefHeading___vorlage_fuer_assessment_d">
            <w:r>
              <w:rPr>
                <w:rStyle w:val="IndexLink"/>
              </w:rPr>
              <w:t>VdS 10100, Version 0.1.1 vom 27.06.2024</w:t>
              <w:tab/>
              <w:t>4</w:t>
            </w:r>
          </w:hyperlink>
        </w:p>
        <w:p>
          <w:pPr>
            <w:pStyle w:val="TOC4"/>
            <w:rPr/>
          </w:pPr>
          <w:hyperlink w:anchor="__RefHeading___vds-richtlinien_fuer_die_">
            <w:r>
              <w:rPr>
                <w:rStyle w:val="IndexLink"/>
              </w:rPr>
              <w:t>0 VdS-Richtlinien für die Informationsverarbeitung</w:t>
              <w:tab/>
              <w:t>4</w:t>
            </w:r>
          </w:hyperlink>
        </w:p>
        <w:p>
          <w:pPr>
            <w:pStyle w:val="TOC1"/>
            <w:rPr/>
          </w:pPr>
          <w:hyperlink w:anchor="__RefHeading___informationssicherheitsma">
            <w:r>
              <w:rPr>
                <w:rStyle w:val="IndexLink"/>
              </w:rPr>
              <w:t>Strukturierte Informationssicherheit gemäß NIS2</w:t>
              <w:tab/>
              <w:t>4</w:t>
            </w:r>
          </w:hyperlink>
        </w:p>
        <w:p>
          <w:pPr>
            <w:pStyle w:val="TOC4"/>
            <w:rPr/>
          </w:pPr>
          <w:hyperlink w:anchor="__RefHeading___anforderungen_4">
            <w:r>
              <w:rPr>
                <w:rStyle w:val="IndexLink"/>
              </w:rPr>
              <w:t>Anforderungen</w:t>
              <w:tab/>
              <w:t>8</w:t>
            </w:r>
          </w:hyperlink>
        </w:p>
        <w:p>
          <w:pPr>
            <w:pStyle w:val="TOC1"/>
            <w:rPr/>
          </w:pPr>
          <w:hyperlink w:anchor="__RefHeading___allgemeines_5">
            <w:r>
              <w:rPr>
                <w:rStyle w:val="IndexLink"/>
              </w:rPr>
              <w:t>1 Allgemeines</w:t>
              <w:tab/>
              <w:t>8</w:t>
            </w:r>
          </w:hyperlink>
        </w:p>
        <w:p>
          <w:pPr>
            <w:pStyle w:val="TOC2"/>
            <w:rPr/>
          </w:pPr>
          <w:hyperlink w:anchor="__RefHeading___anwendungshinweise_6">
            <w:r>
              <w:rPr>
                <w:rStyle w:val="IndexLink"/>
              </w:rPr>
              <w:t>1.1 Anwendungshinweise</w:t>
              <w:tab/>
              <w:t>8</w:t>
            </w:r>
          </w:hyperlink>
        </w:p>
        <w:p>
          <w:pPr>
            <w:pStyle w:val="TOC2"/>
            <w:rPr/>
          </w:pPr>
          <w:hyperlink w:anchor="__RefHeading___anwendungs-_und_geltungsb">
            <w:r>
              <w:rPr>
                <w:rStyle w:val="IndexLink"/>
              </w:rPr>
              <w:t>1.2 Anwendungs- und Geltungsbereich</w:t>
              <w:tab/>
              <w:t>10</w:t>
            </w:r>
          </w:hyperlink>
        </w:p>
        <w:p>
          <w:pPr>
            <w:pStyle w:val="TOC3"/>
            <w:rPr/>
          </w:pPr>
          <w:hyperlink w:anchor="__RefHeading___Toc49840_1658012805">
            <w:r>
              <w:rPr>
                <w:rStyle w:val="IndexLink"/>
              </w:rPr>
              <w:t>1.2.1 Analyse und Registrierung</w:t>
              <w:tab/>
              <w:t>10</w:t>
            </w:r>
          </w:hyperlink>
        </w:p>
        <w:p>
          <w:pPr>
            <w:pStyle w:val="TOC2"/>
            <w:rPr/>
          </w:pPr>
          <w:hyperlink w:anchor="__RefHeading___gueltigkeit_8">
            <w:r>
              <w:rPr>
                <w:rStyle w:val="IndexLink"/>
              </w:rPr>
              <w:t>1.3 Gültigkeit</w:t>
              <w:tab/>
              <w:t>11</w:t>
            </w:r>
          </w:hyperlink>
        </w:p>
        <w:p>
          <w:pPr>
            <w:pStyle w:val="TOC1"/>
            <w:rPr/>
          </w:pPr>
          <w:hyperlink w:anchor="__RefHeading___normative_verweise_9">
            <w:r>
              <w:rPr>
                <w:rStyle w:val="IndexLink"/>
              </w:rPr>
              <w:t>2 Normative Verweise</w:t>
              <w:tab/>
              <w:t>11</w:t>
            </w:r>
          </w:hyperlink>
        </w:p>
        <w:p>
          <w:pPr>
            <w:pStyle w:val="TOC1"/>
            <w:rPr/>
          </w:pPr>
          <w:hyperlink w:anchor="__RefHeading___begriffe_10">
            <w:r>
              <w:rPr>
                <w:rStyle w:val="IndexLink"/>
              </w:rPr>
              <w:t>Begriffe</w:t>
              <w:tab/>
              <w:t>13</w:t>
            </w:r>
          </w:hyperlink>
        </w:p>
        <w:p>
          <w:pPr>
            <w:pStyle w:val="TOC1"/>
            <w:rPr/>
          </w:pPr>
          <w:hyperlink w:anchor="__RefHeading___organisation_der_informat">
            <w:r>
              <w:rPr>
                <w:rStyle w:val="IndexLink"/>
              </w:rPr>
              <w:t>4 Organisation der Informationssicherheit</w:t>
              <w:tab/>
              <w:t>22</w:t>
            </w:r>
          </w:hyperlink>
        </w:p>
        <w:p>
          <w:pPr>
            <w:pStyle w:val="TOC2"/>
            <w:rPr/>
          </w:pPr>
          <w:hyperlink w:anchor="__RefHeading___verantwortlichkeiten_12">
            <w:r>
              <w:rPr>
                <w:rStyle w:val="IndexLink"/>
              </w:rPr>
              <w:t>4.1 Verantwortlichkeiten</w:t>
              <w:tab/>
              <w:t>22</w:t>
            </w:r>
          </w:hyperlink>
        </w:p>
        <w:p>
          <w:pPr>
            <w:pStyle w:val="TOC3"/>
            <w:rPr/>
          </w:pPr>
          <w:hyperlink w:anchor="__RefHeading___zuweisung_und_dokumentati">
            <w:r>
              <w:rPr>
                <w:rStyle w:val="IndexLink"/>
              </w:rPr>
              <w:t>4.1.1 Zuweisung und Dokumentation</w:t>
              <w:tab/>
              <w:t>22</w:t>
            </w:r>
          </w:hyperlink>
        </w:p>
        <w:p>
          <w:pPr>
            <w:pStyle w:val="TOC3"/>
            <w:rPr/>
          </w:pPr>
          <w:hyperlink w:anchor="__RefHeading___funktionstrennungen_14">
            <w:r>
              <w:rPr>
                <w:rStyle w:val="IndexLink"/>
              </w:rPr>
              <w:t>4.1.2 Funktionstrennungen</w:t>
              <w:tab/>
              <w:t>23</w:t>
            </w:r>
          </w:hyperlink>
        </w:p>
        <w:p>
          <w:pPr>
            <w:pStyle w:val="TOC3"/>
            <w:rPr/>
          </w:pPr>
          <w:hyperlink w:anchor="__RefHeading___zeitliche_ressourcen_15">
            <w:r>
              <w:rPr>
                <w:rStyle w:val="IndexLink"/>
              </w:rPr>
              <w:t>4.1.3 Zeitliche Ressourcen</w:t>
              <w:tab/>
              <w:t>23</w:t>
            </w:r>
          </w:hyperlink>
        </w:p>
        <w:p>
          <w:pPr>
            <w:pStyle w:val="TOC3"/>
            <w:rPr/>
          </w:pPr>
          <w:hyperlink w:anchor="__RefHeading___delegieren_von_aufgaben_1">
            <w:r>
              <w:rPr>
                <w:rStyle w:val="IndexLink"/>
              </w:rPr>
              <w:t>4.1.4 Delegieren von Aufgaben</w:t>
              <w:tab/>
              <w:t>24</w:t>
            </w:r>
          </w:hyperlink>
        </w:p>
        <w:p>
          <w:pPr>
            <w:pStyle w:val="TOC2"/>
            <w:rPr/>
          </w:pPr>
          <w:hyperlink w:anchor="__RefHeading___topmanagement_17">
            <w:r>
              <w:rPr>
                <w:rStyle w:val="IndexLink"/>
              </w:rPr>
              <w:t>4.2 Topmanagement</w:t>
              <w:tab/>
              <w:t>24</w:t>
            </w:r>
          </w:hyperlink>
        </w:p>
        <w:p>
          <w:pPr>
            <w:pStyle w:val="TOC2"/>
            <w:rPr/>
          </w:pPr>
          <w:hyperlink w:anchor="__RefHeading___informationssicherheitsbe">
            <w:r>
              <w:rPr>
                <w:rStyle w:val="IndexLink"/>
              </w:rPr>
              <w:t>4.3 Informationssicherheitsbeauftragter (ISB)</w:t>
              <w:tab/>
              <w:t>25</w:t>
            </w:r>
          </w:hyperlink>
        </w:p>
        <w:p>
          <w:pPr>
            <w:pStyle w:val="TOC2"/>
            <w:rPr/>
          </w:pPr>
          <w:hyperlink w:anchor="__RefHeading___informationssicherheitste">
            <w:r>
              <w:rPr>
                <w:rStyle w:val="IndexLink"/>
              </w:rPr>
              <w:t>4.4 Informationssicherheitsteam (IST)</w:t>
              <w:tab/>
              <w:t>25</w:t>
            </w:r>
          </w:hyperlink>
        </w:p>
        <w:p>
          <w:pPr>
            <w:pStyle w:val="TOC2"/>
            <w:rPr/>
          </w:pPr>
          <w:hyperlink w:anchor="__RefHeading___it-verantwortliche_20">
            <w:r>
              <w:rPr>
                <w:rStyle w:val="IndexLink"/>
              </w:rPr>
              <w:t>4.5 IT-Verantwortliche</w:t>
              <w:tab/>
              <w:t>26</w:t>
            </w:r>
          </w:hyperlink>
        </w:p>
        <w:p>
          <w:pPr>
            <w:pStyle w:val="TOC2"/>
            <w:rPr/>
          </w:pPr>
          <w:hyperlink w:anchor="__RefHeading___administratoren_21">
            <w:r>
              <w:rPr>
                <w:rStyle w:val="IndexLink"/>
              </w:rPr>
              <w:t>4.6 Administratoren</w:t>
              <w:tab/>
              <w:t>27</w:t>
            </w:r>
          </w:hyperlink>
        </w:p>
        <w:p>
          <w:pPr>
            <w:pStyle w:val="TOC2"/>
            <w:rPr/>
          </w:pPr>
          <w:hyperlink w:anchor="__RefHeading___vorgesetzte_22">
            <w:r>
              <w:rPr>
                <w:rStyle w:val="IndexLink"/>
              </w:rPr>
              <w:t>4.7 Vorgesetzte</w:t>
              <w:tab/>
              <w:t>27</w:t>
            </w:r>
          </w:hyperlink>
        </w:p>
        <w:p>
          <w:pPr>
            <w:pStyle w:val="TOC2"/>
            <w:rPr/>
          </w:pPr>
          <w:hyperlink w:anchor="__RefHeading___mitarbeiter_23">
            <w:r>
              <w:rPr>
                <w:rStyle w:val="IndexLink"/>
              </w:rPr>
              <w:t>4.8 Mitarbeiter</w:t>
              <w:tab/>
              <w:t>27</w:t>
            </w:r>
          </w:hyperlink>
        </w:p>
        <w:p>
          <w:pPr>
            <w:pStyle w:val="TOC2"/>
            <w:rPr/>
          </w:pPr>
          <w:hyperlink w:anchor="__RefHeading___projektverantwortliche_24">
            <w:r>
              <w:rPr>
                <w:rStyle w:val="IndexLink"/>
              </w:rPr>
              <w:t>4.9 Projektverantwortliche</w:t>
              <w:tab/>
              <w:t>27</w:t>
            </w:r>
          </w:hyperlink>
        </w:p>
        <w:p>
          <w:pPr>
            <w:pStyle w:val="TOC2"/>
            <w:rPr/>
          </w:pPr>
          <w:hyperlink w:anchor="__RefHeading___externe_25">
            <w:r>
              <w:rPr>
                <w:rStyle w:val="IndexLink"/>
              </w:rPr>
              <w:t>4.10 Externe</w:t>
              <w:tab/>
              <w:t>28</w:t>
            </w:r>
          </w:hyperlink>
        </w:p>
        <w:p>
          <w:pPr>
            <w:pStyle w:val="TOC1"/>
            <w:rPr/>
          </w:pPr>
          <w:hyperlink w:anchor="__RefHeading___leitlinie_zur_information">
            <w:r>
              <w:rPr>
                <w:rStyle w:val="IndexLink"/>
              </w:rPr>
              <w:t>5 Leitlinie zur Informationssicherheit (IS-Leitlinie)</w:t>
              <w:tab/>
              <w:t>28</w:t>
            </w:r>
          </w:hyperlink>
        </w:p>
        <w:p>
          <w:pPr>
            <w:pStyle w:val="TOC2"/>
            <w:rPr/>
          </w:pPr>
          <w:hyperlink w:anchor="__RefHeading___allgemeine_anforderungen_">
            <w:r>
              <w:rPr>
                <w:rStyle w:val="IndexLink"/>
              </w:rPr>
              <w:t>5.1 Allgemeine Anforderungen</w:t>
              <w:tab/>
              <w:t>28</w:t>
            </w:r>
          </w:hyperlink>
        </w:p>
        <w:p>
          <w:pPr>
            <w:pStyle w:val="TOC2"/>
            <w:rPr/>
          </w:pPr>
          <w:hyperlink w:anchor="__RefHeading___inhalte_28">
            <w:r>
              <w:rPr>
                <w:rStyle w:val="IndexLink"/>
              </w:rPr>
              <w:t>5.2 Inhalte</w:t>
              <w:tab/>
              <w:t>29</w:t>
            </w:r>
          </w:hyperlink>
        </w:p>
        <w:p>
          <w:pPr>
            <w:pStyle w:val="TOC1"/>
            <w:rPr/>
          </w:pPr>
          <w:hyperlink w:anchor="__RefHeading___richtlinien_zur_informati">
            <w:r>
              <w:rPr>
                <w:rStyle w:val="IndexLink"/>
              </w:rPr>
              <w:t>6 Richtlinien zur Informationssicherheit (IS-Richtlinien)</w:t>
              <w:tab/>
              <w:t>29</w:t>
            </w:r>
          </w:hyperlink>
        </w:p>
        <w:p>
          <w:pPr>
            <w:pStyle w:val="TOC2"/>
            <w:rPr/>
          </w:pPr>
          <w:hyperlink w:anchor="__RefHeading___allgemeine_anforderungen1">
            <w:r>
              <w:rPr>
                <w:rStyle w:val="IndexLink"/>
              </w:rPr>
              <w:t>6.1 Allgemeine Anforderungen</w:t>
              <w:tab/>
              <w:t>29</w:t>
            </w:r>
          </w:hyperlink>
        </w:p>
        <w:p>
          <w:pPr>
            <w:pStyle w:val="TOC2"/>
            <w:rPr/>
          </w:pPr>
          <w:hyperlink w:anchor="__RefHeading___inhalte_31">
            <w:r>
              <w:rPr>
                <w:rStyle w:val="IndexLink"/>
              </w:rPr>
              <w:t>6.2 Inhalte</w:t>
              <w:tab/>
              <w:t>30</w:t>
            </w:r>
          </w:hyperlink>
        </w:p>
        <w:p>
          <w:pPr>
            <w:pStyle w:val="TOC2"/>
            <w:rPr/>
          </w:pPr>
          <w:hyperlink w:anchor="__RefHeading___regelungen_fuer_nutzer_32">
            <w:r>
              <w:rPr>
                <w:rStyle w:val="IndexLink"/>
              </w:rPr>
              <w:t>6.3 Regelungen für Nutzer</w:t>
              <w:tab/>
              <w:t>30</w:t>
            </w:r>
          </w:hyperlink>
        </w:p>
        <w:p>
          <w:pPr>
            <w:pStyle w:val="TOC2"/>
            <w:rPr/>
          </w:pPr>
          <w:hyperlink w:anchor="__RefHeading___weitere_regelungen_38">
            <w:r>
              <w:rPr>
                <w:rStyle w:val="IndexLink"/>
              </w:rPr>
              <w:t>6.4 Weitere Regelungen</w:t>
              <w:tab/>
              <w:t>32</w:t>
            </w:r>
          </w:hyperlink>
        </w:p>
        <w:p>
          <w:pPr>
            <w:pStyle w:val="TOC1"/>
            <w:rPr/>
          </w:pPr>
          <w:hyperlink w:anchor="__RefHeading___mitarbeiter_39">
            <w:r>
              <w:rPr>
                <w:rStyle w:val="IndexLink"/>
              </w:rPr>
              <w:t>7 Mitarbeiter</w:t>
              <w:tab/>
              <w:t>33</w:t>
            </w:r>
          </w:hyperlink>
        </w:p>
        <w:p>
          <w:pPr>
            <w:pStyle w:val="TOC2"/>
            <w:rPr/>
          </w:pPr>
          <w:hyperlink w:anchor="__RefHeading___vor_aufnahme_der_taetigke">
            <w:r>
              <w:rPr>
                <w:rStyle w:val="IndexLink"/>
              </w:rPr>
              <w:t>7.1 Vor Aufnahme der Tätigkeit</w:t>
              <w:tab/>
              <w:t>33</w:t>
            </w:r>
          </w:hyperlink>
        </w:p>
        <w:p>
          <w:pPr>
            <w:pStyle w:val="TOC2"/>
            <w:rPr/>
          </w:pPr>
          <w:hyperlink w:anchor="__RefHeading___aufnahme_der_taetigkeit_4">
            <w:r>
              <w:rPr>
                <w:rStyle w:val="IndexLink"/>
              </w:rPr>
              <w:t>7.2 Aufnahme der Tätigkeit</w:t>
              <w:tab/>
              <w:t>33</w:t>
            </w:r>
          </w:hyperlink>
        </w:p>
        <w:p>
          <w:pPr>
            <w:pStyle w:val="TOC2"/>
            <w:rPr/>
          </w:pPr>
          <w:hyperlink w:anchor="__RefHeading___beendigung_oder_wechsel_d">
            <w:r>
              <w:rPr>
                <w:rStyle w:val="IndexLink"/>
              </w:rPr>
              <w:t>7.3 Beendigung oder Wechsel der Tätigkeit</w:t>
              <w:tab/>
              <w:t>34</w:t>
            </w:r>
          </w:hyperlink>
        </w:p>
        <w:p>
          <w:pPr>
            <w:pStyle w:val="TOC1"/>
            <w:rPr/>
          </w:pPr>
          <w:hyperlink w:anchor="__RefHeading___wissen_43">
            <w:r>
              <w:rPr>
                <w:rStyle w:val="IndexLink"/>
              </w:rPr>
              <w:t>8 Wissen</w:t>
              <w:tab/>
              <w:t>34</w:t>
            </w:r>
          </w:hyperlink>
        </w:p>
        <w:p>
          <w:pPr>
            <w:pStyle w:val="TOC2"/>
            <w:rPr/>
          </w:pPr>
          <w:hyperlink w:anchor="__RefHeading___aktualitaet_des_wissens_4">
            <w:r>
              <w:rPr>
                <w:rStyle w:val="IndexLink"/>
              </w:rPr>
              <w:t>8.1 Aktualität des Wissens</w:t>
              <w:tab/>
              <w:t>34</w:t>
            </w:r>
          </w:hyperlink>
        </w:p>
        <w:p>
          <w:pPr>
            <w:pStyle w:val="TOC2"/>
            <w:rPr/>
          </w:pPr>
          <w:hyperlink w:anchor="__RefHeading___schulung_und_sensibilisie">
            <w:r>
              <w:rPr>
                <w:rStyle w:val="IndexLink"/>
              </w:rPr>
              <w:t>8.2 Schulung und Sensibilisierung</w:t>
              <w:tab/>
              <w:t>35</w:t>
            </w:r>
          </w:hyperlink>
        </w:p>
        <w:p>
          <w:pPr>
            <w:pStyle w:val="TOC1"/>
            <w:rPr/>
          </w:pPr>
          <w:hyperlink w:anchor="__RefHeading___identifizieren_kritischer">
            <w:r>
              <w:rPr>
                <w:rStyle w:val="IndexLink"/>
              </w:rPr>
              <w:t>9 Identifizieren wichtiger und besonders schützenswerter IT-Ressourcen</w:t>
              <w:tab/>
              <w:t>37</w:t>
            </w:r>
          </w:hyperlink>
        </w:p>
        <w:p>
          <w:pPr>
            <w:pStyle w:val="TOC2"/>
            <w:rPr/>
          </w:pPr>
          <w:hyperlink w:anchor="__RefHeading___prozesse_47">
            <w:r>
              <w:rPr>
                <w:rStyle w:val="IndexLink"/>
              </w:rPr>
              <w:t>9.1 Prozesse</w:t>
              <w:tab/>
              <w:t>38</w:t>
            </w:r>
          </w:hyperlink>
        </w:p>
        <w:p>
          <w:pPr>
            <w:pStyle w:val="TOC2"/>
            <w:rPr/>
          </w:pPr>
          <w:hyperlink w:anchor="__RefHeading___prozesse_47_Copy_1">
            <w:r>
              <w:rPr>
                <w:rStyle w:val="IndexLink"/>
              </w:rPr>
              <w:t>9.x Wichtige IT-Ressourcen</w:t>
              <w:tab/>
              <w:t>38</w:t>
            </w:r>
          </w:hyperlink>
        </w:p>
        <w:p>
          <w:pPr>
            <w:pStyle w:val="TOC2"/>
            <w:rPr/>
          </w:pPr>
          <w:hyperlink w:anchor="__RefHeading___informationen_48">
            <w:r>
              <w:rPr>
                <w:rStyle w:val="IndexLink"/>
              </w:rPr>
              <w:t>9.2 Besonders schützenswerte Informationen</w:t>
              <w:tab/>
              <w:t>40</w:t>
            </w:r>
          </w:hyperlink>
        </w:p>
        <w:p>
          <w:pPr>
            <w:pStyle w:val="TOC2"/>
            <w:rPr/>
          </w:pPr>
          <w:hyperlink w:anchor="__RefHeading___it-ressourcen_49">
            <w:r>
              <w:rPr>
                <w:rStyle w:val="IndexLink"/>
              </w:rPr>
              <w:t>9.3 Besonders schützenswerte IT-Ressourcen</w:t>
              <w:tab/>
              <w:t>41</w:t>
            </w:r>
          </w:hyperlink>
        </w:p>
        <w:p>
          <w:pPr>
            <w:pStyle w:val="TOC1"/>
            <w:rPr/>
          </w:pPr>
          <w:hyperlink w:anchor="__RefHeading___it-systeme_50">
            <w:r>
              <w:rPr>
                <w:rStyle w:val="IndexLink"/>
              </w:rPr>
              <w:t>10 IT-Systeme</w:t>
              <w:tab/>
              <w:t>42</w:t>
            </w:r>
          </w:hyperlink>
        </w:p>
        <w:p>
          <w:pPr>
            <w:pStyle w:val="TOC2"/>
            <w:rPr/>
          </w:pPr>
          <w:hyperlink w:anchor="__RefHeading___inventarisierung_51">
            <w:r>
              <w:rPr>
                <w:rStyle w:val="IndexLink"/>
              </w:rPr>
              <w:t>10.1 Inventarisierung</w:t>
              <w:tab/>
              <w:t>43</w:t>
            </w:r>
          </w:hyperlink>
        </w:p>
        <w:p>
          <w:pPr>
            <w:pStyle w:val="TOC2"/>
            <w:rPr/>
          </w:pPr>
          <w:hyperlink w:anchor="__RefHeading___lebenszyklus_52">
            <w:r>
              <w:rPr>
                <w:rStyle w:val="IndexLink"/>
              </w:rPr>
              <w:t>10.2 Lebenszyklus</w:t>
              <w:tab/>
              <w:t>44</w:t>
            </w:r>
          </w:hyperlink>
        </w:p>
        <w:p>
          <w:pPr>
            <w:pStyle w:val="TOC3"/>
            <w:rPr/>
          </w:pPr>
          <w:hyperlink w:anchor="__RefHeading___inbetriebnahme_und_aender">
            <w:r>
              <w:rPr>
                <w:rStyle w:val="IndexLink"/>
              </w:rPr>
              <w:t>10.2.1 Inbetriebnahme und Änderung</w:t>
              <w:tab/>
              <w:t>44</w:t>
            </w:r>
          </w:hyperlink>
        </w:p>
        <w:p>
          <w:pPr>
            <w:pStyle w:val="TOC3"/>
            <w:rPr/>
          </w:pPr>
          <w:hyperlink w:anchor="__RefHeading___ausmusterung_und_wiederve">
            <w:r>
              <w:rPr>
                <w:rStyle w:val="IndexLink"/>
              </w:rPr>
              <w:t>10.2.2 Ausmusterung und Wiederverwendung</w:t>
              <w:tab/>
              <w:t>44</w:t>
            </w:r>
          </w:hyperlink>
        </w:p>
        <w:p>
          <w:pPr>
            <w:pStyle w:val="TOC2"/>
            <w:rPr/>
          </w:pPr>
          <w:hyperlink w:anchor="__RefHeading___basisschutz_55">
            <w:r>
              <w:rPr>
                <w:rStyle w:val="IndexLink"/>
              </w:rPr>
              <w:t>10.3 Basisschutz</w:t>
              <w:tab/>
              <w:t>45</w:t>
            </w:r>
          </w:hyperlink>
        </w:p>
        <w:p>
          <w:pPr>
            <w:pStyle w:val="TOC3"/>
            <w:rPr/>
          </w:pPr>
          <w:hyperlink w:anchor="__RefHeading___software_56">
            <w:r>
              <w:rPr>
                <w:rStyle w:val="IndexLink"/>
              </w:rPr>
              <w:t>10.3.1 Software</w:t>
              <w:tab/>
              <w:t>46</w:t>
            </w:r>
          </w:hyperlink>
        </w:p>
        <w:p>
          <w:pPr>
            <w:pStyle w:val="TOC3"/>
            <w:rPr/>
          </w:pPr>
          <w:hyperlink w:anchor="__RefHeading___beschraenkung_des_netzwer">
            <w:r>
              <w:rPr>
                <w:rStyle w:val="IndexLink"/>
              </w:rPr>
              <w:t>10.3.2 Beschränkung des Netzwerkverkehrs</w:t>
              <w:tab/>
              <w:t>47</w:t>
            </w:r>
          </w:hyperlink>
        </w:p>
        <w:p>
          <w:pPr>
            <w:pStyle w:val="TOC3"/>
            <w:rPr/>
          </w:pPr>
          <w:hyperlink w:anchor="__RefHeading___protokollierung_58">
            <w:r>
              <w:rPr>
                <w:rStyle w:val="IndexLink"/>
              </w:rPr>
              <w:t>10.3.3 Protokollierung</w:t>
              <w:tab/>
              <w:t>47</w:t>
            </w:r>
          </w:hyperlink>
        </w:p>
        <w:p>
          <w:pPr>
            <w:pStyle w:val="TOC3"/>
            <w:rPr/>
          </w:pPr>
          <w:hyperlink w:anchor="__RefHeading___externe_schnittstellen_un">
            <w:r>
              <w:rPr>
                <w:rStyle w:val="IndexLink"/>
              </w:rPr>
              <w:t>10.3.4 Externe Schnittstellen und Laufwerke</w:t>
              <w:tab/>
              <w:t>48</w:t>
            </w:r>
          </w:hyperlink>
        </w:p>
        <w:p>
          <w:pPr>
            <w:pStyle w:val="TOC3"/>
            <w:rPr/>
          </w:pPr>
          <w:hyperlink w:anchor="__RefHeading___schadsoftware_60">
            <w:r>
              <w:rPr>
                <w:rStyle w:val="IndexLink"/>
              </w:rPr>
              <w:t>10.3.5 Schadsoftware</w:t>
              <w:tab/>
              <w:t>48</w:t>
            </w:r>
          </w:hyperlink>
        </w:p>
        <w:p>
          <w:pPr>
            <w:pStyle w:val="TOC3"/>
            <w:rPr/>
          </w:pPr>
          <w:hyperlink w:anchor="__RefHeading___starten_von_fremden_medie">
            <w:r>
              <w:rPr>
                <w:rStyle w:val="IndexLink"/>
              </w:rPr>
              <w:t>10.3.6 Starten von fremden Medien</w:t>
              <w:tab/>
              <w:t>49</w:t>
            </w:r>
          </w:hyperlink>
        </w:p>
        <w:p>
          <w:pPr>
            <w:pStyle w:val="TOC3"/>
            <w:rPr/>
          </w:pPr>
          <w:hyperlink w:anchor="__RefHeading___authentifizierung_62">
            <w:r>
              <w:rPr>
                <w:rStyle w:val="IndexLink"/>
              </w:rPr>
              <w:t>10.3.7 Authentifizierung</w:t>
              <w:tab/>
              <w:t>49</w:t>
            </w:r>
          </w:hyperlink>
        </w:p>
        <w:p>
          <w:pPr>
            <w:pStyle w:val="TOC3"/>
            <w:rPr/>
          </w:pPr>
          <w:hyperlink w:anchor="__RefHeading___zugaenge_und_zugriffe_63">
            <w:r>
              <w:rPr>
                <w:rStyle w:val="IndexLink"/>
              </w:rPr>
              <w:t>10.3.8 Zugänge und Zugriffe</w:t>
              <w:tab/>
              <w:t>50</w:t>
            </w:r>
          </w:hyperlink>
        </w:p>
        <w:p>
          <w:pPr>
            <w:pStyle w:val="TOC2"/>
            <w:rPr/>
          </w:pPr>
          <w:hyperlink w:anchor="__RefHeading___zusaetzliche_massnahmen_f">
            <w:r>
              <w:rPr>
                <w:rStyle w:val="IndexLink"/>
              </w:rPr>
              <w:t>10.4 Zusätzliche Maßnahmen für mobile IT-Systeme</w:t>
              <w:tab/>
              <w:t>51</w:t>
            </w:r>
          </w:hyperlink>
        </w:p>
        <w:p>
          <w:pPr>
            <w:pStyle w:val="TOC3"/>
            <w:rPr/>
          </w:pPr>
          <w:hyperlink w:anchor="__RefHeading___is-richtlinie_65">
            <w:r>
              <w:rPr>
                <w:rStyle w:val="IndexLink"/>
              </w:rPr>
              <w:t>10.4.1 IS-Richtlinie</w:t>
              <w:tab/>
              <w:t>51</w:t>
            </w:r>
          </w:hyperlink>
        </w:p>
        <w:p>
          <w:pPr>
            <w:pStyle w:val="TOC3"/>
            <w:rPr/>
          </w:pPr>
          <w:hyperlink w:anchor="__RefHeading___schutz_der_informationen_">
            <w:r>
              <w:rPr>
                <w:rStyle w:val="IndexLink"/>
              </w:rPr>
              <w:t>10.4.2 Schutz der Informationen</w:t>
              <w:tab/>
              <w:t>52</w:t>
            </w:r>
          </w:hyperlink>
        </w:p>
        <w:p>
          <w:pPr>
            <w:pStyle w:val="TOC3"/>
            <w:rPr/>
          </w:pPr>
          <w:hyperlink w:anchor="__RefHeading___verlust_67">
            <w:r>
              <w:rPr>
                <w:rStyle w:val="IndexLink"/>
              </w:rPr>
              <w:t>10.4.3 Verlust</w:t>
              <w:tab/>
              <w:t>52</w:t>
            </w:r>
          </w:hyperlink>
        </w:p>
        <w:p>
          <w:pPr>
            <w:pStyle w:val="TOC2"/>
            <w:rPr/>
          </w:pPr>
          <w:hyperlink w:anchor="__RefHeading___zusaetzliche_massnahmen_1">
            <w:r>
              <w:rPr>
                <w:rStyle w:val="IndexLink"/>
              </w:rPr>
              <w:t>10.x Zusätzliche Maßnahmen für wichtige IT-Systeme</w:t>
              <w:tab/>
              <w:t>53</w:t>
            </w:r>
          </w:hyperlink>
        </w:p>
        <w:p>
          <w:pPr>
            <w:pStyle w:val="TOC2"/>
            <w:rPr/>
          </w:pPr>
          <w:hyperlink w:anchor="__RefHeading___zusaetzliche_massnahmen_2">
            <w:r>
              <w:rPr>
                <w:rStyle w:val="IndexLink"/>
              </w:rPr>
              <w:t xml:space="preserve">10.5 Zusätzliche Maßnahmen für </w:t>
            </w:r>
            <w:r>
              <w:rPr>
                <w:rStyle w:val="IndexLink"/>
                <w:i/>
                <w:iCs/>
              </w:rPr>
              <w:t>besonders schützenswerte</w:t>
            </w:r>
            <w:r>
              <w:rPr>
                <w:rStyle w:val="IndexLink"/>
              </w:rPr>
              <w:t xml:space="preserve"> IT-Systeme</w:t>
              <w:tab/>
              <w:t>53</w:t>
            </w:r>
          </w:hyperlink>
        </w:p>
        <w:p>
          <w:pPr>
            <w:pStyle w:val="TOC3"/>
            <w:rPr/>
          </w:pPr>
          <w:hyperlink w:anchor="__RefHeading___risikoanalyse_und_-behand">
            <w:r>
              <w:rPr>
                <w:rStyle w:val="IndexLink"/>
              </w:rPr>
              <w:t>10.5.1 Risikoanalyse und behandlung</w:t>
              <w:tab/>
              <w:t>53</w:t>
            </w:r>
          </w:hyperlink>
        </w:p>
        <w:p>
          <w:pPr>
            <w:pStyle w:val="TOC3"/>
            <w:rPr/>
          </w:pPr>
          <w:hyperlink w:anchor="__RefHeading___notbetriebsniveau_70">
            <w:r>
              <w:rPr>
                <w:rStyle w:val="IndexLink"/>
              </w:rPr>
              <w:t>10.5.2 Notbetriebsniveau</w:t>
              <w:tab/>
              <w:t>53</w:t>
            </w:r>
          </w:hyperlink>
        </w:p>
        <w:p>
          <w:pPr>
            <w:pStyle w:val="TOC3"/>
            <w:rPr/>
          </w:pPr>
          <w:hyperlink w:anchor="__RefHeading___robustheit_71">
            <w:r>
              <w:rPr>
                <w:rStyle w:val="IndexLink"/>
              </w:rPr>
              <w:t>10.5.3 Robustheit</w:t>
              <w:tab/>
              <w:t>54</w:t>
            </w:r>
          </w:hyperlink>
        </w:p>
        <w:p>
          <w:pPr>
            <w:pStyle w:val="TOC3"/>
            <w:rPr/>
          </w:pPr>
          <w:hyperlink w:anchor="__RefHeading___externe_schnittstellen_u1">
            <w:r>
              <w:rPr>
                <w:rStyle w:val="IndexLink"/>
              </w:rPr>
              <w:t>10.5.4 Externe Schnittstellen und Laufwerke</w:t>
              <w:tab/>
              <w:t>54</w:t>
            </w:r>
          </w:hyperlink>
        </w:p>
        <w:p>
          <w:pPr>
            <w:pStyle w:val="TOC3"/>
            <w:rPr/>
          </w:pPr>
          <w:hyperlink w:anchor="__RefHeading___aenderungsmanagement_73">
            <w:r>
              <w:rPr>
                <w:rStyle w:val="IndexLink"/>
              </w:rPr>
              <w:t>10.5.5 Änderungsmanagement</w:t>
              <w:tab/>
              <w:t>54</w:t>
            </w:r>
          </w:hyperlink>
        </w:p>
        <w:p>
          <w:pPr>
            <w:pStyle w:val="TOC3"/>
            <w:rPr/>
          </w:pPr>
          <w:hyperlink w:anchor="__RefHeading___dokumentation_74">
            <w:r>
              <w:rPr>
                <w:rStyle w:val="IndexLink"/>
              </w:rPr>
              <w:t>10.5.6 Dokumentation</w:t>
              <w:tab/>
              <w:t>55</w:t>
            </w:r>
          </w:hyperlink>
        </w:p>
        <w:p>
          <w:pPr>
            <w:pStyle w:val="TOC3"/>
            <w:rPr/>
          </w:pPr>
          <w:hyperlink w:anchor="__RefHeading___datensicherung_75">
            <w:r>
              <w:rPr>
                <w:rStyle w:val="IndexLink"/>
              </w:rPr>
              <w:t>10.5.7 Datensicherung</w:t>
              <w:tab/>
              <w:t>55</w:t>
            </w:r>
          </w:hyperlink>
        </w:p>
        <w:p>
          <w:pPr>
            <w:pStyle w:val="TOC3"/>
            <w:rPr/>
          </w:pPr>
          <w:hyperlink w:anchor="__RefHeading___ueberwachung_76">
            <w:r>
              <w:rPr>
                <w:rStyle w:val="IndexLink"/>
              </w:rPr>
              <w:t>10.5.8 Überwachung</w:t>
              <w:tab/>
              <w:t>55</w:t>
            </w:r>
          </w:hyperlink>
        </w:p>
        <w:p>
          <w:pPr>
            <w:pStyle w:val="TOC3"/>
            <w:rPr/>
          </w:pPr>
          <w:hyperlink w:anchor="__RefHeading___ersatzsysteme_und_-verfah">
            <w:r>
              <w:rPr>
                <w:rStyle w:val="IndexLink"/>
              </w:rPr>
              <w:t>10.5.9 Ersatzsysteme und -verfahren</w:t>
              <w:tab/>
              <w:t>56</w:t>
            </w:r>
          </w:hyperlink>
        </w:p>
        <w:p>
          <w:pPr>
            <w:pStyle w:val="TOC3"/>
            <w:rPr/>
          </w:pPr>
          <w:hyperlink w:anchor="__RefHeading___kritische_individualsoftw">
            <w:r>
              <w:rPr>
                <w:rStyle w:val="IndexLink"/>
              </w:rPr>
              <w:t>10.5.10 Besonders schützenswerte Individualsoftware</w:t>
              <w:tab/>
              <w:t>56</w:t>
            </w:r>
          </w:hyperlink>
        </w:p>
        <w:p>
          <w:pPr>
            <w:pStyle w:val="TOC1"/>
            <w:rPr/>
          </w:pPr>
          <w:hyperlink w:anchor="__RefHeading___netzwerke_und_verbindunge">
            <w:r>
              <w:rPr>
                <w:rStyle w:val="IndexLink"/>
              </w:rPr>
              <w:t>11 Netzwerke und Verbindungen</w:t>
              <w:tab/>
              <w:t>56</w:t>
            </w:r>
          </w:hyperlink>
        </w:p>
        <w:p>
          <w:pPr>
            <w:pStyle w:val="TOC2"/>
            <w:rPr/>
          </w:pPr>
          <w:hyperlink w:anchor="__RefHeading___netzwerkplan_80">
            <w:r>
              <w:rPr>
                <w:rStyle w:val="IndexLink"/>
              </w:rPr>
              <w:t>11.1 Netzwerkplan</w:t>
              <w:tab/>
              <w:t>57</w:t>
            </w:r>
          </w:hyperlink>
        </w:p>
        <w:p>
          <w:pPr>
            <w:pStyle w:val="TOC2"/>
            <w:rPr/>
          </w:pPr>
          <w:hyperlink w:anchor="__RefHeading___aktive_netzwerkkomponente">
            <w:r>
              <w:rPr>
                <w:rStyle w:val="IndexLink"/>
              </w:rPr>
              <w:t>11.2 Aktive Netzwerkkomponenten</w:t>
              <w:tab/>
              <w:t>57</w:t>
            </w:r>
          </w:hyperlink>
        </w:p>
        <w:p>
          <w:pPr>
            <w:pStyle w:val="TOC2"/>
            <w:rPr/>
          </w:pPr>
          <w:hyperlink w:anchor="__RefHeading___netzuebergaenge_82">
            <w:r>
              <w:rPr>
                <w:rStyle w:val="IndexLink"/>
              </w:rPr>
              <w:t>11.3 Netzübergänge</w:t>
              <w:tab/>
              <w:t>57</w:t>
            </w:r>
          </w:hyperlink>
        </w:p>
        <w:p>
          <w:pPr>
            <w:pStyle w:val="TOC2"/>
            <w:rPr/>
          </w:pPr>
          <w:hyperlink w:anchor="__RefHeading___basisschutz_83">
            <w:r>
              <w:rPr>
                <w:rStyle w:val="IndexLink"/>
              </w:rPr>
              <w:t>11.4 Basisschutz</w:t>
              <w:tab/>
              <w:t>58</w:t>
            </w:r>
          </w:hyperlink>
        </w:p>
        <w:p>
          <w:pPr>
            <w:pStyle w:val="TOC3"/>
            <w:rPr/>
          </w:pPr>
          <w:hyperlink w:anchor="__RefHeading___netzwerkanschluesse_84">
            <w:r>
              <w:rPr>
                <w:rStyle w:val="IndexLink"/>
              </w:rPr>
              <w:t>11.4.1 Netzwerkanschlüsse</w:t>
              <w:tab/>
              <w:t>59</w:t>
            </w:r>
          </w:hyperlink>
        </w:p>
        <w:p>
          <w:pPr>
            <w:pStyle w:val="TOC3"/>
            <w:rPr/>
          </w:pPr>
          <w:hyperlink w:anchor="__RefHeading___segmentierung_85">
            <w:r>
              <w:rPr>
                <w:rStyle w:val="IndexLink"/>
              </w:rPr>
              <w:t>11.4.2 Segmentierung</w:t>
              <w:tab/>
              <w:t>59</w:t>
            </w:r>
          </w:hyperlink>
        </w:p>
        <w:p>
          <w:pPr>
            <w:pStyle w:val="TOC3"/>
            <w:rPr/>
          </w:pPr>
          <w:hyperlink w:anchor="__RefHeading___fernzugang_86">
            <w:r>
              <w:rPr>
                <w:rStyle w:val="IndexLink"/>
              </w:rPr>
              <w:t>11.4.3 Fernzugang</w:t>
              <w:tab/>
              <w:t>60</w:t>
            </w:r>
          </w:hyperlink>
        </w:p>
        <w:p>
          <w:pPr>
            <w:pStyle w:val="TOC3"/>
            <w:rPr/>
          </w:pPr>
          <w:hyperlink w:anchor="__RefHeading___netzwerkkopplung_87">
            <w:r>
              <w:rPr>
                <w:rStyle w:val="IndexLink"/>
              </w:rPr>
              <w:t>11.4.4 Netzwerkkopplung</w:t>
              <w:tab/>
              <w:t>61</w:t>
            </w:r>
          </w:hyperlink>
        </w:p>
        <w:p>
          <w:pPr>
            <w:pStyle w:val="TOC2"/>
            <w:rPr/>
          </w:pPr>
          <w:hyperlink w:anchor="__RefHeading___zusaetzliche_massnahmen_2">
            <w:r>
              <w:rPr>
                <w:rStyle w:val="IndexLink"/>
              </w:rPr>
              <w:t>11.5 Zusätzliche Maßnahmen für wichtige Verbindungen</w:t>
              <w:tab/>
              <w:t>61</w:t>
            </w:r>
          </w:hyperlink>
        </w:p>
        <w:p>
          <w:pPr>
            <w:pStyle w:val="TOC1"/>
            <w:rPr/>
          </w:pPr>
          <w:hyperlink w:anchor="__RefHeading___mobile_datentraeger_89">
            <w:r>
              <w:rPr>
                <w:rStyle w:val="IndexLink"/>
              </w:rPr>
              <w:t>12 Mobile Datenträger</w:t>
              <w:tab/>
              <w:t>61</w:t>
            </w:r>
          </w:hyperlink>
        </w:p>
        <w:p>
          <w:pPr>
            <w:pStyle w:val="TOC2"/>
            <w:rPr/>
          </w:pPr>
          <w:hyperlink w:anchor="__RefHeading___is-richtlinie_90">
            <w:r>
              <w:rPr>
                <w:rStyle w:val="IndexLink"/>
              </w:rPr>
              <w:t>12.1 IS-Richtlinie</w:t>
              <w:tab/>
              <w:t>61</w:t>
            </w:r>
          </w:hyperlink>
        </w:p>
        <w:p>
          <w:pPr>
            <w:pStyle w:val="TOC2"/>
            <w:rPr/>
          </w:pPr>
          <w:hyperlink w:anchor="__RefHeading___schutz_der_informationen1">
            <w:r>
              <w:rPr>
                <w:rStyle w:val="IndexLink"/>
              </w:rPr>
              <w:t>12.2 Schutz der Informationen</w:t>
              <w:tab/>
              <w:t>62</w:t>
            </w:r>
          </w:hyperlink>
        </w:p>
        <w:p>
          <w:pPr>
            <w:pStyle w:val="TOC2"/>
            <w:rPr/>
          </w:pPr>
          <w:hyperlink w:anchor="__RefHeading___zusaetzliche_massnahmen_3">
            <w:r>
              <w:rPr>
                <w:rStyle w:val="IndexLink"/>
              </w:rPr>
              <w:t>12.3 Zusätzliche Maßnahmen für wichtige mobile Datenträger</w:t>
              <w:tab/>
              <w:t>62</w:t>
            </w:r>
          </w:hyperlink>
        </w:p>
        <w:p>
          <w:pPr>
            <w:pStyle w:val="TOC1"/>
            <w:rPr/>
          </w:pPr>
          <w:hyperlink w:anchor="__RefHeading___umgebung_93">
            <w:r>
              <w:rPr>
                <w:rStyle w:val="IndexLink"/>
              </w:rPr>
              <w:t>13 Umgebung</w:t>
              <w:tab/>
              <w:t>62</w:t>
            </w:r>
          </w:hyperlink>
        </w:p>
        <w:p>
          <w:pPr>
            <w:pStyle w:val="TOC2"/>
            <w:rPr/>
          </w:pPr>
          <w:hyperlink w:anchor="__RefHeading___server_aktive_netzwerkkom">
            <w:r>
              <w:rPr>
                <w:rStyle w:val="IndexLink"/>
              </w:rPr>
              <w:t>13.1 Server, aktive Netzwerkkomponenten und Netzwerkverteilstellen</w:t>
              <w:tab/>
              <w:t>63</w:t>
            </w:r>
          </w:hyperlink>
        </w:p>
        <w:p>
          <w:pPr>
            <w:pStyle w:val="TOC2"/>
            <w:rPr/>
          </w:pPr>
          <w:hyperlink w:anchor="__RefHeading___datenleitungen_95">
            <w:r>
              <w:rPr>
                <w:rStyle w:val="IndexLink"/>
              </w:rPr>
              <w:t>13.2 Datenleitungen</w:t>
              <w:tab/>
              <w:t>64</w:t>
            </w:r>
          </w:hyperlink>
        </w:p>
        <w:p>
          <w:pPr>
            <w:pStyle w:val="TOC2"/>
            <w:rPr/>
          </w:pPr>
          <w:hyperlink w:anchor="__RefHeading___zusaetzliche_massnahmen_4">
            <w:r>
              <w:rPr>
                <w:rStyle w:val="IndexLink"/>
              </w:rPr>
              <w:t>13.3 Zusätzliche Maßnahmen für wichtigen IT-Systeme</w:t>
              <w:tab/>
              <w:t>64</w:t>
            </w:r>
          </w:hyperlink>
        </w:p>
        <w:p>
          <w:pPr>
            <w:pStyle w:val="TOC1"/>
            <w:rPr/>
          </w:pPr>
          <w:hyperlink w:anchor="__RefHeading___it-outsourcing_und_cloud_">
            <w:r>
              <w:rPr>
                <w:rStyle w:val="IndexLink"/>
              </w:rPr>
              <w:t>14 IT-Outsourcing und Cloud Computing</w:t>
              <w:tab/>
              <w:t>65</w:t>
            </w:r>
          </w:hyperlink>
        </w:p>
        <w:p>
          <w:pPr>
            <w:pStyle w:val="TOC2"/>
            <w:rPr/>
          </w:pPr>
          <w:hyperlink w:anchor="__RefHeading___is-richtlinie_98">
            <w:r>
              <w:rPr>
                <w:rStyle w:val="IndexLink"/>
              </w:rPr>
              <w:t>14.1 IS-Richtlinie</w:t>
              <w:tab/>
              <w:t>65</w:t>
            </w:r>
          </w:hyperlink>
        </w:p>
        <w:p>
          <w:pPr>
            <w:pStyle w:val="TOC2"/>
            <w:rPr/>
          </w:pPr>
          <w:hyperlink w:anchor="__RefHeading___vorbereitung_99">
            <w:r>
              <w:rPr>
                <w:rStyle w:val="IndexLink"/>
              </w:rPr>
              <w:t>14.2 Vorbereitung</w:t>
              <w:tab/>
              <w:t>65</w:t>
            </w:r>
          </w:hyperlink>
        </w:p>
        <w:p>
          <w:pPr>
            <w:pStyle w:val="TOC2"/>
            <w:rPr/>
          </w:pPr>
          <w:hyperlink w:anchor="__RefHeading___vertragsgestaltung_100">
            <w:r>
              <w:rPr>
                <w:rStyle w:val="IndexLink"/>
              </w:rPr>
              <w:t>14.3 Vertragsgestaltung</w:t>
              <w:tab/>
              <w:t>66</w:t>
            </w:r>
          </w:hyperlink>
        </w:p>
        <w:p>
          <w:pPr>
            <w:pStyle w:val="TOC2"/>
            <w:rPr/>
          </w:pPr>
          <w:hyperlink w:anchor="__RefHeading___zusaetzliche_massnahmen_5">
            <w:r>
              <w:rPr>
                <w:rStyle w:val="IndexLink"/>
              </w:rPr>
              <w:t>14.4 Zusätzliche Maßnahmen für kritische IT-Ressourcen</w:t>
              <w:tab/>
              <w:t>66</w:t>
            </w:r>
          </w:hyperlink>
        </w:p>
        <w:p>
          <w:pPr>
            <w:pStyle w:val="TOC1"/>
            <w:rPr/>
          </w:pPr>
          <w:hyperlink w:anchor="__RefHeading___zugaenge_und_zugriffsrech">
            <w:r>
              <w:rPr>
                <w:rStyle w:val="IndexLink"/>
              </w:rPr>
              <w:t>15 Zugänge und Zugriffsrechte</w:t>
              <w:tab/>
              <w:t>67</w:t>
            </w:r>
          </w:hyperlink>
        </w:p>
        <w:p>
          <w:pPr>
            <w:pStyle w:val="TOC2"/>
            <w:rPr/>
          </w:pPr>
          <w:hyperlink w:anchor="__RefHeading___verwaltung_103">
            <w:r>
              <w:rPr>
                <w:rStyle w:val="IndexLink"/>
              </w:rPr>
              <w:t>15.1 Verwaltung</w:t>
              <w:tab/>
              <w:t>68</w:t>
            </w:r>
          </w:hyperlink>
        </w:p>
        <w:p>
          <w:pPr>
            <w:pStyle w:val="TOC2"/>
            <w:rPr/>
          </w:pPr>
          <w:hyperlink w:anchor="__RefHeading___zusaetzliche_massnahmen_6">
            <w:r>
              <w:rPr>
                <w:rStyle w:val="IndexLink"/>
              </w:rPr>
              <w:t>15.2 Zusätzliche Maßnahmen für besonders schützenswerte IT-Systeme und Informationen</w:t>
              <w:tab/>
              <w:t>68</w:t>
            </w:r>
          </w:hyperlink>
        </w:p>
        <w:p>
          <w:pPr>
            <w:pStyle w:val="TOC1"/>
            <w:rPr/>
          </w:pPr>
          <w:hyperlink w:anchor="__RefHeading___datensicherung_und_archiv">
            <w:r>
              <w:rPr>
                <w:rStyle w:val="IndexLink"/>
              </w:rPr>
              <w:t>16 Datensicherung und Archivierung</w:t>
              <w:tab/>
              <w:t>69</w:t>
            </w:r>
          </w:hyperlink>
        </w:p>
        <w:p>
          <w:pPr>
            <w:pStyle w:val="TOC2"/>
            <w:rPr/>
          </w:pPr>
          <w:hyperlink w:anchor="__RefHeading___is-richtlinie_106">
            <w:r>
              <w:rPr>
                <w:rStyle w:val="IndexLink"/>
              </w:rPr>
              <w:t>16.1 IS-Richtlinie</w:t>
              <w:tab/>
              <w:t>69</w:t>
            </w:r>
          </w:hyperlink>
        </w:p>
        <w:p>
          <w:pPr>
            <w:pStyle w:val="TOC2"/>
            <w:rPr/>
          </w:pPr>
          <w:hyperlink w:anchor="__RefHeading___archivierung_107">
            <w:r>
              <w:rPr>
                <w:rStyle w:val="IndexLink"/>
              </w:rPr>
              <w:t>16.2 Archivierung</w:t>
              <w:tab/>
              <w:t>69</w:t>
            </w:r>
          </w:hyperlink>
        </w:p>
        <w:p>
          <w:pPr>
            <w:pStyle w:val="TOC2"/>
            <w:rPr/>
          </w:pPr>
          <w:hyperlink w:anchor="__RefHeading___verfahren_108">
            <w:r>
              <w:rPr>
                <w:rStyle w:val="IndexLink"/>
              </w:rPr>
              <w:t>16.3 Verfahren</w:t>
              <w:tab/>
              <w:t>70</w:t>
            </w:r>
          </w:hyperlink>
        </w:p>
        <w:p>
          <w:pPr>
            <w:pStyle w:val="TOC2"/>
            <w:rPr/>
          </w:pPr>
          <w:hyperlink w:anchor="__RefHeading___weiterentwicklung_112">
            <w:r>
              <w:rPr>
                <w:rStyle w:val="IndexLink"/>
              </w:rPr>
              <w:t>16.4 Weiterentwicklung</w:t>
              <w:tab/>
              <w:t>71</w:t>
            </w:r>
          </w:hyperlink>
        </w:p>
        <w:p>
          <w:pPr>
            <w:pStyle w:val="TOC2"/>
            <w:rPr/>
          </w:pPr>
          <w:hyperlink w:anchor="__RefHeading___basisschutz_113">
            <w:r>
              <w:rPr>
                <w:rStyle w:val="IndexLink"/>
              </w:rPr>
              <w:t>16.5 Basisschutz</w:t>
              <w:tab/>
              <w:t>71</w:t>
            </w:r>
          </w:hyperlink>
        </w:p>
        <w:p>
          <w:pPr>
            <w:pStyle w:val="TOC3"/>
            <w:rPr/>
          </w:pPr>
          <w:hyperlink w:anchor="__RefHeading___speicherorte_114">
            <w:r>
              <w:rPr>
                <w:rStyle w:val="IndexLink"/>
              </w:rPr>
              <w:t>16.5.1 Speicherorte</w:t>
              <w:tab/>
              <w:t>72</w:t>
            </w:r>
          </w:hyperlink>
        </w:p>
        <w:p>
          <w:pPr>
            <w:pStyle w:val="TOC3"/>
            <w:rPr/>
          </w:pPr>
          <w:hyperlink w:anchor="__RefHeading___server_115">
            <w:r>
              <w:rPr>
                <w:rStyle w:val="IndexLink"/>
              </w:rPr>
              <w:t>16.5.2 Server</w:t>
              <w:tab/>
              <w:t>72</w:t>
            </w:r>
          </w:hyperlink>
        </w:p>
        <w:p>
          <w:pPr>
            <w:pStyle w:val="TOC3"/>
            <w:rPr/>
          </w:pPr>
          <w:hyperlink w:anchor="__RefHeading___aktive_netzwerkkomponent1">
            <w:r>
              <w:rPr>
                <w:rStyle w:val="IndexLink"/>
              </w:rPr>
              <w:t>16.5.3 Aktive Netzwerkkomponenten</w:t>
              <w:tab/>
              <w:t>73</w:t>
            </w:r>
          </w:hyperlink>
        </w:p>
        <w:p>
          <w:pPr>
            <w:pStyle w:val="TOC3"/>
            <w:rPr/>
          </w:pPr>
          <w:hyperlink w:anchor="__RefHeading___mobile_it-systeme_117">
            <w:r>
              <w:rPr>
                <w:rStyle w:val="IndexLink"/>
              </w:rPr>
              <w:t>16.5.4 Mobile IT-Systeme</w:t>
              <w:tab/>
              <w:t>73</w:t>
            </w:r>
          </w:hyperlink>
        </w:p>
        <w:p>
          <w:pPr>
            <w:pStyle w:val="TOC2"/>
            <w:rPr/>
          </w:pPr>
          <w:hyperlink w:anchor="__RefHeading___zusaetzliche_massnahmen_7">
            <w:r>
              <w:rPr>
                <w:rStyle w:val="IndexLink"/>
              </w:rPr>
              <w:t>16.6 Zusätzliche Maßnahmen für wichtige und besonders schützenswerte IT-Systeme</w:t>
              <w:tab/>
              <w:t>73</w:t>
            </w:r>
          </w:hyperlink>
        </w:p>
        <w:p>
          <w:pPr>
            <w:pStyle w:val="TOC3"/>
            <w:rPr/>
          </w:pPr>
          <w:hyperlink w:anchor="__RefHeading___risikoanalyse_119">
            <w:r>
              <w:rPr>
                <w:rStyle w:val="IndexLink"/>
              </w:rPr>
              <w:t>16.6.1 Risikoanalyse</w:t>
              <w:tab/>
              <w:t>73</w:t>
            </w:r>
          </w:hyperlink>
        </w:p>
        <w:p>
          <w:pPr>
            <w:pStyle w:val="TOC3"/>
            <w:rPr/>
          </w:pPr>
          <w:hyperlink w:anchor="__RefHeading___verfahren_120">
            <w:r>
              <w:rPr>
                <w:rStyle w:val="IndexLink"/>
              </w:rPr>
              <w:t>16.6.2 Verfahren</w:t>
              <w:tab/>
              <w:t>73</w:t>
            </w:r>
          </w:hyperlink>
        </w:p>
        <w:p>
          <w:pPr>
            <w:pStyle w:val="TOC1"/>
            <w:rPr/>
          </w:pPr>
          <w:hyperlink w:anchor="__RefHeading___stoerungen_und_ausfaelle_">
            <w:r>
              <w:rPr>
                <w:rStyle w:val="IndexLink"/>
              </w:rPr>
              <w:t>17 Sicherheitsvorfälle</w:t>
              <w:tab/>
              <w:t>74</w:t>
            </w:r>
          </w:hyperlink>
        </w:p>
        <w:p>
          <w:pPr>
            <w:pStyle w:val="TOC2"/>
            <w:rPr/>
          </w:pPr>
          <w:hyperlink w:anchor="__RefHeading___is-richtlinie_122">
            <w:r>
              <w:rPr>
                <w:rStyle w:val="IndexLink"/>
              </w:rPr>
              <w:t>17.1 IS-Richtlinie</w:t>
              <w:tab/>
              <w:t>74</w:t>
            </w:r>
          </w:hyperlink>
        </w:p>
        <w:p>
          <w:pPr>
            <w:pStyle w:val="TOC2"/>
            <w:rPr/>
          </w:pPr>
          <w:hyperlink w:anchor="__RefHeading___erkennen_129_Copy_1">
            <w:r>
              <w:rPr>
                <w:rStyle w:val="IndexLink"/>
              </w:rPr>
              <w:t>17.2 Erkennen</w:t>
              <w:tab/>
              <w:t>75</w:t>
            </w:r>
          </w:hyperlink>
        </w:p>
        <w:p>
          <w:pPr>
            <w:pStyle w:val="TOC2"/>
            <w:rPr/>
          </w:pPr>
          <w:hyperlink w:anchor="__RefHeading___reaktion_123">
            <w:r>
              <w:rPr>
                <w:rStyle w:val="IndexLink"/>
              </w:rPr>
              <w:t>17.3 Reaktion</w:t>
              <w:tab/>
              <w:t>76</w:t>
            </w:r>
          </w:hyperlink>
        </w:p>
        <w:p>
          <w:pPr>
            <w:pStyle w:val="TOC2"/>
            <w:rPr/>
          </w:pPr>
          <w:hyperlink w:anchor="__RefHeading___zusaetzliche_massnahmen_8">
            <w:r>
              <w:rPr>
                <w:rStyle w:val="IndexLink"/>
              </w:rPr>
              <w:t>17.4 Zusätzliche Maßnahmen für kritische IT-Systeme</w:t>
              <w:tab/>
              <w:t>77</w:t>
            </w:r>
          </w:hyperlink>
        </w:p>
        <w:p>
          <w:pPr>
            <w:pStyle w:val="TOC3"/>
            <w:rPr/>
          </w:pPr>
          <w:hyperlink w:anchor="__RefHeading___wiederanlaufplaene_125">
            <w:r>
              <w:rPr>
                <w:rStyle w:val="IndexLink"/>
              </w:rPr>
              <w:t>17.4.1 Wiederanlaufpläne</w:t>
              <w:tab/>
              <w:t>78</w:t>
            </w:r>
          </w:hyperlink>
        </w:p>
        <w:p>
          <w:pPr>
            <w:pStyle w:val="TOC3"/>
            <w:rPr/>
          </w:pPr>
          <w:hyperlink w:anchor="__RefHeading___abhaengigkeiten_126">
            <w:r>
              <w:rPr>
                <w:rStyle w:val="IndexLink"/>
              </w:rPr>
              <w:t>17.4.2 Abhängigkeiten</w:t>
              <w:tab/>
              <w:t>78</w:t>
            </w:r>
          </w:hyperlink>
        </w:p>
        <w:p>
          <w:pPr>
            <w:pStyle w:val="TOC1"/>
            <w:rPr/>
          </w:pPr>
          <w:hyperlink w:anchor="__RefHeading___anhang_a_131">
            <w:r>
              <w:rPr>
                <w:rStyle w:val="IndexLink"/>
              </w:rPr>
              <w:t>Anhang A</w:t>
              <w:tab/>
              <w:t>79</w:t>
            </w:r>
          </w:hyperlink>
        </w:p>
        <w:p>
          <w:pPr>
            <w:pStyle w:val="TOC2"/>
            <w:rPr/>
          </w:pPr>
          <w:hyperlink w:anchor="__RefHeading___a_1_verfahren_132">
            <w:r>
              <w:rPr>
                <w:rStyle w:val="IndexLink"/>
              </w:rPr>
              <w:t>A 1 Verfahren</w:t>
              <w:tab/>
              <w:t>79</w:t>
            </w:r>
          </w:hyperlink>
        </w:p>
        <w:p>
          <w:pPr>
            <w:pStyle w:val="TOC2"/>
            <w:rPr/>
          </w:pPr>
          <w:hyperlink w:anchor="__RefHeading___a_2_risikoanalyse_und_-be">
            <w:r>
              <w:rPr>
                <w:rStyle w:val="IndexLink"/>
              </w:rPr>
              <w:t>A 2 Risikomanagement</w:t>
              <w:tab/>
              <w:t>80</w:t>
            </w:r>
          </w:hyperlink>
        </w:p>
        <w:p>
          <w:pPr>
            <w:pStyle w:val="TOC3"/>
            <w:rPr/>
          </w:pPr>
          <w:hyperlink w:anchor="__RefHeading___a_2.1_risikoanalyse_134_C">
            <w:r>
              <w:rPr>
                <w:rStyle w:val="IndexLink"/>
              </w:rPr>
              <w:t>A 2.1 Methodik</w:t>
              <w:tab/>
              <w:t>80</w:t>
            </w:r>
          </w:hyperlink>
        </w:p>
        <w:p>
          <w:pPr>
            <w:pStyle w:val="TOC3"/>
            <w:rPr/>
          </w:pPr>
          <w:hyperlink w:anchor="__RefHeading___a_2.1_risikoanalyse_134">
            <w:r>
              <w:rPr>
                <w:rStyle w:val="IndexLink"/>
              </w:rPr>
              <w:t>A 2.2 Risikoanalyse</w:t>
              <w:tab/>
              <w:t>81</w:t>
            </w:r>
          </w:hyperlink>
        </w:p>
        <w:p>
          <w:pPr>
            <w:pStyle w:val="TOC3"/>
            <w:rPr/>
          </w:pPr>
          <w:hyperlink w:anchor="__RefHeading___a_2.2_risikobehandlung_13">
            <w:r>
              <w:rPr>
                <w:rStyle w:val="IndexLink"/>
              </w:rPr>
              <w:t>A 2.3 Risikobehandlung</w:t>
              <w:tab/>
              <w:t>82</w:t>
            </w:r>
          </w:hyperlink>
        </w:p>
        <w:p>
          <w:pPr>
            <w:pStyle w:val="TOC3"/>
            <w:rPr/>
          </w:pPr>
          <w:hyperlink w:anchor="__RefHeading___a_2.3_wiederholung_und_an">
            <w:r>
              <w:rPr>
                <w:rStyle w:val="IndexLink"/>
              </w:rPr>
              <w:t>A 2.4 Wiederholung und Anpassung</w:t>
              <w:tab/>
              <w:t>83</w:t>
            </w:r>
          </w:hyperlink>
        </w:p>
        <w:p>
          <w:pPr>
            <w:pStyle w:val="TOC3"/>
            <w:rPr/>
          </w:pPr>
          <w:hyperlink w:anchor="__RefHeading___a_2.3_wiederholung_und_a1">
            <w:r>
              <w:rPr>
                <w:rStyle w:val="IndexLink"/>
              </w:rPr>
              <w:t>A 2.5 Überwachung</w:t>
              <w:tab/>
              <w:t>83</w:t>
            </w:r>
          </w:hyperlink>
          <w:r>
            <w:rPr>
              <w:rStyle w:val="IndexLink"/>
            </w:rPr>
            <w:fldChar w:fldCharType="end"/>
          </w:r>
        </w:p>
      </w:sdtContent>
    </w:sdt>
    <w:p>
      <w:pPr>
        <w:pStyle w:val="BodyText"/>
        <w:bidi w:val="0"/>
        <w:rPr/>
      </w:pPr>
      <w:r>
        <w:rPr/>
      </w:r>
      <w:r>
        <w:br w:type="page"/>
      </w:r>
    </w:p>
    <w:p>
      <w:pPr>
        <w:pStyle w:val="Heading4"/>
        <w:numPr>
          <w:ilvl w:val="0"/>
          <w:numId w:val="0"/>
        </w:numPr>
        <w:tabs>
          <w:tab w:val="clear" w:pos="709"/>
          <w:tab w:val="left" w:pos="0" w:leader="none"/>
        </w:tabs>
        <w:bidi w:val="0"/>
        <w:spacing w:before="0" w:after="120"/>
        <w:ind w:hanging="0" w:start="0"/>
        <w:jc w:val="start"/>
        <w:rPr/>
      </w:pPr>
      <w:bookmarkStart w:id="7" w:name="__RefHeading___anforderungen_4"/>
      <w:bookmarkStart w:id="8" w:name="anforderungen"/>
      <w:bookmarkEnd w:id="7"/>
      <w:r>
        <w:rPr/>
        <w:t>Anforderungen</w:t>
      </w:r>
      <w:bookmarkEnd w:id="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r>
    </w:tbl>
    <w:p>
      <w:pPr>
        <w:pStyle w:val="Heading1"/>
        <w:numPr>
          <w:ilvl w:val="0"/>
          <w:numId w:val="0"/>
        </w:numPr>
        <w:tabs>
          <w:tab w:val="clear" w:pos="709"/>
          <w:tab w:val="left" w:pos="0" w:leader="none"/>
        </w:tabs>
        <w:bidi w:val="0"/>
        <w:ind w:hanging="0" w:start="0"/>
        <w:jc w:val="start"/>
        <w:rPr/>
      </w:pPr>
      <w:bookmarkStart w:id="9" w:name="__RefHeading___allgemeines_5"/>
      <w:bookmarkStart w:id="10" w:name="allgemeines"/>
      <w:bookmarkEnd w:id="9"/>
      <w:r>
        <w:rPr/>
        <w:t>1 Allgemeines</w:t>
      </w:r>
      <w:bookmarkEnd w:id="1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die Abwehr „klassischer“ Gefahren stehen etablierte Schutz-Standards, insbesondere die Richtlinien der VdS Schadenverhütung GmbH, zur Verfügung. Digitalisierung und Vernetzung bergen jedoch auch neue Gefahren, die Unternehmen in ihrem Risikomanagement berücksichtigen müssen. Eine gut organisierte Informationssicherheit vermindert die Anzahl der Schwachstellen, verringert die verbleibenden Risiken und begrenzt dadurch potentielle Schäden für das Unternehmen.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Muss neu verfasst werden.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Die vorliegenden Richtlinien legen Mindestanforderungen an die Informationssicherheit fest und beschreiben ein auf kleine und mittlere Unternehmen (KMU) zugeschnittenes Informationssicherheitsmanagementsystem (ISMS).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0"/>
          <w:numId w:val="0"/>
        </w:numPr>
        <w:tabs>
          <w:tab w:val="clear" w:pos="709"/>
          <w:tab w:val="left" w:pos="0" w:leader="none"/>
        </w:tabs>
        <w:bidi w:val="0"/>
        <w:ind w:hanging="0" w:start="0"/>
        <w:jc w:val="start"/>
        <w:rPr/>
      </w:pPr>
      <w:bookmarkStart w:id="11" w:name="__RefHeading___anwendungshinweise_6"/>
      <w:bookmarkStart w:id="12" w:name="anwendungshinweise"/>
      <w:bookmarkEnd w:id="11"/>
      <w:r>
        <w:rPr/>
        <w:t>1.1 Anwendungshinweise</w:t>
      </w:r>
      <w:bookmarkEnd w:id="12"/>
      <w:r>
        <w:br w:type="page"/>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pageBreakBefore/>
              <w:suppressLineNumbers/>
              <w:bidi w:val="0"/>
              <w:spacing w:before="0" w:after="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vorliegenden Richtlinien sind Grundlage für eine Zertifizierung durch VdS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sind Grundlage für eine Zertifizierung durch VdS Schadenverhütung.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Diese Richtlinien SOLLTEN in bestehende Managementsysteme integriert werden, um potentielle Synergieeffekte zu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Diese Richtlinien SOLLTEN in bestehende Managementsysteme, insbesondere in das Qualitätsmanagement und in das Risikomanagement integriert werden, um potentielle Synergieeffekte zu nutzen.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Insbesondere SOLLTEN sie zusammen mit den Richtlinien VdS 10010 „VdS-Richtlinien zur Umsetzung der DSGVO“ und/oder den Richtlinien VdS 10020 „Leitfaden zur Interpretation und Umsetzung der VdS 10000 für Industrielle Automatisierungssysteme“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Formulierung überarbeiten:</w:t>
            </w:r>
          </w:p>
          <w:p>
            <w:pPr>
              <w:pStyle w:val="TableContents"/>
              <w:bidi w:val="0"/>
              <w:jc w:val="start"/>
              <w:rPr/>
            </w:pPr>
            <w:r>
              <w:rPr/>
            </w:r>
          </w:p>
          <w:p>
            <w:pPr>
              <w:pStyle w:val="TableContents"/>
              <w:bidi w:val="0"/>
              <w:jc w:val="start"/>
              <w:rPr/>
            </w:pPr>
            <w:r>
              <w:rPr/>
              <w:t>- Die Erkenntnisse und Strukturen der VdS 10010 unterstützen die Umsetzung der VdS 10100.</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Sie stützen sich auf die Strukturen und Maßnahmen der VdS 10000, deren Umsetzung empfohlen jedoch nicht notwendigerweise Voraussetzung für das erfolgreiche Implementieren dieser Richtlinien sind.</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t>Referenzierung auf die VdS 10000 aufnehmen:</w:t>
            </w:r>
          </w:p>
          <w:p>
            <w:pPr>
              <w:pStyle w:val="TableContents"/>
              <w:jc w:val="start"/>
              <w:rPr/>
            </w:pPr>
            <w:r>
              <w:rPr/>
              <w:t>VdS 10100 baut  auf der VdS 10000 auf, jedoch ist die vollständige Umsetzung der VdS 10000 nicht zwingend notwendig.</w:t>
            </w:r>
          </w:p>
        </w:tc>
        <w:tc>
          <w:tcPr>
            <w:tcW w:w="4712" w:type="dxa"/>
            <w:tcBorders>
              <w:start w:val="single" w:sz="2" w:space="0" w:color="000000"/>
              <w:bottom w:val="single" w:sz="2" w:space="0" w:color="000000"/>
              <w:end w:val="single" w:sz="2" w:space="0" w:color="000000"/>
            </w:tcBorders>
          </w:tcPr>
          <w:p>
            <w:pPr>
              <w:pStyle w:val="Normal"/>
              <w:rPr>
                <w:i/>
                <w:i/>
                <w:iCs/>
              </w:rPr>
            </w:pPr>
            <w:r>
              <w:rPr>
                <w:i/>
                <w:iCs/>
              </w:rPr>
              <w:t>Diese Richtlinie referenziert auf die VdS-Richtlinie 10000 (VdS 10000), sie KANN jedoch auch auf Basis anderer ISMS umgesetzt werden, sofern die entsprechenden Anforderungen dadurch erfüllt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r>
          </w:p>
        </w:tc>
        <w:tc>
          <w:tcPr>
            <w:tcW w:w="4712" w:type="dxa"/>
            <w:tcBorders>
              <w:start w:val="single" w:sz="2" w:space="0" w:color="000000"/>
              <w:bottom w:val="single" w:sz="2" w:space="0" w:color="000000"/>
              <w:end w:val="single" w:sz="2" w:space="0" w:color="000000"/>
            </w:tcBorders>
          </w:tcPr>
          <w:p>
            <w:pPr>
              <w:pStyle w:val="Normal"/>
              <w:rPr/>
            </w:pPr>
            <w:r>
              <w:rPr/>
              <w:t>Um Wiederholungen zu vermeiden wird wenn angebracht im Text dieser Richtlinie auf die entsprechenden Abschnitte der VdS 10000 verwiesen.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r>
    </w:tbl>
    <w:p>
      <w:pPr>
        <w:pStyle w:val="Heading2"/>
        <w:numPr>
          <w:ilvl w:val="0"/>
          <w:numId w:val="0"/>
        </w:numPr>
        <w:tabs>
          <w:tab w:val="clear" w:pos="709"/>
          <w:tab w:val="left" w:pos="0" w:leader="none"/>
        </w:tabs>
        <w:bidi w:val="0"/>
        <w:ind w:hanging="0" w:start="0"/>
        <w:jc w:val="start"/>
        <w:rPr/>
      </w:pPr>
      <w:bookmarkStart w:id="13" w:name="__RefHeading___anwendungs-_und_geltungsb"/>
      <w:bookmarkStart w:id="14" w:name="anwendungs-_und_geltungsbereich"/>
      <w:bookmarkEnd w:id="13"/>
      <w:r>
        <w:rPr/>
        <w:t>1.2 Anwendungs- und Geltungsbereich</w:t>
      </w:r>
      <w:bookmarkEnd w:id="1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sind für KMU, den gehobenen Mittelstand, Verwaltungen, Verbände und sonstige Organisationen anwendbar.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jc w:val="start"/>
              <w:rPr/>
            </w:pPr>
            <w:r>
              <w:rPr/>
              <w:t>Diese Richtlinie ist für Organisationen anwendbar, die als „wichtige“ oder „besonders wichtige“ Einrichtungen im Sinne des BSIG gelten oder gelten könnten.</w:t>
            </w:r>
          </w:p>
          <w:p>
            <w:pPr>
              <w:pStyle w:val="TableContents"/>
              <w:jc w:val="start"/>
              <w:rPr/>
            </w:pPr>
            <w:r>
              <w:rPr/>
              <w:t>Sie ist nicht für Betreiber kritischer Anlagen im Sinne des BSIG geeignet.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Die Richtlinien SOLLTEN auf die gesamte Organisation angewendet werden, ihr Geltungsbereich KANN jedoch technisch, geographisch und/oder organisatorisch eingegrenzt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Gem. NIS2 muss der Anwendungsbereich die gesamte Organisation umfassen.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Richtlinie MUSS auf die gesamte Informationsverarbeitung der Organisation angewendet werden.</w:t>
            </w:r>
          </w:p>
        </w:tc>
      </w:tr>
    </w:tbl>
    <w:p>
      <w:pPr>
        <w:pStyle w:val="Heading3"/>
        <w:numPr>
          <w:ilvl w:val="0"/>
          <w:numId w:val="0"/>
        </w:numPr>
        <w:ind w:hanging="0" w:start="0"/>
        <w:rPr/>
      </w:pPr>
      <w:bookmarkStart w:id="15" w:name="__RefHeading___Toc49840_1658012805"/>
      <w:bookmarkEnd w:id="15"/>
      <w:r>
        <w:rPr/>
        <w:t>1.2.1 Analyse und Registrierung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4" name="0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Copy 1" descr="" title=""/>
                          <pic:cNvPicPr>
                            <a:picLocks noChangeAspect="1" noChangeArrowheads="1"/>
                          </pic:cNvPicPr>
                        </pic:nvPicPr>
                        <pic:blipFill>
                          <a:blip r:embed="rId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In diesem neuen Abschnitt werden folgende Vorgaben des BSIG umgesetzt:</w:t>
            </w:r>
          </w:p>
          <w:p>
            <w:pPr>
              <w:pStyle w:val="Normal"/>
              <w:numPr>
                <w:ilvl w:val="0"/>
                <w:numId w:val="4"/>
              </w:numPr>
              <w:bidi w:val="0"/>
              <w:jc w:val="start"/>
              <w:rPr/>
            </w:pPr>
            <w:r>
              <w:rPr/>
              <w:t>§ 28 Besonders wichtige Einrichtungen und wichtige Einrichtungen</w:t>
            </w:r>
          </w:p>
          <w:p>
            <w:pPr>
              <w:pStyle w:val="Normal"/>
              <w:numPr>
                <w:ilvl w:val="0"/>
                <w:numId w:val="4"/>
              </w:numPr>
              <w:bidi w:val="0"/>
              <w:jc w:val="start"/>
              <w:rPr/>
            </w:pPr>
            <w:r>
              <w:rPr/>
              <w:t>§ 33 Registrierungspflicht</w:t>
            </w:r>
          </w:p>
          <w:p>
            <w:pPr>
              <w:pStyle w:val="Normal"/>
              <w:numPr>
                <w:ilvl w:val="0"/>
                <w:numId w:val="4"/>
              </w:numPr>
              <w:bidi w:val="0"/>
              <w:jc w:val="start"/>
              <w:rPr/>
            </w:pPr>
            <w:r>
              <w:rPr/>
              <w:t>§ 34 Besondere Registrierungspflicht für bestimmte Einrichtungsarten</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 28 ist komplex und sehr detailliert. Deshalb sind die Vorgaben nicht einfach in eine Richtlinie zu übersetzen:</w:t>
            </w:r>
          </w:p>
          <w:p>
            <w:pPr>
              <w:pStyle w:val="TableContents"/>
              <w:bidi w:val="0"/>
              <w:ind w:hanging="0" w:start="0"/>
              <w:jc w:val="start"/>
              <w:rPr/>
            </w:pPr>
            <w:r>
              <w:rPr/>
              <w:t>- Wenn sie abgebildet werden müssen sie vollständig und korrekt wiedergegeben werden. Eine genaue Abbildung wäre eine 1:1 Wiederholung des Gesetzestextes und deshalb nicht sinnvoll.</w:t>
            </w:r>
          </w:p>
          <w:p>
            <w:pPr>
              <w:pStyle w:val="TableContents"/>
              <w:bidi w:val="0"/>
              <w:ind w:hanging="0" w:start="0"/>
              <w:jc w:val="start"/>
              <w:rPr/>
            </w:pPr>
            <w:r>
              <w:rPr/>
            </w:r>
          </w:p>
          <w:p>
            <w:pPr>
              <w:pStyle w:val="TableContents"/>
              <w:bidi w:val="0"/>
              <w:ind w:hanging="0" w:start="0"/>
              <w:jc w:val="start"/>
              <w:rPr/>
            </w:pPr>
            <w:r>
              <w:rPr/>
              <w:t>Idee: In die VdS 10100 wird eine sehr einfache Maßnahme aufgenommen und ansonsten auf den Gesetzestext oder eine Checkliste verwiesen. Letztere stellt die VdS Schadenverhütung online oder als PDF zur Verfügung.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ind w:hanging="0" w:start="0"/>
              <w:jc w:val="start"/>
              <w:rPr/>
            </w:pPr>
            <w:r>
              <w:rPr/>
              <w:t>Die Organisation MUSS prüfen, ob sie als „wichtige“ oder „sehr wichtige“ Einrichtung im Sinne von § 28 BSIG gilt.</w:t>
            </w:r>
          </w:p>
          <w:p>
            <w:pPr>
              <w:pStyle w:val="TableContents"/>
              <w:ind w:hanging="0" w:start="0"/>
              <w:jc w:val="start"/>
              <w:rPr/>
            </w:pPr>
            <w:r>
              <w:rPr/>
            </w:r>
          </w:p>
          <w:p>
            <w:pPr>
              <w:pStyle w:val="TableContents"/>
              <w:ind w:hanging="0" w:start="0"/>
              <w:jc w:val="start"/>
              <w:rPr/>
            </w:pPr>
            <w:r>
              <w:rPr/>
              <w:t>Dazu SOLLTE die entsprechende Vorgehensweise genutzt werden, die von der VdS Schadenverhütung zur Verfügung gestellt wird.</w:t>
            </w:r>
          </w:p>
          <w:p>
            <w:pPr>
              <w:pStyle w:val="TableContents"/>
              <w:ind w:hanging="0" w:start="0"/>
              <w:jc w:val="start"/>
              <w:rPr/>
            </w:pPr>
            <w:r>
              <w:rPr/>
            </w:r>
          </w:p>
          <w:p>
            <w:pPr>
              <w:pStyle w:val="TableContents"/>
              <w:ind w:hanging="0" w:start="0"/>
              <w:jc w:val="start"/>
              <w:rPr/>
            </w:pPr>
            <w:r>
              <w:rPr/>
              <w:t>Das Ergebnis der Prüfung MUSS zusammen mit seiner Begründung dokumentiert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1</w:t>
            </w:r>
          </w:p>
          <w:p>
            <w:pPr>
              <w:pStyle w:val="TableContents"/>
              <w:bidi w:val="0"/>
              <w:ind w:hanging="0" w:start="0"/>
              <w:jc w:val="start"/>
              <w:rPr/>
            </w:pPr>
            <w:r>
              <w:rPr/>
            </w:r>
          </w:p>
          <w:p>
            <w:pPr>
              <w:pStyle w:val="TableContents"/>
              <w:bidi w:val="0"/>
              <w:ind w:hanging="0" w:start="0"/>
              <w:jc w:val="start"/>
              <w:rPr/>
            </w:pPr>
            <w:r>
              <w:rPr/>
              <w:t xml:space="preserve">- Verbessern: </w:t>
            </w:r>
            <w:r>
              <w:rPr>
                <w:rFonts w:eastAsia="Bitstream Vera Sans" w:cs="Bitstream Vera Sans"/>
                <w:color w:val="auto"/>
                <w:kern w:val="0"/>
                <w:sz w:val="20"/>
                <w:szCs w:val="24"/>
                <w:lang w:val="de-DE" w:eastAsia="en-US" w:bidi="en-US"/>
              </w:rPr>
              <w:t>„innerhalb von drei Monaten“ → nach welchem Zeitpunkt?!</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Es MUSS ein Verfahren etabliert werden, das sicherstellt, dass das entsprechende Registrierungsverfahren gem. BSIG § 33 innerhalb von drei Monaten durchlaufen wird.</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5</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sicherstellen, dass geänderte Angaben spätestens zwei Wochen ab ihrer Kenntnis an das BSI übermittelt werden.</w:t>
            </w:r>
          </w:p>
        </w:tc>
      </w:tr>
      <w:tr>
        <w:trPr>
          <w:trHeight w:val="325" w:hRule="atLeast"/>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34</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prüfen, ob die Organisation eine Einrichtung im Sinne von § 64 Absatz 1 Satz 1 ist.</w:t>
            </w:r>
          </w:p>
          <w:p>
            <w:pPr>
              <w:pStyle w:val="TableContents"/>
              <w:ind w:hanging="0" w:start="0"/>
              <w:jc w:val="start"/>
              <w:rPr/>
            </w:pPr>
            <w:r>
              <w:rPr/>
            </w:r>
          </w:p>
          <w:p>
            <w:pPr>
              <w:pStyle w:val="TableContents"/>
              <w:ind w:hanging="0" w:start="0"/>
              <w:jc w:val="start"/>
              <w:rPr/>
            </w:pPr>
            <w:r>
              <w:rPr/>
              <w:t>Wenn die Organisation eine Einrichtung im Sinne von § 64 Absatz 1 Satz 1 ist, MUSS das Verfahren sicherstellen, dass die besondere Registrierungspflicht erfüllt und die in § 34 geforderten Informationen an das BSI übermittelt werden.</w:t>
            </w:r>
          </w:p>
          <w:p>
            <w:pPr>
              <w:pStyle w:val="TableContents"/>
              <w:ind w:hanging="0" w:start="0"/>
              <w:jc w:val="start"/>
              <w:rPr/>
            </w:pPr>
            <w:r>
              <w:rPr/>
            </w:r>
          </w:p>
          <w:p>
            <w:pPr>
              <w:pStyle w:val="TableContents"/>
              <w:ind w:hanging="0" w:start="0"/>
              <w:jc w:val="start"/>
              <w:rPr/>
            </w:pPr>
            <w:r>
              <w:rPr/>
              <w:t>Hierzu MUSS der entsprechende Meldeweg des BSI genutzt werden.</w:t>
            </w:r>
          </w:p>
        </w:tc>
      </w:tr>
    </w:tbl>
    <w:p>
      <w:pPr>
        <w:pStyle w:val="Heading2"/>
        <w:numPr>
          <w:ilvl w:val="0"/>
          <w:numId w:val="0"/>
        </w:numPr>
        <w:tabs>
          <w:tab w:val="clear" w:pos="709"/>
          <w:tab w:val="left" w:pos="0" w:leader="none"/>
        </w:tabs>
        <w:bidi w:val="0"/>
        <w:ind w:hanging="0" w:start="0"/>
        <w:jc w:val="start"/>
        <w:rPr/>
      </w:pPr>
      <w:bookmarkStart w:id="16" w:name="__RefHeading___gueltigkeit_8"/>
      <w:bookmarkStart w:id="17" w:name="gueltigkeit"/>
      <w:bookmarkEnd w:id="16"/>
      <w:r>
        <w:rPr/>
        <w:t>1.3 Gültigkeit</w:t>
      </w:r>
      <w:bookmarkEnd w:id="1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gelten ab dem 9.10.2018 und ersetzen die VdS-Richtlinien 3473 vom 01.07.2015.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gelten ab dem 01.11.2024</w:t>
            </w:r>
          </w:p>
        </w:tc>
      </w:tr>
    </w:tbl>
    <w:p>
      <w:pPr>
        <w:pStyle w:val="Heading1"/>
        <w:numPr>
          <w:ilvl w:val="0"/>
          <w:numId w:val="0"/>
        </w:numPr>
        <w:tabs>
          <w:tab w:val="clear" w:pos="709"/>
          <w:tab w:val="left" w:pos="0" w:leader="none"/>
        </w:tabs>
        <w:bidi w:val="0"/>
        <w:ind w:hanging="0" w:start="0"/>
        <w:jc w:val="start"/>
        <w:rPr/>
      </w:pPr>
      <w:bookmarkStart w:id="18" w:name="__RefHeading___normative_verweise_9"/>
      <w:bookmarkStart w:id="19" w:name="normative_verweise"/>
      <w:bookmarkEnd w:id="18"/>
      <w:r>
        <w:rPr/>
        <w:t>2 Normative Verweise</w:t>
      </w:r>
      <w:bookmarkEnd w:id="1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100-4 Notfallmanagement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200-2 IT-Grundschutz-Vorgehensweise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200-3 Risikomanagement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V4</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1047-1 Wertbehältnisse - Klassifizierung und Methoden zur Prüfung des Widerstandes gegen Brand - Teil 1: Datensicherungsschränke und Disketteneinsätze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V5</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50173-Reihe Informationstechnik – Anwendungsneutrale Kommunikationskabelanlagen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V6</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50174-Reihe Informationstechnik – Installation von Kommunikationsverkabelung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9001 Qualitätsmanagementsysteme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22301 Sicherheit und Schutz des Gemeinwesens - Business Continuity Management System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V9</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VDE 0100 Normenreihe zum Errichten von Niederspannungsanlagen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V10</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 31000 Risk Management – Principles and guidelines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 31000 Risk Management – Principles and guidelines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27001 Information technology – Security techniques – Information security management systems – Requirements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ISO/IEC 27005 Information technology — Security techniques — Information security risk 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27005 Information technology — Security techniques — Information security risk management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V13</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VdS 2007 Anlagen der Informationstechnologie (IT-Anlagen) - Merkblatt zur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Normal"/>
              <w:bidi w:val="0"/>
              <w:jc w:val="start"/>
              <w:rPr/>
            </w:pPr>
            <w:r>
              <w:rPr/>
              <w:t>IEC 31010:2019 - Risk assessment techniques</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bookmarkStart w:id="20" w:name="__RefHeading___a_2.1_risikoanalyse_134_1"/>
            <w:bookmarkEnd w:id="20"/>
            <w:r>
              <w:rPr/>
              <w:t xml:space="preserve">Wir verweisen auf dieses Regelwerk in </w:t>
            </w:r>
            <w:r>
              <w:rPr/>
              <w:t xml:space="preserve">Abschnitt </w:t>
            </w:r>
            <w:bookmarkStart w:id="21" w:name="anwendungshinweise_Copy_1"/>
            <w:r>
              <w:rPr/>
              <w:t xml:space="preserve">1.1 </w:t>
            </w:r>
            <w:r>
              <w:rPr/>
              <w:t>(</w:t>
            </w:r>
            <w:r>
              <w:rPr/>
              <w:t>Anwendungshinweise</w:t>
            </w:r>
            <w:bookmarkEnd w:id="21"/>
            <w:r>
              <w:rPr/>
              <w: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VdS 10000 - Informationssicherheitsmanagementsystem für kleine und mittlere Unternehmen (KMU)</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ENISA Thread Taxonomy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w:t>
            </w:r>
            <w:r>
              <w:rPr/>
              <w:t xml:space="preserve">Elementare Gefährdungen“, BSI </w:t>
            </w:r>
          </w:p>
        </w:tc>
      </w:tr>
    </w:tbl>
    <w:p>
      <w:pPr>
        <w:pStyle w:val="Heading1"/>
        <w:numPr>
          <w:ilvl w:val="0"/>
          <w:numId w:val="0"/>
        </w:numPr>
        <w:tabs>
          <w:tab w:val="clear" w:pos="709"/>
          <w:tab w:val="left" w:pos="0" w:leader="none"/>
        </w:tabs>
        <w:bidi w:val="0"/>
        <w:ind w:hanging="0" w:start="0"/>
        <w:jc w:val="start"/>
        <w:rPr/>
      </w:pPr>
      <w:bookmarkStart w:id="22" w:name="__RefHeading___begriffe_10"/>
      <w:bookmarkStart w:id="23" w:name="begriffe"/>
      <w:bookmarkEnd w:id="22"/>
      <w:r>
        <w:rPr/>
        <w:t>Begriffe</w:t>
      </w:r>
      <w:bookmarkEnd w:id="23"/>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5" name="0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Copy 1 Copy 2" descr="" title=""/>
                          <pic:cNvPicPr>
                            <a:picLocks noChangeAspect="1" noChangeArrowheads="1"/>
                          </pic:cNvPicPr>
                        </pic:nvPicPr>
                        <pic:blipFill>
                          <a:blip r:embed="rId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ToDo: Begriffe aus NIS2 im Laufe der Entwicklung in dieses Kapitel aufnehmen und jene Begriffe entfernen, die in der VdS 10100 nicht neu definiert werden müssen.</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Style w:val="Strong"/>
              </w:rPr>
              <w:t>Administrativer Zugang:</w:t>
            </w:r>
            <w:r>
              <w:rPr/>
              <w:t xml:space="preserve"> Zugang, der einen Nutzer dazu befähigt, ein IT-System zu verwalten, d. h. der einem Nutzer umfangreiche Rechte in einem IT-System einräumt.</w:t>
            </w:r>
          </w:p>
        </w:tc>
        <w:tc>
          <w:tcPr>
            <w:tcW w:w="5495" w:type="dxa"/>
            <w:tcBorders>
              <w:start w:val="single" w:sz="2" w:space="0" w:color="000000"/>
              <w:bottom w:val="single" w:sz="2" w:space="0" w:color="000000"/>
              <w:end w:val="single" w:sz="2" w:space="0" w:color="000000"/>
            </w:tcBorders>
          </w:tcPr>
          <w:p>
            <w:pPr>
              <w:pStyle w:val="Normal"/>
              <w:bidi w:val="0"/>
              <w:jc w:val="start"/>
              <w:rPr/>
            </w:pPr>
            <w:r>
              <w:rPr/>
              <w:t>‍</w:t>
            </w:r>
          </w:p>
        </w:tc>
        <w:tc>
          <w:tcPr>
            <w:tcW w:w="4712" w:type="dxa"/>
            <w:vMerge w:val="restart"/>
            <w:tcBorders>
              <w:start w:val="single" w:sz="2" w:space="0" w:color="000000"/>
              <w:bottom w:val="single" w:sz="2" w:space="0" w:color="000000"/>
              <w:end w:val="single" w:sz="2" w:space="0" w:color="000000"/>
            </w:tcBorders>
          </w:tcPr>
          <w:p>
            <w:pPr>
              <w:pStyle w:val="Normal"/>
              <w:bidi w:val="0"/>
              <w:jc w:val="start"/>
              <w:rPr/>
            </w:pPr>
            <w:r>
              <w:rPr/>
              <w:t>Sofern hier nicht anders definiert MÜSSEN die Begriffe gemäß Kapitel 3 VdS 10000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Administrator:</w:t>
            </w:r>
            <w:r>
              <w:rPr/>
              <w:t xml:space="preserve"> Person, die für Einrichtung, Betrieb, Überwachung und/oder Wartung eines IT-Systems oder Netzwerks zuständig ist.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Aktive Netzwerkkomponente:</w:t>
            </w:r>
            <w:r>
              <w:rPr/>
              <w:t xml:space="preserve"> Netzwerkkomponente, die über eine eigene Logik verfügt, wie z. B. Hub, Switch, Repeater, Bridge, Medienkonverter, Gateway, Firewall usw. Eine aktive Netzwerkkomponente benötigt in aller Regel eine Stromversorgung. Eine aktive Netzwerkkomponente ist ein IT-System.</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Archivierung:</w:t>
            </w:r>
            <w:r>
              <w:rPr/>
              <w:t xml:space="preserve"> Entfernen aus der operativen Umgebung und Langzeitspeicherung bis zum Erreichen der Aufbewahrungsfrist.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Aufgabe:</w:t>
            </w:r>
            <w:r>
              <w:rPr/>
              <w:t xml:space="preserve"> Dauerhaft wirksame Aufforderung an Handlungsträger, festgelegte Handlungen wahrzunehmen.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Ausfall:</w:t>
            </w:r>
            <w:r>
              <w:rPr/>
              <w:t xml:space="preserve"> Erliegen eines Prozesses, weil notwendige Ressourcen nicht in ausreichender Menge und/oder in ausreichender Qualität zur Verfügung stehen.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Authentizität:</w:t>
            </w:r>
            <w:r>
              <w:rPr/>
              <w:t xml:space="preserve"> Echtheit, Überprüfbarkeit und Vertrauenswürdigkeit.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Authentifizierungsmerkmal:</w:t>
            </w:r>
            <w:r>
              <w:rPr/>
              <w:t xml:space="preserve"> Merkmal, mit dessen Hilfe eine anfragende Instanz ihre Identität nachweisen kann. Authentifizierungsmerkmale können Wissen (z. B. Passwort oder PIN), Besitz (z. B. Chipkarte oder Token) oder biometrische Merkmale (z. B. Fingerabdruck oder Iris) sein.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D9</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Bedrohung:</w:t>
            </w:r>
            <w:r>
              <w:rPr/>
              <w:t xml:space="preserve"> Umstand oder Ereignis, durch den oder das ein Schaden entstehen kann. Trifft eine Bedrohung auf eine Schwachstelle (insbesondere technische oder organisatorische Mängel), so entsteht eine Gefährdung.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D10</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Business Continuity Management (BCM):</w:t>
            </w:r>
            <w:r>
              <w:rPr/>
              <w:t xml:space="preserve"> Ganzheitlicher Managementprozess für die systematische Vorbereitung auf das Bewältigen von Schadenereignissen mit dem Ziel, zentrale Geschäftsprozesse auch beim Eintreten von Notfällen, Krisen oder Katastrophen weiter zu betreiben, bzw. schnellstmöglich wieder in Gang zu setzen.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Cloud Computing:</w:t>
            </w:r>
            <w:r>
              <w:rPr/>
              <w:t xml:space="preserve"> Technologie, die es erlaubt über ein Netz auf einen geteilten Pool von konfigurierbaren IT-Ressourcen zuzugreifen.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w:t>
            </w:r>
            <w:r>
              <w:rPr/>
              <w:t xml:space="preserve"> Gebilde aus Zeichen, die aufgrund bekannter Abmachungen Informationen darstellen.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Datenleitung:</w:t>
            </w:r>
            <w:r>
              <w:rPr/>
              <w:t xml:space="preserve"> Physisches Medium, über das Daten ausgetauscht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Echtzeitbetrieb:</w:t>
            </w:r>
            <w:r>
              <w:rPr/>
              <w:t xml:space="preserve"> Elektronische Datenverarbeitung, die (nahezu) simultan mit den entsprechenden Prozessen in der Realität abläuft.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Eigenmächtigkeit:</w:t>
            </w:r>
            <w:r>
              <w:rPr/>
              <w:t xml:space="preserve"> Handeln ohne Auftrag, Erlaubnis oder Befugnis. Diese Formulierung wird wahrscheinlich in zukünftige Versionen der VdS 10000 aufgenommen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Externer:</w:t>
            </w:r>
            <w:r>
              <w:rPr/>
              <w:t xml:space="preserve"> Natürliche Person, die kein Mitarbeiter ist. Externe sind z. B. Geschäftspartner oder Gäste.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Funktion:</w:t>
            </w:r>
            <w:r>
              <w:rPr/>
              <w:t xml:space="preserve"> Bündel von Aufgaben, durch die ein Teil der Ziele der Organisation erreicht werden soll.</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Gefahr:</w:t>
            </w:r>
            <w:r>
              <w:rPr/>
              <w:t xml:space="preserve"> Möglichkeit einer Schadwirkung auf ein zu schützendes Objekt.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Gefährdung:</w:t>
            </w:r>
            <w:r>
              <w:rPr/>
              <w:t xml:space="preserve"> Bedrohung, die konkret über eine Schwachstelle auf ein zu schützendes Objekt einwirkt (Bedrohung plus Schwachstelle).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19</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w:t>
            </w:r>
            <w:r>
              <w:rPr/>
              <w:t xml:space="preserve"> Sinn und Bedeutung, die der Empfänger aus erhaltenen Daten interpretiert.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D20</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w:t>
            </w:r>
            <w:r>
              <w:rPr/>
              <w:t xml:space="preserve"> Schutz von Informationen hinsichtlich gegebener Sicherheitsanforderungen (bspw. Vertraulichkeit, Verfügbarkeit oder Integrität).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Informationssicherheitsbeauftragter (ISB):</w:t>
            </w:r>
            <w:r>
              <w:rPr/>
              <w:t xml:space="preserve"> Person, die die Aufgaben gem. Abschnitt 4.3 wahrnimmt.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Informationssicherheitsteam (IST):</w:t>
            </w:r>
            <w:r>
              <w:rPr/>
              <w:t xml:space="preserve"> Gremium, das die Aufgaben gem. Abschnitt 4.4 wahrnimmt.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Informationstechnik (IT):</w:t>
            </w:r>
            <w:r>
              <w:rPr/>
              <w:t xml:space="preserve"> Oberbegriff für die Informations- und Datenverarbeitung sowie –übertragung inklusive der dafür benötigten Hard- und Software.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Integrität:</w:t>
            </w:r>
            <w:r>
              <w:rPr/>
              <w:t xml:space="preserve"> Korrektheit und Unversehrtheit von Informationen bzw. die korrekte Funktionsweise der Datenverarbeitung.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Inventarisierung:</w:t>
            </w:r>
            <w:r>
              <w:rPr/>
              <w:t xml:space="preserve"> Bestandsaufnahme zu einem definierten Zeitpunkt.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IS-Leitlinie:</w:t>
            </w:r>
            <w:r>
              <w:rPr/>
              <w:t xml:space="preserve"> Leitlinie zur Informationssicherheit, die die Anforderungen gem. Kapitel 5 erfüllt.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IS-Richtlinie:</w:t>
            </w:r>
            <w:r>
              <w:rPr/>
              <w:t xml:space="preserve"> Sammlung von Regelungen zur Informationssicherheit, die die Anforderungen gem. Kapitel 6 erfüllt.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IT-Infrastruktur:</w:t>
            </w:r>
            <w:r>
              <w:rPr/>
              <w:t xml:space="preserve"> Alle langlebigen Einrichtungen materieller und institutioneller Art für den Betrieb von Anwendungssoftware.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D29</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IT-Ressource:</w:t>
            </w:r>
            <w:r>
              <w:rPr/>
              <w:t xml:space="preserve"> Betriebsmittel für die elektronische Informationsverarbeitung. Hierzu zählen u. a. IT-Systeme, Datenträger, Verbindungen, Daten, Informationen sowie Mitarbeiter.</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D30</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IT-Verantwortlicher:</w:t>
            </w:r>
            <w:r>
              <w:rPr/>
              <w:t xml:space="preserve"> Leiter der IT-Abteilung, bzw. das für die Informationstechnik zuständige Management.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IT-Outsourcing:</w:t>
            </w:r>
            <w:r>
              <w:rPr/>
              <w:t xml:space="preserve"> Auslagerung von IT-Aufgaben an einen von der Organisation rechtlich unabhängigen Anbieter.</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IT-System:</w:t>
            </w:r>
            <w:r>
              <w:rPr/>
              <w:t xml:space="preserve"> Technische Anlage, die der Informationsverarbeitung dient und eine abgeschlossene Funktionseinheit aus Hard- und Software bildet. Typische IT-Systeme sind z. B. Server (physisch und virtuell), Clients, Drucker, Mobiltelefone, Smartphones, Telefonanlagen, Laptops, Tablets und aktive Netzwerkkomponenten.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Katastrophaler Schaden:</w:t>
            </w:r>
            <w:r>
              <w:rPr/>
              <w:t xml:space="preserve"> Schaden, auf den eines der folgenden Kriterien zutrifft: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Auswirkungen auf Leib und Leben von Personen: Es werden Menschen schwer verletzt oder kommen ums Leben.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Auswirkung auf zentrale Prozesse: Zentrale Prozesse der Organisation werden zum Erliegen gebracht und die Rückkehr zum Regelbetrieb ist (innerhalb eines akzeptablen Zeitraums) nicht möglich.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Auswirkung auf zentrale Werte: Zentrale Werte der Organisation gehen verloren oder werden zerstört und ihre Wiederherstellung ist (mit den Ressourcen der Organisation) nicht mehr möglich.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Auswirkungen auf die Rechtskonformität: Gesetze, Verträge oder Normen werden gebrochen und die daraus resultierende Haftung ist für die Organisation oder für die Verantwortlichen ruinös.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Individualsoftware:</w:t>
            </w:r>
            <w:r>
              <w:rPr/>
              <w:t xml:space="preserve"> Software, die für den Betrieb von kritischen IT-Systemen zwingend benötigt wird und individuell für die Organisation erstellt oder angepasst wurde.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Informationen:</w:t>
            </w:r>
            <w:r>
              <w:rPr/>
              <w:t xml:space="preserve"> Informationen, die die Bedingungen gem. Abschnitt 9.2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Kritisches IT-System:</w:t>
            </w:r>
            <w:r>
              <w:rPr/>
              <w:t xml:space="preserve"> IT-System, das die Bedingungen gem. Abschnitt 9.3 erfüllt.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Kritischer mobiler Datenträger:</w:t>
            </w:r>
            <w:r>
              <w:rPr/>
              <w:t xml:space="preserve"> Mobiler Datenträger, der die Bedingungen gem. Abschnitt 9.3 erfüllt.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Verbindung:</w:t>
            </w:r>
            <w:r>
              <w:rPr/>
              <w:t xml:space="preserve"> Verbindung, die die Bedingungen gem. Abschnitt 9.3 erfüllt.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D39</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Leitlinie:</w:t>
            </w:r>
            <w:r>
              <w:rPr/>
              <w:t xml:space="preserve"> Dokument des Topmanagements, das ein Ziel der Organisation und seine Priorität definiert sowie Verantwortlichkeiten zu seiner Erreichung festlegt.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40</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 Ausfallzeit (MTA):</w:t>
            </w:r>
            <w:r>
              <w:rPr/>
              <w:t xml:space="preserve"> Zeit, bis zu der eine definierte Leistung (z. B. ein Notbetriebsniveau) wieder verfügbar sein muss.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tolerierbarer Datenverlust (MTD):</w:t>
            </w:r>
            <w:r>
              <w:rPr/>
              <w:t xml:space="preserve"> Zeitspanne, die als noch akzeptierbar für einen Datenverlust erachtet wird.</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Mehr-Faktor-Authentifizierung:</w:t>
            </w:r>
            <w:r>
              <w:rPr/>
              <w:t xml:space="preserve"> Nachweis der Identität mit Hilfe von mehreren unabhängigen Merkmalen.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Mitarbeiter:</w:t>
            </w:r>
            <w:r>
              <w:rPr/>
              <w:t xml:space="preserve"> Natürliche Person, die in einem Vertragsverhältnis oder in einem öffentlich-rechtlichen Dienst- und Treueverhältnis mit der Organisation steht und eine oder mehrere Positionen in der Organisation einnimmt. Mitarbeiter sind z. B. Angestellte, Arbeiter, Beamte, freier Mitarbeiter, Dienstleister oder deren Mitarbeiter bzw. Erfüllungsgehilfen.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Mobiler Datenträger:</w:t>
            </w:r>
            <w:r>
              <w:rPr/>
              <w:t xml:space="preserve"> Datenträger, dessen Einsatzzweck durch Mobilität gekennzeichnet ist. Typische mobile Datenträger sind z. B. Speichersticks und –karten sowie externe Festplatten, aber auch Speichermedien wie CD-ROMs, DVDs und Disketten.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Mobiles IT-System:</w:t>
            </w:r>
            <w:r>
              <w:rPr/>
              <w:t xml:space="preserve"> IT-System, dessen Einsatzzweck durch Mobilität gekennzeichnet ist. Typische mobile IT-Systeme sind z. B. Notebooks, Smartphones, Tablets oder Digitalkameras.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Netzwerkkomponente:</w:t>
            </w:r>
            <w:r>
              <w:rPr/>
              <w:t xml:space="preserve"> Technische Anlage, die der Weiterleitung von Daten dient. Es werden aktive und passive Netzwerkkomponenten unterschieden.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Netzübergang:</w:t>
            </w:r>
            <w:r>
              <w:rPr/>
              <w:t xml:space="preserve"> Schnittstelle zwischen zwei unterschiedlichen Netzwerken. Dabei können sich die Netzwerke durch die physikalischen Übertragungsmedien, durch die verwendeten Protokolle oder durch eine unterschiedliche administrative Hoheit voneinander unterscheiden.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w:t>
            </w:r>
            <w:r>
              <w:rPr/>
              <w:t xml:space="preserve"> Auf ein Minimum reduzierte Funktionstüchtigkeit, mit der ein Prozess aufrechterhalten werden kann.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Notbetriebsniveau:</w:t>
            </w:r>
            <w:r>
              <w:rPr/>
              <w:t xml:space="preserve"> Definition, welche Funktionen von einer IT-Ressource erbracht werden müssen, damit ein Notbetrieb aufrechterhalten werden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D49</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Organisationseinheit:</w:t>
            </w:r>
            <w:r>
              <w:rPr/>
              <w:t xml:space="preserve"> Einheit, in der artverwandte (Teil-)Aufgaben oder Tätigkeiten zusammengefasst sind.</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50</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Passive Netzwerkkomponente:</w:t>
            </w:r>
            <w:r>
              <w:rPr/>
              <w:t xml:space="preserve"> Netzwerkkomponente ohne eigene Logik, z. B. Kabel, Patchfeld, Dose, Stecker usw. Eine passive Netzwerkkomponente benötigt in aller Regel keine Stromversorgung.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Position:</w:t>
            </w:r>
            <w:r>
              <w:rPr/>
              <w:t xml:space="preserve"> Platz, den ein Mitarbeiter in der Hierarchie einer Organisation einnimmt.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Projektverantwortlicher:</w:t>
            </w:r>
            <w:r>
              <w:rPr/>
              <w:t xml:space="preserve"> Person, die für die ordnungsgemäße Durchführung eines Projekts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w:t>
            </w:r>
            <w:r>
              <w:rPr/>
              <w:t xml:space="preserve"> System von Tätigkeiten, das Eingaben mit Hilfe von Ressourcen in Ergebnisse umwandelt.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 mit hohem Schadenspotential:</w:t>
            </w:r>
            <w:r>
              <w:rPr/>
              <w:t xml:space="preserve"> Prozess, bei dessen Fehlfunktion oder kurzzeitigem Ausfall ein katastrophaler Schaden entstehen kann.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Prozessverantwortlicher:</w:t>
            </w:r>
            <w:r>
              <w:rPr/>
              <w:t xml:space="preserve"> Person, die inhaltlich für einen oder mehrere Prozesse verantwortlich ist. Sie besitzt den Überblick über die für diese Prozesse benötigten Ressourcen und über die an sie gestellten Anforderungen.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Regelung:</w:t>
            </w:r>
            <w:r>
              <w:rPr/>
              <w:t xml:space="preserve"> Verbindliche Vorgabe.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Ressource:</w:t>
            </w:r>
            <w:r>
              <w:rPr/>
              <w:t xml:space="preserve"> Betriebsmittel, das der Organisation gehört oder ihr zur Verfügung steht.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Risiko:</w:t>
            </w:r>
            <w:r>
              <w:rPr/>
              <w:t xml:space="preserve"> Eine nach Eintrittswahrscheinlichkeit und Schadenshöhe bewertete Gefährdung.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D59</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Schnittstelle:</w:t>
            </w:r>
            <w:r>
              <w:rPr/>
              <w:t xml:space="preserve"> Teil eines IT-Systems, das der Kommunikation dient, wie z. B. Ethernet- und Wireless-LAN-Adapter, ISDN-Karten, Modems, USB-Ports, NFC- und Infrarot-Schnittstellen, SD-Slots oder Tastaturen.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D60</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Schwachstelle:</w:t>
            </w:r>
            <w:r>
              <w:rPr/>
              <w:t xml:space="preserve"> Umstand, der es ermöglicht, dass eine Bedrohung mit einem zu schützenden Objekt räumlich und/oder zeitlich zusammentreffen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Server:</w:t>
            </w:r>
            <w:r>
              <w:rPr/>
              <w:t xml:space="preserve"> Zentrales IT-System, über das funktionale und/oder infrastrukturelle Netzdienste realisiert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w:t>
            </w:r>
            <w:r>
              <w:rPr/>
              <w:t xml:space="preserve"> Die Abwesenheit nicht beherrschbarer Gefahren. Eine vollständige Sicherheit kann in der Praxis nicht erreicht werden. Das angemessene Maß an Sicherheit muss deshalb von den beteiligten Parteien definiert und fortlaufend an die Erfordernisse und die Umgebungsbedingungen angepasst werden. (Diese Formulierung wird wahrscheinlich in einer zukünftigen Version der VdS 10000 aufgenommen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Sicherheitsvorfall:</w:t>
            </w:r>
            <w:r>
              <w:rPr/>
              <w:t xml:space="preserve"> Unerwünschtes Ereignis, das Auswirkungen auf die Informationssicherheit hat und große Schäden nach sich ziehen kann. Was genau als Sicherheitsvorfall eingestuft wird, wird von der Organisation selbst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Neu definieren gem. NIS2-Richtlinie (siehe unten).</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Speicherort:</w:t>
            </w:r>
            <w:r>
              <w:rPr/>
              <w:t xml:space="preserve"> Ort, an dem Nutzer bzw. Applikationen ihre Daten dauerhaft speichern. Bei einem Speicherort kann es sich um einen lokalen Speicherort (wie z. B. Verzeichnisse auf Servern oder Workstations), einen mobilen Speicherort (wie z. B. Smartphones oder Digitalkameras) oder um einen entfernt gelegenen Speicherort (wie z. B. ausgelagerte Server oder Cloud-Dienste) 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Störung:</w:t>
            </w:r>
            <w:r>
              <w:rPr/>
              <w:t xml:space="preserve"> Situation, in der Prozesse oder Ressourcen nicht wie vorgesehen funktionieren. Die dadurch entstehenden Schäden sind als gering einzustufen. Die Beseitigung einer Störung kann im allgemeinen Tagesgeschäft vorgenommen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Systemsoftware:</w:t>
            </w:r>
            <w:r>
              <w:rPr/>
              <w:t xml:space="preserve"> Firmware, Betriebssystem und systemnahe Software. Systemsoftware verwaltet die internen und externen Hardwarekomponenten eines IT-Systems.</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Topmanagement:</w:t>
            </w:r>
            <w:r>
              <w:rPr/>
              <w:t xml:space="preserve"> Oberste Führungsebene, wie z. B. Vorstände, Geschäftsführer oder Behördenleiter.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Verbindung:</w:t>
            </w:r>
            <w:r>
              <w:rPr/>
              <w:t xml:space="preserve"> Kanal, über den Daten ausgetauscht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Verfahren:</w:t>
            </w:r>
            <w:r>
              <w:rPr/>
              <w:t xml:space="preserve"> Festgelegte Art und Weise, wie ein Prozess (oder auch eine einzelne Tätigkeit innerhalb eines Prozesses) auszuführen ist.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D69</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Verfügbarkeit:</w:t>
            </w:r>
            <w:r>
              <w:rPr/>
              <w:t xml:space="preserve"> Eine Ressource kann wie vorgesehen genutzt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D70</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Vertraulichkeit:</w:t>
            </w:r>
            <w:r>
              <w:rPr/>
              <w:t xml:space="preserve"> Eigenschaft einer Information, nur für einen beschränkten Empfängerkreis vorgesehen zu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Prozess:</w:t>
            </w:r>
            <w:r>
              <w:rPr/>
              <w:t xml:space="preserve"> Prozess, der mitentscheidend für die Aufgabenerfüllung der Organisation ist. Dies kann z. B. ein Prozess für die Wertschöpfung oder für den Erhalt bzw. die Verbesserung der Wettbewerbsfähigkeit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Wert:</w:t>
            </w:r>
            <w:r>
              <w:rPr/>
              <w:t xml:space="preserve"> Materieller oder immaterieller Wert, der für die Aufgabenerfüllung der Organisation (insbesondere für die Durchführung der zentralen Prozesse und für die Prozesse mit hohem Schadenspotential) unverzichtbar ist, wie z. B. Produktionsanlagen, Wissen, Mitarbeiter oder das Vertrauen von Kunden, Partnern oder Geldgebern in die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Zugang:</w:t>
            </w:r>
            <w:r>
              <w:rPr/>
              <w:t xml:space="preserve"> Einrichtung, die es erlaubt, die nichtöffentliche IT der Organisation zu nutzen.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Zugriff:</w:t>
            </w:r>
            <w:r>
              <w:rPr/>
              <w:t xml:space="preserve"> Datenaustausch zwischen einer zugreifenden Instanz und einer IT-Ressource.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Zutritt:</w:t>
            </w:r>
            <w:r>
              <w:rPr/>
              <w:t xml:space="preserve"> Umstand, der es ermöglicht, physisch mit einer IT-Ressource zu interagieren.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ToDo</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erheblicher Sicherheitsvorfall: Sicherheitsvorfall, der (...)</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ToDo: Wir verwenden in der VdS 10100 den Begriff </w:t>
            </w:r>
            <w:r>
              <w:rPr>
                <w:rFonts w:eastAsia="Bitstream Vera Sans" w:cs="Bitstream Vera Sans"/>
                <w:color w:val="auto"/>
                <w:sz w:val="20"/>
                <w:szCs w:val="24"/>
                <w:lang w:val="de-DE" w:eastAsia="en-US" w:bidi="en-US"/>
              </w:rPr>
              <w:t>„Organisation (gem. VdS 10000 / ISO 27001), NIS2 spricht von „Einrichtungen“. Ausgleich über eine entsprechende Definition finden.</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t xml:space="preserve">Organisation: </w:t>
            </w:r>
            <w:r>
              <w:rPr>
                <w:rFonts w:eastAsia="Bitstream Vera Sans" w:cs="Bitstream Vera Sans"/>
                <w:color w:val="auto"/>
                <w:sz w:val="20"/>
                <w:szCs w:val="24"/>
                <w:lang w:val="de-DE" w:eastAsia="en-US" w:bidi="en-US"/>
              </w:rPr>
              <w:t>…</w:t>
            </w:r>
            <w:r>
              <w:rPr/>
              <w:t xml:space="preserve"> Im Sinne von NIS-2 eine Einrichtung</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Entsprechende Definition In der VdS 10k anpassen.</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Normal"/>
              <w:rPr/>
            </w:pPr>
            <w:r>
              <w:rPr/>
              <w:t>Stand der Technik: Fortschrittliches, bereits praxiserprobtes Verfahren, das von Experten und Fachkreisen allgemein unterstützt und in professionellen Umgebungen eingesetzt wird.</w:t>
            </w:r>
          </w:p>
        </w:tc>
      </w:tr>
    </w:tbl>
    <w:p>
      <w:pPr>
        <w:pStyle w:val="Heading1"/>
        <w:numPr>
          <w:ilvl w:val="0"/>
          <w:numId w:val="0"/>
        </w:numPr>
        <w:tabs>
          <w:tab w:val="clear" w:pos="709"/>
          <w:tab w:val="left" w:pos="0" w:leader="none"/>
        </w:tabs>
        <w:bidi w:val="0"/>
        <w:ind w:hanging="0" w:start="0"/>
        <w:jc w:val="start"/>
        <w:rPr/>
      </w:pPr>
      <w:bookmarkStart w:id="24" w:name="__RefHeading___organisation_der_informat"/>
      <w:bookmarkStart w:id="25" w:name="organisation_der_informationssicherheit"/>
      <w:bookmarkEnd w:id="24"/>
      <w:r>
        <w:rPr/>
        <w:t>4 Organisation der Informationssicherheit</w:t>
      </w:r>
      <w:bookmarkEnd w:id="2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Um mit möglichst geringem Aufwand das notwendige Sicherheitsniveau zu definieren, umzusetzen und fortlaufend an die aktuellen Bedürfnisse sowie die Gefährdungslage anzupassen, ist es notwendig, eine entsprechende Organisation zu etablieren.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Text entwerfen, der auf NIS2 abgestimmt ist.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0"/>
          <w:numId w:val="0"/>
        </w:numPr>
        <w:tabs>
          <w:tab w:val="clear" w:pos="709"/>
          <w:tab w:val="left" w:pos="0" w:leader="none"/>
        </w:tabs>
        <w:bidi w:val="0"/>
        <w:ind w:hanging="0" w:start="0"/>
        <w:jc w:val="start"/>
        <w:rPr/>
      </w:pPr>
      <w:bookmarkStart w:id="26" w:name="__RefHeading___verantwortlichkeiten_12"/>
      <w:bookmarkStart w:id="27" w:name="verantwortlichkeiten"/>
      <w:bookmarkEnd w:id="26"/>
      <w:r>
        <w:rPr/>
        <w:t>4.1 Verantwortlichkeiten</w:t>
      </w:r>
      <w:bookmarkEnd w:id="2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Verantwortlichkeiten (siehe Abschnitte 4.2 bis 4.10) MÜSSEN eindeutig und widerspruchsfrei zugewiesen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28" w:name="__RefHeading___zuweisung_und_dokumentati"/>
      <w:bookmarkStart w:id="29" w:name="zuweisung_und_dokumentation"/>
      <w:bookmarkEnd w:id="28"/>
      <w:r>
        <w:rPr/>
        <w:t>4.1.1 Zuweisung und Dokumentation</w:t>
      </w:r>
      <w:bookmarkEnd w:id="2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für jede Verantwortlichkeit dokumentiert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welche Ziele erreicht werden sollen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für welche Ressourcen die Verantwortlichkeit besteht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Aufgaben erfüllt werden müssen, damit die Ziele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Berechtigungen an die Verantwortlichkeit gebunden sind, um diese wahrnehmen zu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welche Ressourcen für die Wahrnehmung der Verantwortlichkeit zur Verfügung stehen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wie und durch welche Position(en) die Erfüllung der Verantwortlichkeit überprüft wird</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welche Positionen die Verantwortlichkeit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0" w:name="__RefHeading___funktionstrennungen_14"/>
      <w:bookmarkStart w:id="31" w:name="funktionstrennungen"/>
      <w:bookmarkEnd w:id="30"/>
      <w:r>
        <w:rPr/>
        <w:t>4.1.2 Funktionstrennungen</w:t>
      </w:r>
      <w:bookmarkEnd w:id="3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bidi w:val="0"/>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Bei der Verteilung der Verantwortlichkeiten MUSS das Prinzip der Funktionstrennung umgesetzt werden. Widersprüchliche Verantwortlichkeiten DÜRFEN NICHT von ein und derselben Person oder Organisationseinheit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Wenn eine Funktionstrennung nicht oder nur mit einem unverhältnismäßig hohen Aufwand durchführbar ist, KÖNNEN widersprüchliche Verantwortlichkeiten von ein und derselben Person oder Organisationseinheit wahrgenommen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Fall MÜSSEN folgende Anforderungen erfüllt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Die rechtliche Zulässigkeit wurde geprüft.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Es werden andere Maßnahmen wie Überwachung von Tätigkeiten, Kontrollen oder Leitungsaufsicht umgesetzt.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nicht durchgeführte Funktionstrennung wird in der Dokumentation der Funktionsverteilung (siehe Abschnitt 4.1.1) besonders hervorgehoben und begründet.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Zuständigkeitslücken oder Überschneidungen von Verantwortlichkeiten zu vermeiden, MÜSSEN die entsprechenden Regelungen jährlich vom Informationssicherheitsbeauftragten (ISB) überprüft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2" w:name="__RefHeading___zeitliche_ressourcen_15"/>
      <w:bookmarkStart w:id="33" w:name="zeitliche_ressourcen"/>
      <w:bookmarkEnd w:id="32"/>
      <w:r>
        <w:rPr/>
        <w:t>4.1.3 Zeitliche Ressourcen</w:t>
      </w:r>
      <w:bookmarkEnd w:id="3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zugewiesene Verantwortlichkeiten wahrzunehmen, MÜSSEN die entsprechenden Mitarbeiter im erforderlichen Umfang (siehe Abschnitt 4.1.1) von anderen Tätigkeiten freigestellt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34" w:name="__RefHeading___delegieren_von_aufgaben_1"/>
      <w:bookmarkStart w:id="35" w:name="delegieren_von_aufgaben"/>
      <w:bookmarkEnd w:id="34"/>
      <w:r>
        <w:rPr/>
        <w:t>4.1.4 Delegieren von Aufgaben</w:t>
      </w:r>
      <w:bookmarkEnd w:id="3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Verantwortliche für Informationssicherheit KÖNNEN Aufgaben an andere Personen delegieren.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i/>
                <w:i/>
                <w:iCs/>
              </w:rPr>
            </w:pPr>
            <w:r>
              <w:rPr>
                <w:i/>
                <w:iCs/>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Verantwortung für delegierte Aufgaben verbleibt jedoch bei ihnen, sodass sie die Erfüllung und das Ergebnis der delegierten Aufgaben überprüfen MÜSSEN.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36" w:name="__RefHeading___topmanagement_17"/>
      <w:bookmarkStart w:id="37" w:name="topmanagement"/>
      <w:bookmarkEnd w:id="36"/>
      <w:r>
        <w:rPr/>
        <w:t>4.2 Topmanagement</w:t>
      </w:r>
      <w:bookmarkEnd w:id="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sich zur Wahrnehmung folgender Verantwortlichkeiten verpflichten: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Übernehmen der Gesamtverantwortung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 Kraft setzen von Richtlinien für die Informationssicherheit (IS-Richtlinien)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Bereitstellen der notwendigen technischen, finanziellen und personellen Ressourcen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Einbetten der Informationssicherheit in die Strukturen, Hierarchien und Arbeitsabläufe der Organisation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38 Abschnitt 1</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Zusätzlich MUSS sich das Topmanagement dazu verpflichten, die </w:t>
            </w:r>
            <w:r>
              <w:rPr>
                <w:b w:val="false"/>
                <w:i w:val="false"/>
                <w:strike w:val="false"/>
                <w:dstrike w:val="false"/>
                <w:outline w:val="false"/>
                <w:shadow w:val="false"/>
                <w:sz w:val="20"/>
                <w:u w:val="none"/>
                <w:em w:val="none"/>
              </w:rPr>
              <w:t>Risikomanagementmaßnahmen im Bereich der Cybersicherheit zu billigen und ihre Umsetzung zu überwachen.</w:t>
            </w:r>
          </w:p>
        </w:tc>
      </w:tr>
    </w:tbl>
    <w:p>
      <w:pPr>
        <w:pStyle w:val="Heading2"/>
        <w:numPr>
          <w:ilvl w:val="0"/>
          <w:numId w:val="0"/>
        </w:numPr>
        <w:tabs>
          <w:tab w:val="clear" w:pos="709"/>
          <w:tab w:val="left" w:pos="0" w:leader="none"/>
        </w:tabs>
        <w:bidi w:val="0"/>
        <w:ind w:hanging="0" w:start="0"/>
        <w:jc w:val="start"/>
        <w:rPr/>
      </w:pPr>
      <w:bookmarkStart w:id="38" w:name="__RefHeading___informationssicherheitsbe"/>
      <w:bookmarkStart w:id="39" w:name="informationssicherheitsbeauftragter_isb"/>
      <w:bookmarkEnd w:id="38"/>
      <w:r>
        <w:rPr/>
        <w:t>4.3 Informationssicherheitsbeauftragter (ISB)</w:t>
      </w:r>
      <w:bookmarkEnd w:id="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Verantwortlichkeiten eines Informationssicherheitsbeauftragten (ISB) einem Mitarbeiter zuweisen.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Dieser MUSS darauf hinwirken, dass die in der Leitlinie zur Informationssicherheit (IS-Leitlinie) definierten Ziele der Informationssicherheit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MUSS er insbesondere die folgenden Verantwortlichkeiten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Steuern, Koordinieren und Prüfen der technischen und organisatorischen Maßnahmen, kontinuierliches Verbessern der Informationssicherheit, insbesondere Anpassen der Informationssicherheit an neue Bedrohungen, Änderungen im technischen und organisatorischen Umfeld und an neue gesetzliche, betriebliche und vertragliche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Änderung in der VdS 10000: Risikomanagement erwähnen bzw. stärken! Aufbau verbessern.</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jährliches Berichten an das Informationssicherheitsteam (IST) über den aktuellen Stand der Informationssicherheit, insbesondere über Mängel, Risiken und Sicherheitsvorfälle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Änderung in der VdS 10000: Risikomanagement erwähnen bzw. stärken!</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 sichergestellt werden, dass die Verantwortlichkeiten des ISB auch in seiner Abwesenheit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KANN z. B. durch eine Stellvertreterregelung umgesetzt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0" w:name="__RefHeading___informationssicherheitste"/>
      <w:bookmarkStart w:id="41" w:name="informationssicherheitsteam_ist"/>
      <w:bookmarkEnd w:id="40"/>
      <w:r>
        <w:rPr/>
        <w:t>4.4 Informationssicherheitsteam (IST)</w:t>
      </w:r>
      <w:bookmarkEnd w:id="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ein Informationssicherheitsteam (IST) bestellen.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MÜSSEN folgende Organisationseinheiten bzw. Positionen persönlich oder durch einen Repräsentanten vertreten sein: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Topmanagement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ISB</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IT-Verantwortliche</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Mitarbeiter (z. B. über Betriebsrat)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Verantwortliche für den Datenschutz (z. B. Datenschutzmanager und/oder Datenschutzbeauftragter)</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Team MUSS den ISB unterstützen, insbesondere bei den folgenden Tätigkeiten: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Erkennen und Bewerten neuer Bedrohungen und Schwachstellen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Entwickeln und Bewerten von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organisationsweites Steuern und Koordinieren der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2" w:name="__RefHeading___it-verantwortliche_20"/>
      <w:bookmarkStart w:id="43" w:name="it-verantwortliche"/>
      <w:bookmarkEnd w:id="42"/>
      <w:r>
        <w:rPr/>
        <w:t>4.5 IT-Verantwortliche</w:t>
      </w:r>
      <w:bookmarkEnd w:id="4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Aufgaben eines IT-Verantwortlichen MÜSSEN vom Topmanagement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IT-Verantwortliche MÜSSEN folgende Aufgaben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Umsetzen der IS-Richtlinien in ihrem Verantwortungsbereich durch entsprechende technische und organisatorische Maßnahmen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Abstimmen aller Maßnahmen mit dem ISB, die aus ihrer Sicht zur Verbesserung und Erhaltung der Informationssicherheit in ihrem Verantwortungsbereich ergriffen werden müssen sowie deren Planung, Koordination und Umsetzung</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4" w:name="__RefHeading___administratoren_21"/>
      <w:bookmarkStart w:id="45" w:name="administratoren"/>
      <w:bookmarkEnd w:id="44"/>
      <w:r>
        <w:rPr/>
        <w:t>4.6 Administratoren</w:t>
      </w:r>
      <w:bookmarkEnd w:id="4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Verantwortlichkeiten eines Administrators MÜSSEN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Administratoren MÜSSEN in Abstimmung mit dem IT-Verantwortlichen die technischen Maßnahmen für die Informationssicherheit implementieren.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6" w:name="__RefHeading___vorgesetzte_22"/>
      <w:bookmarkStart w:id="47" w:name="vorgesetzte"/>
      <w:bookmarkEnd w:id="46"/>
      <w:r>
        <w:rPr/>
        <w:t>4.7 Vorgesetzte</w:t>
      </w:r>
      <w:bookmarkEnd w:id="4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Vorgesetzte, die Verantwortung für Mitarbeiter tragen, MÜSSEN sicherstellen, dass die getroffenen technischen und organisatorischen Maßnahmen zur Informationssicherheit in Bezug auf die ihnen unterstellten Mitarbeiter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48" w:name="__RefHeading___mitarbeiter_23"/>
      <w:bookmarkStart w:id="49" w:name="mitarbeiter"/>
      <w:bookmarkEnd w:id="48"/>
      <w:r>
        <w:rPr/>
        <w:t>4.8 Mitarbeiter</w:t>
      </w:r>
      <w:bookmarkEnd w:id="4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Mitarbeiter MÜSSEN folgende Aufgaben wahrnehmen: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Einhalten und Umsetzen aller sie oder ihre Tätigkeit betreffenden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Melden von Störungen, Ausfällen und Sicherheitsvorfällen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0" w:name="__RefHeading___projektverantwortliche_24"/>
      <w:bookmarkStart w:id="51" w:name="projektverantwortliche"/>
      <w:bookmarkEnd w:id="50"/>
      <w:r>
        <w:rPr/>
        <w:t>4.9 Projektverantwortliche</w:t>
      </w:r>
      <w:bookmarkEnd w:id="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Projektverantwortliche MÜSSEN den ISB bei allen Projekten mit Auswirkung auf die Informationsverarbeitung konsultieren, um sicherzustellen, dass sicherheitsrelevante Aspekte ausreichend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2" w:name="__RefHeading___externe_25"/>
      <w:bookmarkStart w:id="53" w:name="externe"/>
      <w:bookmarkEnd w:id="52"/>
      <w:r>
        <w:rPr/>
        <w:t>4.10 Externe</w:t>
      </w:r>
      <w:bookmarkEnd w:id="5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MÜSSEN verpflichtet werden, die sie betreffenden Maßnahmen und Regelungen zur Informationssicherheit einzuhalten bzw. umzusetzen, sofern sie Zugriff auf kritische Informationen besitzen oder sie nichtöffentliche Bereiche der Informationstechnologie (IT) der Organisation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1"/>
        <w:numPr>
          <w:ilvl w:val="0"/>
          <w:numId w:val="0"/>
        </w:numPr>
        <w:tabs>
          <w:tab w:val="clear" w:pos="709"/>
          <w:tab w:val="left" w:pos="0" w:leader="none"/>
        </w:tabs>
        <w:bidi w:val="0"/>
        <w:ind w:hanging="0" w:start="0"/>
        <w:jc w:val="start"/>
        <w:rPr/>
      </w:pPr>
      <w:bookmarkStart w:id="54" w:name="__RefHeading___leitlinie_zur_information"/>
      <w:bookmarkStart w:id="55" w:name="leitlinie_zur_informationssicherheit_is-"/>
      <w:bookmarkEnd w:id="54"/>
      <w:r>
        <w:rPr/>
        <w:t>5 Leitlinie zur Informationssicherheit (IS-Leitlinie)</w:t>
      </w:r>
      <w:bookmarkEnd w:id="5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r>
    </w:tbl>
    <w:p>
      <w:pPr>
        <w:pStyle w:val="Heading2"/>
        <w:numPr>
          <w:ilvl w:val="0"/>
          <w:numId w:val="0"/>
        </w:numPr>
        <w:tabs>
          <w:tab w:val="clear" w:pos="709"/>
          <w:tab w:val="left" w:pos="0" w:leader="none"/>
        </w:tabs>
        <w:bidi w:val="0"/>
        <w:ind w:hanging="0" w:start="0"/>
        <w:jc w:val="start"/>
        <w:rPr/>
      </w:pPr>
      <w:bookmarkStart w:id="56" w:name="__RefHeading___allgemeine_anforderungen_"/>
      <w:bookmarkStart w:id="57" w:name="allgemeine_anforderungen"/>
      <w:bookmarkEnd w:id="56"/>
      <w:r>
        <w:rPr/>
        <w:t>5.1 Allgemeine Anforderungen</w:t>
      </w:r>
      <w:bookmarkEnd w:id="5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vom Topmanagement erstellt und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Leitlinie jährlich auf Aktualität prüfen und bei Bedarf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nach jeder Aktualisierung zeitnah bekannt gegeben werden und in der jeweils aktuellen Form allen Betroffenen zur Verfügung 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8" w:name="__RefHeading___inhalte_28"/>
      <w:bookmarkStart w:id="59" w:name="inhalte"/>
      <w:bookmarkEnd w:id="58"/>
      <w:r>
        <w:rPr/>
        <w:t>5.2 Inhalte</w:t>
      </w:r>
      <w:bookmarkEnd w:id="59"/>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6" name="0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 Copy 1 Copy 1" descr="" title=""/>
                          <pic:cNvPicPr>
                            <a:picLocks noChangeAspect="1" noChangeArrowheads="1"/>
                          </pic:cNvPicPr>
                        </pic:nvPicPr>
                        <pic:blipFill>
                          <a:blip r:embed="rId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t>Wenn Abschnitte 4.2 bis 4.10 verpflichtend werden, kann dieser Abschnitt auf eine Formulierung (</w:t>
            </w:r>
            <w:r>
              <w:rPr>
                <w:rFonts w:eastAsia="Bitstream Vera Sans" w:cs="Bitstream Vera Sans"/>
                <w:color w:val="auto"/>
                <w:sz w:val="20"/>
                <w:szCs w:val="24"/>
                <w:lang w:val="de-DE" w:eastAsia="en-US" w:bidi="en-US"/>
              </w:rPr>
              <w:t>„Dieser Abschnitt MUSS gemäß der VdS 10000 umgesetzt werden.“) reduziert werden.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1:1 VdS 10k</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definiert die Ziele und den Stellenwert der Informationssicherheit in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Anforderungen der VdS 10k plus Umsetzung von NIS2 als Ziel.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definiert die Ziele und den Stellenwert der Informationssicherheit in der Organisation, insbesondere die Umsetzung der EU-Richtlinie NIS2.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definiert sämtliche erforderlichen Positionen (siehe Abschnitte 4.2 bis 4.10) und weist auf deren Aufgaben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Angepasst, da nicht alle Verantwortlichkeiten von VdS 10000 in der VdS 10100 benötigt werden</w:t>
            </w:r>
          </w:p>
          <w:p>
            <w:pPr>
              <w:pStyle w:val="TableContents"/>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definiert sämtliche erforderlichen Positionen für die Umsetzung dieser Ziele und weist auf deren Aufgaben hin.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Leitlinie SOLLTE auf die Konsequenzen ihrer Nichtbeachtung hinweisen.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Leitlinie SOLLTE auf die Konsequenzen ihrer Nichtbeachtung hinweisen.</w:t>
            </w:r>
          </w:p>
        </w:tc>
      </w:tr>
    </w:tbl>
    <w:p>
      <w:pPr>
        <w:pStyle w:val="Heading1"/>
        <w:numPr>
          <w:ilvl w:val="0"/>
          <w:numId w:val="0"/>
        </w:numPr>
        <w:tabs>
          <w:tab w:val="clear" w:pos="709"/>
          <w:tab w:val="left" w:pos="0" w:leader="none"/>
        </w:tabs>
        <w:bidi w:val="0"/>
        <w:ind w:hanging="0" w:start="0"/>
        <w:jc w:val="start"/>
        <w:rPr/>
      </w:pPr>
      <w:bookmarkStart w:id="60" w:name="__RefHeading___richtlinien_zur_informati"/>
      <w:bookmarkStart w:id="61" w:name="richtlinien_zur_informationssicherheit_i"/>
      <w:bookmarkEnd w:id="60"/>
      <w:r>
        <w:rPr/>
        <w:t>6 Richtlinien zur Informationssicherheit (IS-Richtlinien)</w:t>
      </w:r>
      <w:bookmarkEnd w:id="6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basiert auf Risikomanagement (RM). Die im Zuge des RM erkannten organisatorischen Maßnahmen können/sollten/müssen in Richtlinien oder Verfahren verankert werden. Dies sollte bei der Formulierung dieser Anforderung berücksichtigt werden.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2"/>
        <w:numPr>
          <w:ilvl w:val="0"/>
          <w:numId w:val="0"/>
        </w:numPr>
        <w:tabs>
          <w:tab w:val="clear" w:pos="709"/>
          <w:tab w:val="left" w:pos="0" w:leader="none"/>
        </w:tabs>
        <w:bidi w:val="0"/>
        <w:ind w:hanging="0" w:start="0"/>
        <w:jc w:val="start"/>
        <w:rPr/>
      </w:pPr>
      <w:bookmarkStart w:id="62" w:name="__RefHeading___allgemeine_anforderungen1"/>
      <w:bookmarkStart w:id="63" w:name="allgemeine_anforderungen1"/>
      <w:bookmarkEnd w:id="62"/>
      <w:r>
        <w:rPr/>
        <w:t>6.1 Allgemeine Anforderungen</w:t>
      </w:r>
      <w:bookmarkEnd w:id="6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vom ISB unter Mitarbeit des IST erstellt und vom Topmanagement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ISB MUSS jede IS-Richtlinie jährlich auf Aktualität prüfen und ggf.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Bei der Erstellung und Anpassung von IS-Richtlinien SOLLTEN alle gesetzlichen, behördlichen und vertraglichen Anforderungen ermittelt und entsprechend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IS-Richtlinien MÜSSEN nach jeder Aktualisierung den Zielgruppen zeitnah bekannt 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 MUSS in einer für die Zielgruppe zugänglichen und verständlichen Form geschehen, bspw. im Zuge einer Schulung.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IS-Richtlinien MÜSSEN umgesetzt oder vom Topmanagement aufgehoben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64" w:name="__RefHeading___inhalte_31"/>
      <w:bookmarkStart w:id="65" w:name="inhalte1"/>
      <w:bookmarkEnd w:id="64"/>
      <w:r>
        <w:rPr/>
        <w:t>6.2 Inhalte</w:t>
      </w:r>
      <w:bookmarkEnd w:id="6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für wen sie verbindlich ist (Zielgruppe).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sie erstellt wurde und legt fest, was mit ihr erreicht werden soll.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verstößt nicht gegen Leitlinien oder andere Richtlinien.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weist auf die Konsequenzen ihrer Nichtbeachtung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begründete Ausnahmen ermöglichen, sofern diese im Vorfeld genehmigt und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auf weitere mitgeltende Unterlagen verweisen.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1"/>
        </w:numPr>
        <w:tabs>
          <w:tab w:val="clear" w:pos="709"/>
          <w:tab w:val="left" w:pos="0" w:leader="none"/>
        </w:tabs>
        <w:bidi w:val="0"/>
        <w:ind w:hanging="0" w:start="0"/>
        <w:jc w:val="start"/>
        <w:rPr/>
      </w:pPr>
      <w:bookmarkStart w:id="66" w:name="__RefHeading___regelungen_fuer_nutzer_32"/>
      <w:bookmarkStart w:id="67" w:name="regelungen_fuer_nutzer"/>
      <w:bookmarkEnd w:id="66"/>
      <w:r>
        <w:rPr/>
        <w:t>6.3 Regelungen für Nutzer</w:t>
      </w:r>
      <w:bookmarkEnd w:id="6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Regelungen für den Umgang mit der IT getroffen werden, die in ihrer Gesamtheit für alle Nutzer (inkl. aller Führungsebenen) sowie für die gesamte IT verbindlich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Generelle Nutzungsbedingungen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Das unrechtmäßige Abrufen oder Verbreiten von urheberrechtlich geschützten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Das Abrufen oder Verbreiten von strafrechtlich relevanten oder sittenwidrigen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Privatnutzung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wird definiert, ob die private Nutzung der IT erlaubt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Wenn die private Nutzung der IT erlaubt ist, so wird sie im Sinne der Organisation ausgestaltet.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Grundlegende Verhaltensregeln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wird nur freigegebene Hard- und Software in der IT-Infrastruktur installiert, genutzt oder betrieben.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Es wird untersagt, eigenmächtig Netzübergänge (wie z. B. Zugänge zum Internet, Fernwartungszugänge oder VPN-Verbindungen) zu installieren; es werden ausschließlich die von der Organisation bereitgestellten Netzübergänge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G1.3.c</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in der IT-Infrastruktur installierten Sicherheitseinrichtungen werden nicht eigenmächtig deinstalliert, deaktiviert oder in ihrer Konfiguration verändert bzw. mutwillig umgangen.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G1.3.d</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Authentifizierungsmerkmale werden nicht weitergegeben.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Umgang mit den Informationen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Informationen der Organisation werden nicht eigenmächtig verschlüsselt oder vor lesendem Zugriff geschützt; hierfür werden die von der Organisation explizit freigegebenen technischen Verfahren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Informationsfluss bei Abwesenheit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wird geregelt, ob neu eintreffende Nachrichten für einen abwesenden Nutzer weitergeleitet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Es wird geregelt, ob und wann auf den Datenbestand eines Abwesenden zugegriffen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Missbrauchskontrolle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werden Mechanismen zur Missbrauchskontrolle definiert und den Betroffenen mitgeteilt.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Umsetzung von Überwachungs- und Protokollierungsmaßnahmen SOLLTEN die gesetzlichen Vorgaben, insbesondere die des Datenschutzes,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Ausnahmen MÜSSEN vom ISB genehmigt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68" w:name="__RefHeading___weitere_regelungen_38"/>
      <w:bookmarkStart w:id="69" w:name="weitere_regelungen"/>
      <w:bookmarkEnd w:id="68"/>
      <w:r>
        <w:rPr/>
        <w:t>6.4 Weitere Regelungen</w:t>
      </w:r>
      <w:bookmarkEnd w:id="6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Rahmen dieser VdS-Richtlinien MÜSSEN ggf. weitere themenspezifische IS-Richtlinien erarbeitet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Mobile IT-Systeme (siehe Abschnitt 10.4)</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Mobile Datenträger (siehe Abschnitt 12.1)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IT-Outsourcing und Cloud Computing (siehe Abschnitt 14.1)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Datensicherung (siehe Abschnitt 16.1)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Störungen und Ausfälle (siehe Abschnitt 17.1)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Sicherheitsvorfälle (siehe Abschnitt 18.1)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Bedarf für weitere IS-Richtlinien MUSS jährlich vom ISB ermittelt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1"/>
        <w:numPr>
          <w:ilvl w:val="0"/>
          <w:numId w:val="1"/>
        </w:numPr>
        <w:tabs>
          <w:tab w:val="clear" w:pos="709"/>
          <w:tab w:val="left" w:pos="0" w:leader="none"/>
        </w:tabs>
        <w:bidi w:val="0"/>
        <w:ind w:hanging="0" w:start="0"/>
        <w:jc w:val="start"/>
        <w:rPr/>
      </w:pPr>
      <w:bookmarkStart w:id="70" w:name="__RefHeading___mitarbeiter_39"/>
      <w:bookmarkStart w:id="71" w:name="mitarbeiter1"/>
      <w:bookmarkEnd w:id="70"/>
      <w:r>
        <w:rPr/>
        <w:t>7 Mitarbeiter</w:t>
      </w:r>
      <w:bookmarkEnd w:id="7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72" w:name="__RefHeading___vor_aufnahme_der_taetigke"/>
      <w:bookmarkStart w:id="73" w:name="vor_aufnahme_der_taetigkeit"/>
      <w:bookmarkEnd w:id="72"/>
      <w:r>
        <w:rPr/>
        <w:t>7.1 Vor Aufnahme der Tätigkeit</w:t>
      </w:r>
      <w:bookmarkEnd w:id="7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74" w:name="__RefHeading___aufnahme_der_taetigkeit_4"/>
      <w:bookmarkStart w:id="75" w:name="aufnahme_der_taetigkeit"/>
      <w:bookmarkEnd w:id="74"/>
      <w:r>
        <w:rPr/>
        <w:t>7.2 Aufnahme der Tätigkeit</w:t>
      </w:r>
      <w:bookmarkEnd w:id="7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im Zuge der Aufnahme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Mitarbeiter werden im Umgang mit den für sie relevanten Sicherheitsmaßnahmen geschult (siehe Abschnitt 8.2).</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Mitarbeiter erhalten die benötigten IT-Ressourcen, Zugänge und Zugriffsrechte und werden in deren Nutzung geschult.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76" w:name="__RefHeading___beendigung_oder_wechsel_d"/>
      <w:bookmarkStart w:id="77" w:name="beendigung_oder_wechsel_der_taetigkeit"/>
      <w:bookmarkEnd w:id="76"/>
      <w:r>
        <w:rPr/>
        <w:t>7.3 Beendigung oder Wechsel der Tätigkeit</w:t>
      </w:r>
      <w:bookmarkEnd w:id="7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 Beendigung oder Wechsel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Soweit erforderlich, werden Mitarbeiter, Kunden sowie relevante externe Stellen über die Änderungen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zur Verfügung gestellten IT-Ressourcen, Zugänge und Zugriffsrechte des Mitarbeiters werden umgehend überprüft und bei Bedarf angepasst.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1"/>
        <w:numPr>
          <w:ilvl w:val="0"/>
          <w:numId w:val="1"/>
        </w:numPr>
        <w:tabs>
          <w:tab w:val="clear" w:pos="709"/>
          <w:tab w:val="left" w:pos="0" w:leader="none"/>
        </w:tabs>
        <w:bidi w:val="0"/>
        <w:ind w:hanging="0" w:start="0"/>
        <w:jc w:val="start"/>
        <w:rPr/>
      </w:pPr>
      <w:bookmarkStart w:id="78" w:name="__RefHeading___wissen_43"/>
      <w:bookmarkStart w:id="79" w:name="wissen"/>
      <w:bookmarkEnd w:id="78"/>
      <w:r>
        <w:rPr/>
        <w:t>8 Wissen</w:t>
      </w:r>
      <w:bookmarkEnd w:id="7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Viele Gefährdungen entstehen aus Unkenntnis oder mangelndem Problembewusstsein oder werden zumindest durch diese Faktoren verstärkt. Deshalb ist es notwendig, dass die Organisation über aktuelles Wissen in Bezug auf Informationssicherheit verfügt, die Mitarbeiter ihre Verantwortlichkeiten verstehen und für ihre Aufgaben geeignet und qualifiziert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 an NIS2.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80" w:name="__RefHeading___aktualitaet_des_wissens_4"/>
      <w:bookmarkStart w:id="81" w:name="aktualitaet_des_wissens"/>
      <w:bookmarkEnd w:id="80"/>
      <w:r>
        <w:rPr/>
        <w:t>8.1 Aktualität des Wissens</w:t>
      </w:r>
      <w:bookmarkEnd w:id="8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ein Verfahren (siehe Anhang A 1) implementiert werden, mit dem alle relevanten Stellen der Organisation sowie ggf. relevante externe Stellen in geeigneter Weise über geänderte rechtliche und technische Bedingungen im Bereich der Informationssicherheit informiert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1:1 übernehmen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Verfahren MUSS folgende Punkte sicherstellen: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Es werden regelmäßig aus verlässlichen Quellen Informationen über die aktuellen technischen und rechtlichen Entwicklungen im Bereich der Informationssicherheit, insbesondere über neue Gefährdungen und mögliche Gegenmaßnahmen, bezogen.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Die Informationen werden im Hinblick auf die Bedeutung für die Informationssicherheit zeitnah ausgewertet, um geänderte Gefahrenlagen zu erkennen.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jeweils Verantwortlichen werden über relevante Entwicklungen zeitnah informiert.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SOLLTEN Kontakte und Verbindungen zu Interessengruppen und Sicherheitsforen gepflegt werden, damit die Verantwortlichen auf dem aktuellen Wissensstand sind und auf Fachinformationen und -beratung zugreifen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§5 BSIG § 5 (Allgemeine Meldestelle für die Sicherheit in der Informationstechnik), Abs. 3</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Zusätzlich SOLLTE das entsprechende Verfahren sicherstellen, dass die Organisation Warnungen, Empfehlungen und Hinweise des BSI erhält und auswertet.</w:t>
            </w:r>
          </w:p>
        </w:tc>
      </w:tr>
    </w:tbl>
    <w:p>
      <w:pPr>
        <w:pStyle w:val="Heading2"/>
        <w:numPr>
          <w:ilvl w:val="1"/>
          <w:numId w:val="1"/>
        </w:numPr>
        <w:tabs>
          <w:tab w:val="clear" w:pos="709"/>
          <w:tab w:val="left" w:pos="0" w:leader="none"/>
        </w:tabs>
        <w:bidi w:val="0"/>
        <w:ind w:hanging="0" w:start="0"/>
        <w:jc w:val="start"/>
        <w:rPr/>
      </w:pPr>
      <w:bookmarkStart w:id="82" w:name="__RefHeading___schulung_und_sensibilisie"/>
      <w:bookmarkStart w:id="83" w:name="schulung_und_sensibilisierung"/>
      <w:bookmarkEnd w:id="82"/>
      <w:r>
        <w:rPr/>
        <w:t>8.2 Schulung und Sensibilisierung</w:t>
      </w:r>
      <w:bookmarkEnd w:id="8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Schulungs- und Sensibilisierungsmaßnahmen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werden regelmäßig sowie bei Bedarf durchgeführt.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Ihre Art und ihr Intervall werden zielgruppenorientiert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rPr/>
            </w:pPr>
            <w:r>
              <w:rPr/>
              <w:t>VdS 10000: „Störungen, Ausfällen und</w:t>
            </w:r>
            <w:r>
              <w:rPr>
                <w:rFonts w:eastAsia="Bitstream Vera Sans" w:cs="Bitstream Vera Sans"/>
                <w:color w:val="auto"/>
                <w:kern w:val="0"/>
                <w:sz w:val="20"/>
                <w:szCs w:val="24"/>
                <w:lang w:val="de-DE" w:eastAsia="en-US" w:bidi="en-US"/>
              </w:rPr>
              <w:t>“ streichen, da wir die entsprechenden Kapitel zusammengelegt haben.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in der VdS 10000: </w:t>
            </w:r>
            <w:r>
              <w:rPr>
                <w:rFonts w:eastAsia="Bitstream Vera Sans" w:cs="Bitstream Vera Sans"/>
                <w:color w:val="auto"/>
                <w:kern w:val="0"/>
                <w:sz w:val="20"/>
                <w:szCs w:val="24"/>
                <w:lang w:val="de-DE" w:eastAsia="en-US" w:bidi="en-US"/>
              </w:rPr>
              <w:t>„... technischen und organisatorischen Sicherheitsmaßnahmen...“ um zu verdeutlichen, dass die im RM identifizierten Maßnahmen gemeint sind</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Ihre Inhalte und die Teilnahme an ihnen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von den Teilnehmern bewertet werden, um ihren Inhalt, ihre Form und ihren Ablauf zu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restart"/>
            <w:tcBorders>
              <w:start w:val="single" w:sz="2" w:space="0" w:color="000000"/>
              <w:bottom w:val="single" w:sz="2" w:space="0" w:color="000000"/>
              <w:end w:val="single" w:sz="2" w:space="0" w:color="000000"/>
            </w:tcBorders>
          </w:tcPr>
          <w:p>
            <w:pPr>
              <w:pStyle w:val="TableContents"/>
              <w:bidi w:val="0"/>
              <w:jc w:val="start"/>
              <w:rPr/>
            </w:pPr>
            <w:r>
              <w:rPr/>
              <w:t>§ 38</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Das Verfahren für Schulungs- und Sensibilisierungsmaßnahmen MUSS sicherstellen, dass das Topmanagement regelmäßig an Schulungen teilnimmt.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Die Schulungen für das Topmanagement MÜSSEN Wissen und Fähigkeiten vermitteln, das Risikomanagement zu verstehen und bewerten zu können, insbesondere:</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der Aufbau des Risikomanagements</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Vorgehensweise für das Erkennen, Bewerten und Behandeln von Risiken</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Abhängigkeit der erbrachten Dienste von der Informationsverarbeitung und</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Auswirkung von Risiken auf die erbrachten Dienste</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Die Schulungen SOLLTEN weiteren Zielgruppen angeboten werden, insbesondere dem ISB, Mitgliedern des IST, den IT-Verantwortlichen und den Administratoren.</w:t>
            </w:r>
          </w:p>
        </w:tc>
      </w:tr>
    </w:tbl>
    <w:p>
      <w:pPr>
        <w:pStyle w:val="Normal"/>
        <w:numPr>
          <w:ilvl w:val="0"/>
          <w:numId w:val="1"/>
        </w:numPr>
        <w:tabs>
          <w:tab w:val="clear" w:pos="709"/>
          <w:tab w:val="left" w:pos="0" w:leader="none"/>
        </w:tabs>
        <w:bidi w:val="0"/>
        <w:ind w:hanging="0" w:start="0"/>
        <w:jc w:val="start"/>
        <w:rPr/>
      </w:pPr>
      <w:r>
        <w:rPr/>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7" name="0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 Copy 1 Copy 2 Copy 1" descr="" title=""/>
                          <pic:cNvPicPr>
                            <a:picLocks noChangeAspect="1" noChangeArrowheads="1"/>
                          </pic:cNvPicPr>
                        </pic:nvPicPr>
                        <pic:blipFill>
                          <a:blip r:embed="rId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pPr>
            <w:r>
              <w:rPr/>
              <w:t>Kapitel 9 muss überarbeitet und ggf. erweitert werden.</w:t>
            </w:r>
          </w:p>
          <w:p>
            <w:pPr>
              <w:pStyle w:val="Normal"/>
              <w:numPr>
                <w:ilvl w:val="0"/>
                <w:numId w:val="1"/>
              </w:numPr>
              <w:bidi w:val="0"/>
              <w:jc w:val="start"/>
              <w:rPr/>
            </w:pPr>
            <w:r>
              <w:rPr/>
              <w:t>- Ermitteln von informationstechnischen Systeme, Komponenten und Prozesse (haben wir bereits)</w:t>
            </w:r>
          </w:p>
          <w:p>
            <w:pPr>
              <w:pStyle w:val="Normal"/>
              <w:numPr>
                <w:ilvl w:val="0"/>
                <w:numId w:val="1"/>
              </w:numPr>
              <w:bidi w:val="0"/>
              <w:jc w:val="start"/>
              <w:rPr/>
            </w:pPr>
            <w:r>
              <w:rPr/>
              <w:t>- Informationen mit besonderen A</w:t>
            </w:r>
            <w:r>
              <w:rPr>
                <w:rFonts w:eastAsia="Bitstream Vera Sans" w:cs="Bitstream Vera Sans"/>
                <w:color w:val="auto"/>
                <w:kern w:val="0"/>
                <w:sz w:val="20"/>
                <w:szCs w:val="24"/>
                <w:lang w:val="de-DE" w:eastAsia="en-US" w:bidi="en-US"/>
              </w:rPr>
              <w:t>n</w:t>
            </w:r>
            <w:r>
              <w:rPr/>
              <w:t>forderungen an die Vertraulichkeit (</w:t>
            </w:r>
            <w:r>
              <w:rPr>
                <w:rFonts w:eastAsia="Bitstream Vera Sans" w:cs="Bitstream Vera Sans"/>
                <w:color w:val="auto"/>
                <w:kern w:val="0"/>
                <w:sz w:val="20"/>
                <w:szCs w:val="24"/>
                <w:lang w:val="de-DE" w:eastAsia="en-US" w:bidi="en-US"/>
              </w:rPr>
              <w:t>→</w:t>
            </w:r>
            <w:r>
              <w:rPr/>
              <w:t xml:space="preserve"> Kryptografie)</w:t>
            </w:r>
          </w:p>
          <w:p>
            <w:pPr>
              <w:pStyle w:val="Normal"/>
              <w:numPr>
                <w:ilvl w:val="0"/>
                <w:numId w:val="1"/>
              </w:numPr>
              <w:bidi w:val="0"/>
              <w:jc w:val="start"/>
              <w:rPr/>
            </w:pPr>
            <w:r>
              <w:rPr/>
              <w:t>- Informationen mit besonderen A</w:t>
            </w:r>
            <w:r>
              <w:rPr>
                <w:rFonts w:eastAsia="Bitstream Vera Sans" w:cs="Bitstream Vera Sans"/>
                <w:color w:val="auto"/>
                <w:kern w:val="0"/>
                <w:sz w:val="20"/>
                <w:szCs w:val="24"/>
                <w:lang w:val="de-DE" w:eastAsia="en-US" w:bidi="en-US"/>
              </w:rPr>
              <w:t>n</w:t>
            </w:r>
            <w:r>
              <w:rPr/>
              <w:t>forderungen an die Integrität (</w:t>
            </w:r>
            <w:r>
              <w:rPr>
                <w:rFonts w:eastAsia="Bitstream Vera Sans" w:cs="Bitstream Vera Sans"/>
                <w:color w:val="auto"/>
                <w:kern w:val="0"/>
                <w:sz w:val="20"/>
                <w:szCs w:val="24"/>
                <w:lang w:val="de-DE" w:eastAsia="en-US" w:bidi="en-US"/>
              </w:rPr>
              <w:t>→</w:t>
            </w:r>
            <w:r>
              <w:rPr/>
              <w:t xml:space="preserve"> Kryptografie)</w:t>
            </w:r>
          </w:p>
          <w:p>
            <w:pPr>
              <w:pStyle w:val="Normal"/>
              <w:numPr>
                <w:ilvl w:val="0"/>
                <w:numId w:val="1"/>
              </w:numPr>
              <w:bidi w:val="0"/>
              <w:jc w:val="start"/>
              <w:rPr/>
            </w:pPr>
            <w:r>
              <w:rPr/>
              <w:t xml:space="preserve">- Ggf. Überschrift ändern in </w:t>
            </w:r>
            <w:r>
              <w:rPr>
                <w:rFonts w:eastAsia="Bitstream Vera Sans" w:cs="Bitstream Vera Sans"/>
                <w:color w:val="auto"/>
                <w:kern w:val="0"/>
                <w:sz w:val="20"/>
                <w:szCs w:val="24"/>
                <w:lang w:val="de-DE" w:eastAsia="en-US" w:bidi="en-US"/>
              </w:rPr>
              <w:t>„Kategorisieren der IT-Ressourcen“ o. ä.</w:t>
            </w:r>
          </w:p>
          <w:p>
            <w:pPr>
              <w:pStyle w:val="Normal"/>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IT-Ressourcen mit geringem Risiko identifizieren → Nein.</w:t>
            </w:r>
          </w:p>
          <w:p>
            <w:pPr>
              <w:pStyle w:val="Normal"/>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Begriff „kritisch“ ersetzen, sonst kollidieren wir mit KRITIS und den Begrifflichkeiten des BSI (kritisch → sensibel). Das sollten wir ggf. auch in der VdS 10000 machen...?!</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r>
    </w:tbl>
    <w:p>
      <w:pPr>
        <w:pStyle w:val="Heading1"/>
        <w:numPr>
          <w:ilvl w:val="0"/>
          <w:numId w:val="1"/>
        </w:numPr>
        <w:tabs>
          <w:tab w:val="clear" w:pos="709"/>
          <w:tab w:val="left" w:pos="0" w:leader="none"/>
        </w:tabs>
        <w:bidi w:val="0"/>
        <w:ind w:hanging="0" w:start="0"/>
        <w:jc w:val="start"/>
        <w:rPr/>
      </w:pPr>
      <w:bookmarkStart w:id="84" w:name="__RefHeading___identifizieren_kritischer"/>
      <w:bookmarkStart w:id="85" w:name="identifizieren_kritischer_it-ressourcen"/>
      <w:bookmarkEnd w:id="84"/>
      <w:r>
        <w:rPr/>
        <w:t xml:space="preserve">9 </w:t>
      </w:r>
      <w:bookmarkEnd w:id="85"/>
      <w:r>
        <w:rPr/>
        <w:t>Identifizieren wichtiger und besonders schützenswerter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Der ISB MUSS die kritischen IT-Ressourcen der Organisation ermitteln, jährlich prüfen, ob die Aufstellung der kritischen IT-Ressourcen aktuell ist und sie bei Bedarf anpassen.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wichtige und besonders schützenswerte</w:t>
            </w:r>
          </w:p>
          <w:p>
            <w:pPr>
              <w:pStyle w:val="TableContents"/>
              <w:bidi w:val="0"/>
              <w:jc w:val="start"/>
              <w:rPr/>
            </w:pPr>
            <w:r>
              <w:rPr/>
            </w:r>
          </w:p>
          <w:p>
            <w:pPr>
              <w:pStyle w:val="TableContents"/>
              <w:bidi w:val="0"/>
              <w:jc w:val="start"/>
              <w:rPr/>
            </w:pPr>
            <w:r>
              <w:rPr/>
              <w:t>ACHTUNG!</w:t>
            </w:r>
          </w:p>
          <w:p>
            <w:pPr>
              <w:pStyle w:val="TableContents"/>
              <w:bidi w:val="0"/>
              <w:jc w:val="start"/>
              <w:rPr/>
            </w:pPr>
            <w:r>
              <w:rPr/>
              <w:t>Der jährliche Rhythmus wird mittlerweile nicht mehr als ausreichend angesehen. Die Prüfung SOLLTE quartalsweise  erfolgen. (Hinweis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die wichtigen und die besonders schützenswerten IT-Ressourcen der Organisation 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FFFF70"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Idee, um </w:t>
            </w:r>
            <w:r>
              <w:rPr>
                <w:rFonts w:eastAsia="Bitstream Vera Sans" w:cs="Bitstream Vera Sans"/>
                <w:color w:val="auto"/>
                <w:kern w:val="0"/>
                <w:sz w:val="20"/>
                <w:szCs w:val="24"/>
                <w:lang w:val="de-DE" w:eastAsia="en-US" w:bidi="en-US"/>
              </w:rPr>
              <w:t>„Rolling Updates der kritischen IT-Infrastruktur gem. Abschnitt 10.2 zu ermöglichen (Vermeidung einer quartalsweisen Prüfung). Als SOLLTE in die VdS 10k aufnehmen?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kritischen IT-Ressourcen MUSS als Sicherheitsvorfall (siehe Kapitel 17)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86" w:name="__RefHeading___prozesse_47"/>
      <w:bookmarkStart w:id="87" w:name="prozesse"/>
      <w:bookmarkEnd w:id="86"/>
      <w:r>
        <w:rPr/>
        <w:t>9.1 Prozesse</w:t>
      </w:r>
      <w:bookmarkEnd w:id="8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Organisation MUSS ihre zentralen Prozesse und ihre Prozesse mit hohem Schadenspotential identifizieren und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zentralen Prozesse und ihre Prozesse mit hohem Schadenspotential identifizieren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eine kurze Beschreibung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der Prozess ein zentraler Prozess bzw. ein Prozess mit hohem Schadenspotential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der Prozess ein zentraler Prozess bzw. ein Prozess mit hohem Schadenspotential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enthält, wer für den Prozess verantwortlich ist (Prozessverantwortlicher).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wer für den Prozess verantwortlich ist (Prozessverantwortlicher).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enthält die maximal tolerierbare Ausfallzeit (MTA)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enthält die maximal tolerierbare Ausfallzeit (MTA)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Aufstellung der Prozesse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Prozesse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88" w:name="__RefHeading___prozesse_47_Copy_1"/>
      <w:bookmarkStart w:id="89" w:name="prozesse_Copy_1"/>
      <w:bookmarkEnd w:id="88"/>
      <w:r>
        <w:rPr/>
        <w:t xml:space="preserve">9.x </w:t>
      </w:r>
      <w:bookmarkEnd w:id="89"/>
      <w:r>
        <w:rPr/>
        <w:t>Wichtige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wichtigen IT-Ressourcen (insbesondere die wichtigen IT-Systeme, mobilen Datenträger, Verbindungen sowie die wichtige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Wichtige IT-Ressourcen sind IT-Ressourcen, die für den Betrieb von zentralen Prozessen oder für den Betrieb von Prozessen mit hohem Schadenspotential (siehe Abschnitt 9.1) unbedingt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Um wichtige IT-Ressourcen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wichtigen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die IT-Ressource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die maximal tolerierbare Ausfallzeit (MTA)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MTA MUSS ebenso kurz oder kürzer sein, als die kürzeste MTA aller zentralen Prozesse und Prozesse mit hohem Schadenspotential (siehe Abschnitt 9.1), die von der wichtigen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Bestimmung der MTA SOLLTEN Abhängigkeiten zwischen wichtigen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wichtigen IT-Ressourcen und deren Dokumentation MUSS vom IT-Verantwortlichen freigegeben werden.</w:t>
            </w:r>
          </w:p>
        </w:tc>
      </w:tr>
    </w:tbl>
    <w:p>
      <w:pPr>
        <w:pStyle w:val="Heading2"/>
        <w:numPr>
          <w:ilvl w:val="1"/>
          <w:numId w:val="1"/>
        </w:numPr>
        <w:tabs>
          <w:tab w:val="clear" w:pos="709"/>
          <w:tab w:val="left" w:pos="0" w:leader="none"/>
        </w:tabs>
        <w:bidi w:val="0"/>
        <w:ind w:hanging="0" w:start="0"/>
        <w:jc w:val="start"/>
        <w:rPr/>
      </w:pPr>
      <w:bookmarkStart w:id="90" w:name="__RefHeading___informationen_48"/>
      <w:bookmarkStart w:id="91" w:name="informationen"/>
      <w:bookmarkEnd w:id="90"/>
      <w:r>
        <w:rPr/>
        <w:t xml:space="preserve">9.2 </w:t>
      </w:r>
      <w:r>
        <w:rPr/>
        <w:t>B</w:t>
      </w:r>
      <w:r>
        <w:rPr>
          <w:rFonts w:eastAsia="Bitstream Vera Sans" w:cs="Bitstream Vera Sans"/>
          <w:b w:val="false"/>
          <w:bCs/>
          <w:color w:val="auto"/>
          <w:kern w:val="0"/>
          <w:sz w:val="28"/>
          <w:szCs w:val="36"/>
          <w:lang w:val="de-DE" w:eastAsia="en-US" w:bidi="en-US"/>
        </w:rPr>
        <w:t>esonders schützenswerte</w:t>
      </w:r>
      <w:r>
        <w:rPr/>
        <w:t xml:space="preserve"> Informationen</w:t>
      </w:r>
      <w:bookmarkEnd w:id="9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ermitteln, ob sie kritische Informationen verarbeitet, überträgt und/oder speichert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ermitteln, ob sie </w:t>
            </w:r>
            <w:r>
              <w:rPr>
                <w:rFonts w:eastAsia="Bitstream Vera Sans" w:cs="Bitstream Vera Sans"/>
                <w:color w:val="auto"/>
                <w:kern w:val="0"/>
                <w:sz w:val="20"/>
                <w:szCs w:val="24"/>
                <w:lang w:val="de-DE" w:eastAsia="en-US" w:bidi="en-US"/>
              </w:rPr>
              <w:t>besonders schützenswerte</w:t>
            </w:r>
            <w:r>
              <w:rPr/>
              <w:t xml:space="preserve"> Informationen verarbeitet, überträgt und/oder speichert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Kritische Informationen sind Informationen, bei denen folgende Faktoren zu katastrophalen Schäden 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w:t>
            </w:r>
            <w:r>
              <w:rPr>
                <w:rFonts w:eastAsia="Bitstream Vera Sans" w:cs="Bitstream Vera Sans"/>
                <w:color w:val="auto"/>
                <w:kern w:val="0"/>
                <w:sz w:val="20"/>
                <w:szCs w:val="24"/>
                <w:lang w:val="de-DE" w:eastAsia="en-US" w:bidi="en-US"/>
              </w:rPr>
              <w:t>esonders schützenswerte</w:t>
            </w:r>
            <w:r>
              <w:rPr/>
              <w:t xml:space="preserve"> Informationen sind Informationen, bei denen folgende Faktoren zu katastrophalen Schäden führen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unberechtigte Einsicht, Kenntnisnahme oder Weitergabe (Kriterium „Vertraulichkeit“)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unberechtigte Einsicht, Kenntnisnahme oder Weitergabe (Kriterium „Vertraulichkeit“)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Verfälschung (Kriterium „Integrität“)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Verfälschung (Kriterium „Integrität“)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Datenverlust von weniger als 24 Stunden (Kriterium „Maximal tolerierbarer Datenverlust – MTD“)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Datenverlust von weniger als 24 Stunden (Kriterium „Maximal tolerierbarer Datenverlust – MTD“)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Nichtverfügbarkeit im Echtzeitbetrieb (Kriterium „Unmittelbare Verfügbarkeit“)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Nichtverfügbarkeit im Echtzeitbetrieb (Kriterium „</w:t>
            </w:r>
            <w:r>
              <w:rPr/>
              <w:t>Zugesicherte</w:t>
            </w:r>
            <w:r>
              <w:rPr/>
              <w:t xml:space="preserve"> Verfügbarkeit“)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MÜSSEN die zentralen Prozesse und die Prozesse mit hohem Schadenspotential (siehe Abschnitt 9.1)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MÜSSEN die zentralen Prozesse und die Prozesse mit hohem Schadenspotential (siehe Abschnitt 9.1)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enthält die Kriterien, anhand derer die Informationen als kritisch eingestuft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Sie enthält die Kriterien, anhand derer die Informationen als </w:t>
            </w:r>
            <w:r>
              <w:rPr>
                <w:rFonts w:eastAsia="Bitstream Vera Sans" w:cs="Bitstream Vera Sans"/>
                <w:color w:val="auto"/>
                <w:kern w:val="0"/>
                <w:sz w:val="20"/>
                <w:szCs w:val="24"/>
                <w:lang w:val="de-DE" w:eastAsia="en-US" w:bidi="en-US"/>
              </w:rPr>
              <w:t>besonders schützenswert</w:t>
            </w:r>
            <w:r>
              <w:rPr/>
              <w:t xml:space="preserve"> eingestuft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Kritische Informationen SOLLTEN anhand ihrer qualitativen und quantitativen Merkmale beschrieben werden. Qualitative Merkmale definieren die Eigenschaften der kritischen Informationen. Quantitative Merkmale definieren, ab welcher Menge die Informationen mit den genannten Eigenschaften kritisch sind. Die Erfassung quantitativer und qualitativer Merkmale bietet die Möglichkeit, kritische Informationen zuverlässiger zu erfassen.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color w:val="auto"/>
                <w:kern w:val="0"/>
                <w:sz w:val="20"/>
                <w:szCs w:val="24"/>
                <w:lang w:val="de-DE" w:eastAsia="en-US" w:bidi="en-US"/>
              </w:rPr>
              <w:t>B</w:t>
            </w:r>
            <w:r>
              <w:rPr>
                <w:rStyle w:val="Emphasis"/>
                <w:rFonts w:eastAsia="Bitstream Vera Sans" w:cs="Bitstream Vera Sans"/>
                <w:i/>
                <w:iCs/>
                <w:color w:val="auto"/>
                <w:kern w:val="0"/>
                <w:sz w:val="20"/>
                <w:szCs w:val="24"/>
                <w:lang w:val="de-DE" w:eastAsia="en-US" w:bidi="en-US"/>
              </w:rPr>
              <w:t>esonders schützenswerte</w:t>
            </w:r>
            <w:r>
              <w:rPr>
                <w:rStyle w:val="Emphasis"/>
              </w:rPr>
              <w:t xml:space="preserve"> Informationen SOLLTEN anhand ihrer qualitativen und quantitativen Merkmale beschrieben werden. Qualitative Merkmale definieren die Eigenschaften der </w:t>
            </w:r>
            <w:r>
              <w:rPr>
                <w:rStyle w:val="Emphasis"/>
                <w:rFonts w:eastAsia="Bitstream Vera Sans" w:cs="Bitstream Vera Sans"/>
                <w:i/>
                <w:iCs/>
                <w:color w:val="auto"/>
                <w:kern w:val="0"/>
                <w:sz w:val="20"/>
                <w:szCs w:val="24"/>
                <w:lang w:val="de-DE" w:eastAsia="en-US" w:bidi="en-US"/>
              </w:rPr>
              <w:t>besonders schützenswerte</w:t>
            </w:r>
            <w:r>
              <w:rPr>
                <w:rStyle w:val="Emphasis"/>
                <w:rFonts w:eastAsia="Bitstream Vera Sans" w:cs="Bitstream Vera Sans"/>
                <w:i/>
                <w:iCs/>
                <w:color w:val="auto"/>
                <w:kern w:val="0"/>
                <w:sz w:val="20"/>
                <w:szCs w:val="24"/>
                <w:lang w:val="de-DE" w:eastAsia="en-US" w:bidi="en-US"/>
              </w:rPr>
              <w:t>n</w:t>
            </w:r>
            <w:r>
              <w:rPr>
                <w:rStyle w:val="Emphasis"/>
              </w:rPr>
              <w:t xml:space="preserve"> Informationen. Quantitative Merkmale definieren, ab welcher Menge Informationen mit den genannten Eigenschaften </w:t>
            </w:r>
            <w:r>
              <w:rPr>
                <w:rStyle w:val="Emphasis"/>
                <w:rFonts w:eastAsia="Bitstream Vera Sans" w:cs="Bitstream Vera Sans"/>
                <w:i/>
                <w:iCs/>
                <w:color w:val="auto"/>
                <w:kern w:val="0"/>
                <w:sz w:val="20"/>
                <w:szCs w:val="24"/>
                <w:lang w:val="de-DE" w:eastAsia="en-US" w:bidi="en-US"/>
              </w:rPr>
              <w:t>besonders schützenswert</w:t>
            </w:r>
            <w:r>
              <w:rPr>
                <w:rStyle w:val="Emphasis"/>
              </w:rPr>
              <w:t xml:space="preserve"> sind. Die Erfassung quantitativer und qualitativer Merkmale bietet die Möglichkeit, die entsprechenden Informationen zuverlässiger zu erfassen.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begründet, warum die Informationen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die Informationen </w:t>
            </w:r>
            <w:r>
              <w:rPr>
                <w:rFonts w:eastAsia="Bitstream Vera Sans" w:cs="Bitstream Vera Sans"/>
                <w:color w:val="auto"/>
                <w:kern w:val="0"/>
                <w:sz w:val="20"/>
                <w:szCs w:val="24"/>
                <w:lang w:val="de-DE" w:eastAsia="en-US" w:bidi="en-US"/>
              </w:rPr>
              <w:t>besonders schützenswert</w:t>
            </w:r>
            <w:r>
              <w:rPr/>
              <w:t xml:space="preserve">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Aufstellung der kritischen Informationen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Informationen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92" w:name="__RefHeading___it-ressourcen_49"/>
      <w:bookmarkStart w:id="93" w:name="it-ressourcen"/>
      <w:bookmarkEnd w:id="92"/>
      <w:r>
        <w:rPr/>
        <w:t>9.3 Besonders schützenswerte IT-Ressourcen</w:t>
      </w:r>
      <w:bookmarkEnd w:id="9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ihre kritischen IT-Ressourcen (insbesondere die kritischen IT-Systeme, mobilen Datenträger, Verbindungen sowie die kritische Individualsoftware) bestimmen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ihre </w:t>
            </w:r>
            <w:r>
              <w:rPr>
                <w:rFonts w:eastAsia="Bitstream Vera Sans" w:cs="Bitstream Vera Sans"/>
                <w:color w:val="auto"/>
                <w:kern w:val="0"/>
                <w:sz w:val="20"/>
                <w:szCs w:val="24"/>
                <w:lang w:val="de-DE" w:eastAsia="en-US" w:bidi="en-US"/>
              </w:rPr>
              <w:t>besonders schützenswerte</w:t>
            </w:r>
            <w:r>
              <w:rPr/>
              <w:t xml:space="preserve">n IT-Ressourcen (insbesondere die </w:t>
            </w:r>
            <w:r>
              <w:rPr>
                <w:rFonts w:eastAsia="Bitstream Vera Sans" w:cs="Bitstream Vera Sans"/>
                <w:color w:val="auto"/>
                <w:kern w:val="0"/>
                <w:sz w:val="20"/>
                <w:szCs w:val="24"/>
                <w:lang w:val="de-DE" w:eastAsia="en-US" w:bidi="en-US"/>
              </w:rPr>
              <w:t>besonders schützenswerte</w:t>
            </w:r>
            <w:r>
              <w:rPr/>
              <w:t xml:space="preserve">n IT-Systeme, mobilen Datenträger, Verbindungen sowie die </w:t>
            </w:r>
            <w:r>
              <w:rPr>
                <w:rFonts w:eastAsia="Bitstream Vera Sans" w:cs="Bitstream Vera Sans"/>
                <w:color w:val="auto"/>
                <w:kern w:val="0"/>
                <w:sz w:val="20"/>
                <w:szCs w:val="24"/>
                <w:lang w:val="de-DE" w:eastAsia="en-US" w:bidi="en-US"/>
              </w:rPr>
              <w:t>besonders schützenswerte</w:t>
            </w:r>
            <w:r>
              <w:rPr/>
              <w:t xml:space="preserv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Kritische IT-Ressourcen sind IT-Ressourcen, die kritische Informationen (siehe Abschnitt 9.2) verarbeiten, speichern oder übertragen oder die für den Betrieb von kritischen IT-Ressourcen zwingend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w:t>
            </w:r>
            <w:r>
              <w:rPr>
                <w:rFonts w:eastAsia="Bitstream Vera Sans" w:cs="Bitstream Vera Sans"/>
                <w:color w:val="auto"/>
                <w:kern w:val="0"/>
                <w:sz w:val="20"/>
                <w:szCs w:val="24"/>
                <w:lang w:val="de-DE" w:eastAsia="en-US" w:bidi="en-US"/>
              </w:rPr>
              <w:t>esonders schützenswerte</w:t>
            </w:r>
            <w:r>
              <w:rPr/>
              <w:t xml:space="preserve"> IT-Ressourcen sind IT-Ressourcen, die </w:t>
            </w:r>
            <w:r>
              <w:rPr>
                <w:rFonts w:eastAsia="Bitstream Vera Sans" w:cs="Bitstream Vera Sans"/>
                <w:color w:val="auto"/>
                <w:kern w:val="0"/>
                <w:sz w:val="20"/>
                <w:szCs w:val="24"/>
                <w:lang w:val="de-DE" w:eastAsia="en-US" w:bidi="en-US"/>
              </w:rPr>
              <w:t>besonders schützenswerte</w:t>
            </w:r>
            <w:r>
              <w:rPr/>
              <w:t xml:space="preserve"> Informationen (siehe Abschnitt 9.2) verarbeiten, speichern oder übertragen oder die für den Betrieb von </w:t>
            </w:r>
            <w:r>
              <w:rPr>
                <w:rFonts w:eastAsia="Bitstream Vera Sans" w:cs="Bitstream Vera Sans"/>
                <w:color w:val="auto"/>
                <w:kern w:val="0"/>
                <w:sz w:val="20"/>
                <w:szCs w:val="24"/>
                <w:lang w:val="de-DE" w:eastAsia="en-US" w:bidi="en-US"/>
              </w:rPr>
              <w:t>besonders schützenswerte</w:t>
            </w:r>
            <w:r>
              <w:rPr/>
              <w:t>n IT-Ressourcen zwingend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Hierfür MÜSSEN die kritischen Informationen (siehe Abschnitt 9.2)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r>
              <w:rPr>
                <w:rFonts w:eastAsia="Bitstream Vera Sans" w:cs="Bitstream Vera Sans"/>
                <w:color w:val="auto"/>
                <w:kern w:val="0"/>
                <w:sz w:val="20"/>
                <w:szCs w:val="24"/>
                <w:lang w:val="de-DE" w:eastAsia="en-US" w:bidi="en-US"/>
              </w:rPr>
              <w:t>besonders schützenswerte</w:t>
            </w:r>
            <w:r>
              <w:rPr/>
              <w:t>n Informationen (siehe Abschnitt 9.2)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Um IT-Ressourcen zu ermitteln, die kritische Informationen verarbeiten, speichern oder übertragen KANN ein Top-Down-Ansatz (prozessorientierte Sicht), ein Bottom-Up-Ansatz (systemorientierte Sicht) oder eine Mischung aus beiden verwendet werden. Bei Top-Down wird ermittelt, wo die kritischen Informationen verarbeitet, gespeichert und übertragen werden. Bei Bottom-Up hingegen werden die einzelnen Elemente der IT-Infrastruktur (insbesondere IT-Systeme, mobile Datenträger und Verbindungen) untersucht, ob sie kritische Informationen verarbeiten, speichern oder übertragen. Eine Mischung aus beiden Ansätzen bietet die Möglichkeit, die entsprechenden IT-Ressourcen zuverlässig zu identifizieren.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IT-Ressourcen zu ermitteln KANN ein Top-Down-Ansatz (prozessorientierte Sicht), ein Bottom-Up-Ansatz (systemorientierte Sicht) oder eine Mischung aus beiden verwendet werden. Bei Top-Down wird ermittelt, wo die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n Informationen verarbeitet, gespeichert und übertragen werden. Bei Bottom-Up hingegen werden die einzelnen Elemente der IT-Infrastruktur  untersucht, ob sie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Informationen verarbeiten, speichern oder übertragen.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Um IT-Ressourcen zu ermitteln, die für den Betrieb von kritischen IT-Ressourcen zwingend benötigt werden, KANN ebenfalls ein Top-Down-Ansatz, ein Bottom-Up-Ansatz oder eine Mischung aus beiden Ansätzen verwendet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IT-Ressourcen zu ermitteln, die für den Betrieb von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zwingend benötigt werden, KANN ebenfalls ein Top-Down-Ansatz, ein Bottom-Up-Ansatz oder eine Mischung aus beiden Ansätzen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enthält eine kurze Beschreibung der kritischen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Sie enthält eine kurze Beschreibung der </w:t>
            </w:r>
            <w:r>
              <w:rPr>
                <w:rFonts w:eastAsia="Bitstream Vera Sans" w:cs="Bitstream Vera Sans"/>
                <w:color w:val="auto"/>
                <w:kern w:val="0"/>
                <w:sz w:val="20"/>
                <w:szCs w:val="24"/>
                <w:lang w:val="de-DE" w:eastAsia="en-US" w:bidi="en-US"/>
              </w:rPr>
              <w:t>besonders schützenswerte</w:t>
            </w:r>
            <w:r>
              <w:rPr/>
              <w:t>n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begründet, warum die IT-Ressource kritisch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die IT-Ressource </w:t>
            </w:r>
            <w:r>
              <w:rPr>
                <w:rFonts w:eastAsia="Bitstream Vera Sans" w:cs="Bitstream Vera Sans"/>
                <w:color w:val="auto"/>
                <w:kern w:val="0"/>
                <w:sz w:val="20"/>
                <w:szCs w:val="24"/>
                <w:lang w:val="de-DE" w:eastAsia="en-US" w:bidi="en-US"/>
              </w:rPr>
              <w:t>besonders schützenswerte</w:t>
            </w:r>
            <w:r>
              <w:rPr/>
              <w:t xml:space="preserve">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enthält die maximal tolerierbare Ausfallzeit (MTA) der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die maximal tolerierbare Ausfallzeit (MTA)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widowControl w:val="false"/>
              <w:suppressAutoHyphens w:val="true"/>
              <w:overflowPunct w:val="false"/>
              <w:bidi w:val="0"/>
              <w:spacing w:before="0" w:after="0"/>
              <w:jc w:val="start"/>
              <w:rPr/>
            </w:pPr>
            <w:r>
              <w:rPr/>
              <w:t xml:space="preserve">Die MTA MUSS ebenso kurz oder kürzer sein, als die kürzeste MTA </w:t>
            </w:r>
            <w:r>
              <w:rPr>
                <w:rFonts w:eastAsia="Bitstream Vera Sans" w:cs="Bitstream Vera Sans"/>
                <w:color w:val="auto"/>
                <w:kern w:val="0"/>
                <w:sz w:val="20"/>
                <w:szCs w:val="24"/>
                <w:lang w:val="de-DE" w:eastAsia="en-US" w:bidi="en-US"/>
              </w:rPr>
              <w:t>aller</w:t>
            </w:r>
            <w:r>
              <w:rPr/>
              <w:t xml:space="preserve"> zentralen Prozesse und Prozesse mit hohem Schadenspotential (siehe Abschnitt </w:t>
            </w:r>
            <w:r>
              <w:rPr>
                <w:rFonts w:eastAsia="Bitstream Vera Sans" w:cs="Bitstream Vera Sans"/>
                <w:color w:val="auto"/>
                <w:kern w:val="0"/>
                <w:sz w:val="20"/>
                <w:szCs w:val="24"/>
                <w:lang w:val="de-DE" w:eastAsia="en-US" w:bidi="en-US"/>
              </w:rPr>
              <w:t>9.1</w:t>
            </w:r>
            <w:r>
              <w:rPr/>
              <w:t>), die von der kritischen IT-Ressource direkt oder indirekt abhängig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MTA MUSS ebenso kurz oder kürzer sein, als die kürzeste MTA aller zentralen Prozesse und Prozesse mit hohem Schadenspotential (siehe Abschnitt 9.1), die von der </w:t>
            </w:r>
            <w:r>
              <w:rPr>
                <w:rFonts w:eastAsia="Bitstream Vera Sans" w:cs="Bitstream Vera Sans"/>
                <w:color w:val="auto"/>
                <w:kern w:val="0"/>
                <w:sz w:val="20"/>
                <w:szCs w:val="24"/>
                <w:lang w:val="de-DE" w:eastAsia="en-US" w:bidi="en-US"/>
              </w:rPr>
              <w:t>besonders schützenswert</w:t>
            </w:r>
            <w:r>
              <w:rPr>
                <w:rFonts w:eastAsia="Bitstream Vera Sans" w:cs="Bitstream Vera Sans"/>
                <w:color w:val="auto"/>
                <w:kern w:val="0"/>
                <w:sz w:val="20"/>
                <w:szCs w:val="24"/>
                <w:lang w:val="de-DE" w:eastAsia="en-US" w:bidi="en-US"/>
              </w:rPr>
              <w:t>en</w:t>
            </w:r>
            <w:r>
              <w:rPr/>
              <w:t xml:space="preserve">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Bei der Bestimmung der MTA SOLLTEN Abhängigkeiten zwischen kritischen IT-Ressourcen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Aufstellung der kritischen IT-Ressourcen und deren Dokumentation MUSS vom IT-Verantwortlichen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IT-Ressourcen und deren Dokumentation MUSS vom IT-Verantwortlichen freigegeben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FFFF70"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Muss in Abschnitt 10.5 umziehen.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Besonders schützenswerte IT-Ressourcen sind wichtige IT-Ressourcen und MÜSSEN entsprechend behandelt werden.</w:t>
            </w:r>
          </w:p>
        </w:tc>
      </w:tr>
    </w:tbl>
    <w:p>
      <w:pPr>
        <w:pStyle w:val="BodyText"/>
        <w:widowControl w:val="false"/>
        <w:numPr>
          <w:ilvl w:val="0"/>
          <w:numId w:val="1"/>
        </w:numPr>
        <w:tabs>
          <w:tab w:val="clear" w:pos="709"/>
          <w:tab w:val="left" w:pos="0" w:leader="none"/>
        </w:tabs>
        <w:suppressAutoHyphens w:val="true"/>
        <w:overflowPunct w:val="false"/>
        <w:bidi w:val="0"/>
        <w:spacing w:before="0" w:after="120"/>
        <w:ind w:hanging="0" w:start="0"/>
        <w:jc w:val="start"/>
        <w:rPr/>
      </w:pPr>
      <w:r>
        <w:rPr/>
      </w:r>
    </w:p>
    <w:p>
      <w:pPr>
        <w:pStyle w:val="Heading1"/>
        <w:numPr>
          <w:ilvl w:val="0"/>
          <w:numId w:val="1"/>
        </w:numPr>
        <w:tabs>
          <w:tab w:val="clear" w:pos="709"/>
          <w:tab w:val="left" w:pos="0" w:leader="none"/>
        </w:tabs>
        <w:bidi w:val="0"/>
        <w:ind w:hanging="0" w:start="0"/>
        <w:jc w:val="start"/>
        <w:rPr/>
      </w:pPr>
      <w:bookmarkStart w:id="94" w:name="__RefHeading___it-systeme_50"/>
      <w:bookmarkStart w:id="95" w:name="it-systeme"/>
      <w:bookmarkEnd w:id="94"/>
      <w:r>
        <w:rPr/>
        <w:t>10 IT-Systeme</w:t>
      </w:r>
      <w:bookmarkEnd w:id="9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Informationsverarbeitung einer Organisation geschieht zum größten Teil elektronisch. Es ist deshalb notwendig, IT-Systeme strukturiert zu verwalten und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Informationsverarbeitung einer Organisation geschieht zum größten Teil elektronisch. Es ist deshalb notwendig, IT-Systeme strukturiert zu verwalten und abzusichern.</w:t>
            </w:r>
          </w:p>
        </w:tc>
      </w:tr>
    </w:tbl>
    <w:p>
      <w:pPr>
        <w:pStyle w:val="Heading2"/>
        <w:numPr>
          <w:ilvl w:val="1"/>
          <w:numId w:val="1"/>
        </w:numPr>
        <w:tabs>
          <w:tab w:val="clear" w:pos="709"/>
          <w:tab w:val="left" w:pos="0" w:leader="none"/>
        </w:tabs>
        <w:bidi w:val="0"/>
        <w:ind w:hanging="0" w:start="0"/>
        <w:jc w:val="start"/>
        <w:rPr/>
      </w:pPr>
      <w:bookmarkStart w:id="96" w:name="__RefHeading___inventarisierung_51"/>
      <w:bookmarkStart w:id="97" w:name="inventarisierung"/>
      <w:bookmarkEnd w:id="96"/>
      <w:r>
        <w:rPr/>
        <w:t>10.1 Inventarisierung</w:t>
      </w:r>
      <w:bookmarkEnd w:id="9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Inventarisierung vorhanden sein, in der alle IT-Systeme der Organisation verzeichnet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Inventarisierung MUSS durch entsprechende Verfahren (siehe Abschnitte 10.2.1 und 10.2.2) vollständig und aktuell gehalten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ihr MÜSSEN folgende Informationen für jedes IT-System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eindeutiges Identifizierungsmerkmal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Informationen, die eine schnelle Lokalisierung erlauben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Einsatzzweck</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 xml:space="preserve">nstufung des Systems, </w:t>
            </w:r>
            <w:r>
              <w:rPr/>
              <w:t>muss noch schöner formuliert werden (ACHTUNG, neuer Begriff eingeführt!)</w:t>
            </w:r>
          </w:p>
        </w:tc>
        <w:tc>
          <w:tcPr>
            <w:tcW w:w="4712" w:type="dxa"/>
            <w:tcBorders>
              <w:start w:val="single" w:sz="2" w:space="0" w:color="000000"/>
              <w:bottom w:val="single" w:sz="2" w:space="0" w:color="000000"/>
              <w:end w:val="single" w:sz="2" w:space="0" w:color="000000"/>
            </w:tcBorders>
          </w:tcPr>
          <w:p>
            <w:pPr>
              <w:pStyle w:val="Normal"/>
              <w:bidi w:val="0"/>
              <w:jc w:val="start"/>
              <w:rPr/>
            </w:pPr>
            <w:r>
              <w:rPr/>
              <w:t>4. seine Schutzklasse (unwichtig, wichtig, besonders schützenswert)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Besonderheiten der Installation und Konfiguration SOLLTEN in einer Dokumentation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98" w:name="__RefHeading___lebenszyklus_52"/>
      <w:bookmarkStart w:id="99" w:name="lebenszyklus"/>
      <w:bookmarkEnd w:id="98"/>
      <w:r>
        <w:rPr/>
        <w:t>10.2 Lebenszyklus</w:t>
      </w:r>
      <w:bookmarkEnd w:id="99"/>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8" name="0 Copy 1 Copy 2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 Copy 1 Copy 2 Copy 1 Copy 1" descr="" title=""/>
                          <pic:cNvPicPr>
                            <a:picLocks noChangeAspect="1" noChangeArrowheads="1"/>
                          </pic:cNvPicPr>
                        </pic:nvPicPr>
                        <pic:blipFill>
                          <a:blip r:embed="rId9"/>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ToDo:</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Muss angepasst werden. NIS2 fordert z. B. bereits Maßnahmen bei der Auswahl von IT-Systemen.</w:t>
            </w:r>
          </w:p>
        </w:tc>
      </w:tr>
    </w:tbl>
    <w:p>
      <w:pPr>
        <w:pStyle w:val="Normal"/>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IT-Systeme bilden eine abgeschlossene Funktionseinheit aus Hard- und Software (siehe Abschnitt 10.3). Sie unterliegen einem Lebenszyklus, der sich üblicherweise von der Inbetriebnahme bis zu deren Ausmusterung erstreckt.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00" w:name="__RefHeading___inbetriebnahme_und_aender"/>
      <w:bookmarkStart w:id="101" w:name="inbetriebnahme_und_aenderung"/>
      <w:bookmarkEnd w:id="100"/>
      <w:r>
        <w:rPr/>
        <w:t>10.2.1 Inbetriebnahme und Änderung</w:t>
      </w:r>
      <w:bookmarkEnd w:id="10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Es wird ermittelt, ob das IT-System kritisch ist (siehe Abschnitt 9.3).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Welche Maßnahmen für wichtige und besonders schützenswerte IT-Ressourcen?!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w:t>
            </w:r>
            <w:r>
              <w:rPr/>
              <w:t xml:space="preserve">Die Schutzklasse des IT-Systems wird ermittelt </w:t>
            </w:r>
            <w:r>
              <w:rPr/>
              <w:t>(</w:t>
            </w:r>
            <w:r>
              <w:rPr/>
              <w:t>unwichtig, normal, wichtig, besonders schützenswert</w:t>
            </w:r>
            <w:r>
              <w:rPr/>
              <w: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Der Basisschutz (siehe Abschnitt 10.3) wird umgesetzt.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Angepasst auf </w:t>
            </w:r>
            <w:r>
              <w:rPr>
                <w:rFonts w:eastAsia="Bitstream Vera Sans" w:cs="Bitstream Vera Sans"/>
                <w:color w:val="auto"/>
                <w:kern w:val="0"/>
                <w:sz w:val="20"/>
                <w:szCs w:val="24"/>
                <w:lang w:val="de-DE" w:eastAsia="en-US" w:bidi="en-US"/>
              </w:rPr>
              <w:t>„Schutzklassen“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Maßnahmen der entsprechenden Schutzklasse werden umgesetzt.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4. Bei Inbetriebnahme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Inbetriebnahme werden die Arbeitsschritte dokumentiert.</w:t>
            </w:r>
          </w:p>
        </w:tc>
      </w:tr>
    </w:tbl>
    <w:p>
      <w:pPr>
        <w:pStyle w:val="Heading3"/>
        <w:numPr>
          <w:ilvl w:val="2"/>
          <w:numId w:val="1"/>
        </w:numPr>
        <w:tabs>
          <w:tab w:val="clear" w:pos="709"/>
          <w:tab w:val="left" w:pos="0" w:leader="none"/>
        </w:tabs>
        <w:bidi w:val="0"/>
        <w:ind w:hanging="0" w:start="0"/>
        <w:jc w:val="start"/>
        <w:rPr/>
      </w:pPr>
      <w:bookmarkStart w:id="102" w:name="__RefHeading___ausmusterung_und_wiederve"/>
      <w:bookmarkStart w:id="103" w:name="ausmusterung_und_wiederverwendung"/>
      <w:bookmarkEnd w:id="102"/>
      <w:r>
        <w:rPr/>
        <w:t>10.2.2 Ausmusterung und Wiederverwendung</w:t>
      </w:r>
      <w:bookmarkEnd w:id="10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das Ausmustern und Wiederverwenden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das Ausmustern und Wiederverwenden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auf dem IT-System gespeicherten Informationen werden bei Bedarf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auf dem IT-System gespeicherten Informationen werden bei Bedarf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Ausmusterung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Ausmusterung werden die Arbeitsschritte dokumentiert.</w:t>
            </w:r>
          </w:p>
        </w:tc>
      </w:tr>
    </w:tbl>
    <w:p>
      <w:pPr>
        <w:pStyle w:val="Heading2"/>
        <w:numPr>
          <w:ilvl w:val="1"/>
          <w:numId w:val="1"/>
        </w:numPr>
        <w:tabs>
          <w:tab w:val="clear" w:pos="709"/>
          <w:tab w:val="left" w:pos="0" w:leader="none"/>
        </w:tabs>
        <w:bidi w:val="0"/>
        <w:ind w:hanging="0" w:start="0"/>
        <w:jc w:val="start"/>
        <w:rPr/>
      </w:pPr>
      <w:bookmarkStart w:id="104" w:name="__RefHeading___basisschutz_55"/>
      <w:bookmarkStart w:id="105" w:name="basisschutz"/>
      <w:bookmarkEnd w:id="104"/>
      <w:r>
        <w:rPr/>
        <w:t>10.3 Basisschutz</w:t>
      </w:r>
      <w:bookmarkEnd w:id="10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9" name="0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 Copy 1 Copy 1 Copy 1 Copy 2" descr="" title=""/>
                          <pic:cNvPicPr>
                            <a:picLocks noChangeAspect="1" noChangeArrowheads="1"/>
                          </pic:cNvPicPr>
                        </pic:nvPicPr>
                        <pic:blipFill>
                          <a:blip r:embed="rId10"/>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Verpflichtende Maßnahmen gem. BSIG können nicht mit dem Konzept des Basisschutzes umgesetzt werden, da es immer den Vorbehalt der entsprechenden Funktionalität und der eigenverantwortlichen Auslegung des Umsetzungsgrades gibt. Das passt PERFEKT, weil NIS2 den gleichen risikobasierten Ansatz wie die VdS 10k hat. :-)</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 30 ist aktuell noch ein ziemlich verbesserungswürdiges Gebilde. Hier müssen wir auf deng nächsten Referentenentwurf warten.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Wir können IT-Systeme von den Maßnahmen ausschließen, wenn sie die Kriterien der Risikoakzeptanz (siehe Abschnitt A 2.1) erfüllen.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IT-Systeme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 des Netzwerks (siehe Abschnitt 11.4.2), lokale Filtermechanismen oder durch das Deaktivieren nicht benötigter Dienste.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06" w:name="__RefHeading___software_56"/>
      <w:bookmarkStart w:id="107" w:name="software"/>
      <w:bookmarkEnd w:id="106"/>
      <w:r>
        <w:rPr/>
        <w:t>10.3.1 Software</w:t>
      </w:r>
      <w:bookmarkEnd w:id="10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 und Anwendungssoftware MUSS aus vertrauenswürdigen Quellen bezogen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ausschließlich System- und Anwendungssoftware eingesetzt werden, die Sicherheitsupdates des Herstellers erhält.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Zugriffsrechte und Privilegien der Anwendungssoftware SOLLTEN auf ein Mindestmaß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08" w:name="__RefHeading___beschraenkung_des_netzwer"/>
      <w:bookmarkStart w:id="109" w:name="beschraenkung_des_netzwerkverkehrs"/>
      <w:bookmarkEnd w:id="108"/>
      <w:r>
        <w:rPr/>
        <w:t>10.3.2 Beschränkung des Netzwerkverkehrs</w:t>
      </w:r>
      <w:bookmarkEnd w:id="10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Netzwerkverkehr von und zu IT-Systemen MUSS auf das für die Funktionsfähigkeit notwendige Minimum beschränkt werden, wenn eines der folgenden Kriterien zutrifft: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10" w:name="__RefHeading___protokollierung_58"/>
      <w:bookmarkStart w:id="111" w:name="protokollierung"/>
      <w:bookmarkEnd w:id="110"/>
      <w:r>
        <w:rPr/>
        <w:t>10.3.3 Protokollierung</w:t>
      </w:r>
      <w:bookmarkEnd w:id="11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erfolgreiche und erfolglose Anmeldeversuche, Fehler und Informationssicherheitsereignisse protokollieren.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Protokolldaten SOLLTEN zentral gespeichert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Protokolldaten MÜSSEN 6 Monate lang aufbewahrt werden, sofern keine gesetzlichen Lösch- oder Aufbewahrungspflichten entgegenstehen.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Uhren aller IT-Systeme MÜSSEN auf eine gemeinsame Zeit synchronisiert sein, um Auswertungen von Logeinträgen zu ermöglichen.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12" w:name="__RefHeading___externe_schnittstellen_un"/>
      <w:bookmarkStart w:id="113" w:name="externe_schnittstellen_und_laufwerke"/>
      <w:bookmarkEnd w:id="112"/>
      <w:r>
        <w:rPr/>
        <w:t>10.3.4 Externe Schnittstellen und Laufwerke</w:t>
      </w:r>
      <w:bookmarkEnd w:id="11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14" w:name="__RefHeading___schadsoftware_60"/>
      <w:bookmarkStart w:id="115" w:name="schadsoftware"/>
      <w:bookmarkEnd w:id="114"/>
      <w:r>
        <w:rPr/>
        <w:t>10.3.5 Schadsoftware</w:t>
      </w:r>
      <w:bookmarkEnd w:id="11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IT-Systeme MÜSSEN über einen Schutz vor Schadsoftware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mit Hilfe geeigneter Software täglich vollständig auf Anwesenheit von Schadsoftware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alle IT-Systeme über einen Echtzeitschutz verfügen, der alle Dateien bei Zugriff auf Schadsoftware 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IT-Systemen mit einem Echtzeitschutz KANN die vollständige Untersuchung auf Schadsoftware auf einen wöchentlichen Rhythmus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Ausführen erkannter Schadsoftware MUSS verhindert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Software zum Schutz gegen Schadsoftware MUSS automatisch in kurzen zeitlichen Abständen (z. B. stündlich oder täglich) nach den neuesten Suchmustern der Hersteller suchen und diese verwenden.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16" w:name="__RefHeading___starten_von_fremden_medie"/>
      <w:bookmarkStart w:id="117" w:name="starten_von_fremden_medien"/>
      <w:bookmarkEnd w:id="116"/>
      <w:r>
        <w:rPr/>
        <w:t>10.3.6 Starten von fremden Medien</w:t>
      </w:r>
      <w:bookmarkEnd w:id="11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IT-Systeme nur von autorisierten Medien gestartet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über BIOS-Passwörter oder über einen Zutrittsschutz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18" w:name="__RefHeading___authentifizierung_62"/>
      <w:bookmarkStart w:id="119" w:name="authentifizierung"/>
      <w:bookmarkEnd w:id="118"/>
      <w:r>
        <w:rPr/>
        <w:t>10.3.7 Authentifizierung</w:t>
      </w:r>
      <w:bookmarkEnd w:id="119"/>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0" name="0 Copy 1 Copy 1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 Copy 1 Copy 1 Copy 1 Copy 2 Copy 1" descr="" title=""/>
                          <pic:cNvPicPr>
                            <a:picLocks noChangeAspect="1" noChangeArrowheads="1"/>
                          </pic:cNvPicPr>
                        </pic:nvPicPr>
                        <pic:blipFill>
                          <a:blip r:embed="rId11"/>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Frage: Sollten wir die Formulierung der VdS 10100 vielleicht in die VdS 10k übernehmen?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Folge wäre für die Organisationen, die die VdS 10k umsetzen: Kein MFA? </w:t>
            </w: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Risikoanalyse durchführen!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Würde passen!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Zugang zu allen nichtöffentlichen Bereichen der IT-Systeme MUSS durch geeignete Anmeldeverfahren abgesichert werden, die eine Authentifizierung verlangen.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allen nichtöffentlichen Bereichen der IT-Systeme MUSS durch geeignete Anmeldeverfahren abgesichert werden, die eine Authentifizierung verlangen.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Anmeldeverfahren MÜSSEN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Anmeldeverfahren MÜSSEN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Das systematische Ausprobieren von Anmeldeinformationen wird erschwert.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Das systematische Ausprobieren von Anmeldeinformationen wird erschwert.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Interaktive Sitzungen werden beendet oder gesperrt, wenn der Nutzer innerhalb einer vorgegebenen Zeitspanne keine Eingaben tätigt.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Interaktive Sitzungen werden beendet oder gesperrt, wenn der Nutzer innerhalb einer vorgegebenen Zeitspanne keine Eingaben tätigt.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Damit die Anmeldeverfahren zuverlässig arbeiten können, MÜSSEN folgende Punkte sichergestellt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Damit die Anmeldeverfahren zuverlässig arbeiten können, MÜSSEN folgende Punkte sichergestellt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Zugänge werden strukturiert verwaltet (siehe Kapitel 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Zugänge werden strukturiert verwaltet (siehe Kapitel 15).</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Es werden zuverlässige Authentifizierungsmechanismen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30 Risikomanagementmaßnahmen besonders wichtiger Einrichtungen und wichtiger Einrichtungen</w:t>
            </w:r>
          </w:p>
          <w:p>
            <w:pPr>
              <w:pStyle w:val="TableContents"/>
              <w:bidi w:val="0"/>
              <w:jc w:val="start"/>
              <w:rPr/>
            </w:pPr>
            <w:r>
              <w:rPr/>
            </w:r>
          </w:p>
          <w:p>
            <w:pPr>
              <w:pStyle w:val="TableContents"/>
              <w:bidi w:val="0"/>
              <w:jc w:val="start"/>
              <w:rPr/>
            </w:pPr>
            <w:r>
              <w:rPr/>
              <w:t>(2) Maßnahmen nach Absatz 1 sollen den Stand der Technik einhalten, die einschlägigen europäischen und internationalen Normen berücksichtigen und müssen auf einem gefahrenübergreifenden Ansatz beruhen.</w:t>
            </w:r>
          </w:p>
          <w:p>
            <w:pPr>
              <w:pStyle w:val="TableContents"/>
              <w:bidi w:val="0"/>
              <w:jc w:val="start"/>
              <w:rPr/>
            </w:pPr>
            <w:r>
              <w:rPr/>
              <w:t>Die Maßnahmen müssen zumindest Folgendes umfassen:</w:t>
            </w:r>
          </w:p>
          <w:p>
            <w:pPr>
              <w:pStyle w:val="TableContents"/>
              <w:bidi w:val="0"/>
              <w:jc w:val="start"/>
              <w:rPr/>
            </w:pPr>
            <w:r>
              <w:rPr/>
              <w: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10. Verwendung von Lösungen zur Multi-Faktor-Authentifizierung oder kontinuierlichen Authentifizierung,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ausschließlich zuverlässige Authentifizierungsmechanismen wie z. B. Mehr-Faktor-Authentifizierungen oder kontinuierliche Authentifizierungen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Es werden keine trivialen Authentifizierungsmerkmale (z. B. Standard-Passwörter oder einfach zu erratende Passwörter)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(auch wenn MFA eingesetzt wird, sollten die eingesetzten Passwörter nicht trivial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Es werden keine trivialen Authentifizierungsmerkmale (z. B. Standard-Passwörter oder einfach zu erratende Passwörter)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Es SOLLTE Mehr-Faktor-Authentifizierung eingesetzt werden, um die Gefahr eines unberechtigten Zugangs zu verringern, insbesondere wenn Nutzer umfangreiche Zugriffsrechte besitzen.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MFA ist nichjt nur eine Empfehlung.</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20" w:name="__RefHeading___zugaenge_und_zugriffe_63"/>
      <w:bookmarkStart w:id="121" w:name="zugaenge_und_zugriffe"/>
      <w:bookmarkEnd w:id="120"/>
      <w:r>
        <w:rPr/>
        <w:t>10.3.8 Zugänge und Zugriffe</w:t>
      </w:r>
      <w:bookmarkEnd w:id="12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Nutzer keine administrativen Arbeiten durchführen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mit Hilfe getrennter Zugänge und geeigneter Zugriffsrechte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Nutzer können nur auf Informationen lesend zugreifen, wenn dies für die Erfüllung ihrer Aufgaben notwendig ist („Need-to-Know“).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Nutzer können nur auf Informationen schreibend zugreifen, wenn dies für die Erfüllung ihrer Aufgaben notwendig ist („Least-Privileges“).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22" w:name="__RefHeading___zusaetzliche_massnahmen_f"/>
      <w:bookmarkStart w:id="123" w:name="zusaetzliche_massnahmen_fuer_mobile_it-s"/>
      <w:bookmarkEnd w:id="122"/>
      <w:r>
        <w:rPr/>
        <w:t>10.4 Zusätzliche Maßnahmen für mobile IT-Systeme</w:t>
      </w:r>
      <w:bookmarkEnd w:id="12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IT-Systeme sind in besonderer Weise Gefährdungen durch Diebstahl, unautorisierten Zutritt oder unsichere Netze ausgesetzt, die zusätzliche Maßnahmen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mobilen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24" w:name="__RefHeading___is-richtlinie_65"/>
      <w:bookmarkStart w:id="125" w:name="is-richtlinie"/>
      <w:bookmarkEnd w:id="124"/>
      <w:r>
        <w:rPr/>
        <w:t>10.4.1 IS-Richtlinie</w:t>
      </w:r>
      <w:bookmarkEnd w:id="12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IT-Systemen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auf den mobilen IT-Systemen erhoben, verarbeitet, gespeichert und übertragen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Verantwortung für die Datensicherung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untersagt, mobile IT-Systeme an unberechtigte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ob und welche Software auf den mobilen IT-Systemen von den Nutzern installiert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Es wird definiert, ob und unter welchen Bedingungen ein Administrator das mobile IT-System orten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wird definiert, ob und unter welchen Bedingungen ein Administrator die auf einem mobilen IT-System gespeicherten Informationen aus der Ferne löschen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26" w:name="__RefHeading___schutz_der_informationen_"/>
      <w:bookmarkStart w:id="127" w:name="schutz_der_informationen"/>
      <w:bookmarkEnd w:id="126"/>
      <w:r>
        <w:rPr/>
        <w:t>10.4.2 Schutz der Informationen</w:t>
      </w:r>
      <w:bookmarkEnd w:id="12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 dem mobilen IT-System gespeicherten Informationen der Organisation MÜSSEN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28" w:name="__RefHeading___verlust_67"/>
      <w:bookmarkStart w:id="129" w:name="verlust"/>
      <w:bookmarkEnd w:id="128"/>
      <w:r>
        <w:rPr/>
        <w:t>10.4.3 Verlust</w:t>
      </w:r>
      <w:bookmarkEnd w:id="12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implementiert werden, die festlegen, wie Nutzer und Administratoren bei Verlust eines mobilen IT-Systems vorzugehen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insbesondere festlegen, wie und an wen der Verlust zu melden ist und welche Sofortreaktion erfolgt.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Verlust eines mobilen IT-Systems MUSS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30" w:name="__RefHeading___zusaetzliche_massnahmen_1"/>
      <w:bookmarkStart w:id="131" w:name="zusaetzliche_massnahmen_fuer_kritische_i"/>
      <w:bookmarkEnd w:id="130"/>
      <w:r>
        <w:rPr/>
        <w:t>10.x Zusätzliche Maßnahmen für wichtige IT-Systeme</w:t>
      </w:r>
      <w:bookmarkEnd w:id="13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Für wichtige IT-Systeme MUSS eine Risikoanalyse und –behandlung etabliert werden (siehe Anhang A 2).</w:t>
            </w:r>
          </w:p>
        </w:tc>
      </w:tr>
    </w:tbl>
    <w:p>
      <w:pPr>
        <w:pStyle w:val="Heading2"/>
        <w:numPr>
          <w:ilvl w:val="1"/>
          <w:numId w:val="1"/>
        </w:numPr>
        <w:tabs>
          <w:tab w:val="clear" w:pos="709"/>
          <w:tab w:val="left" w:pos="0" w:leader="none"/>
        </w:tabs>
        <w:bidi w:val="0"/>
        <w:ind w:hanging="0" w:start="0"/>
        <w:jc w:val="start"/>
        <w:rPr/>
      </w:pPr>
      <w:bookmarkStart w:id="132" w:name="__RefHeading___zusaetzliche_massnahmen_2"/>
      <w:bookmarkStart w:id="133" w:name="zusaetzliche_massnahmen_fuer_kritische_1"/>
      <w:bookmarkEnd w:id="132"/>
      <w:r>
        <w:rPr/>
        <w:t xml:space="preserve">10.5 Zusätzliche Maßnahmen für </w:t>
      </w:r>
      <w:r>
        <w:rPr>
          <w:rStyle w:val="Emphasis"/>
          <w:rFonts w:eastAsia="Bitstream Vera Sans" w:cs="Bitstream Vera Sans"/>
          <w:b w:val="false"/>
          <w:bCs/>
          <w:i/>
          <w:iCs/>
          <w:color w:val="auto"/>
          <w:kern w:val="0"/>
          <w:sz w:val="28"/>
          <w:szCs w:val="36"/>
          <w:lang w:val="de-DE" w:eastAsia="en-US" w:bidi="en-US"/>
        </w:rPr>
        <w:t>besonders schützenswerte</w:t>
      </w:r>
      <w:r>
        <w:rPr>
          <w:rStyle w:val="Emphasis"/>
        </w:rPr>
        <w:t xml:space="preserve"> </w:t>
      </w:r>
      <w:r>
        <w:rPr/>
        <w:t>IT-Systeme</w:t>
      </w:r>
      <w:bookmarkEnd w:id="13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i w:val="false"/>
                <w:iCs w:val="false"/>
              </w:rPr>
              <w:t xml:space="preserve">Folgende Maßnahmen MÜSSEN zusätzlich für alle </w:t>
            </w:r>
            <w:r>
              <w:rPr>
                <w:rStyle w:val="Emphasis"/>
                <w:rFonts w:eastAsia="Bitstream Vera Sans" w:cs="Bitstream Vera Sans"/>
                <w:i w:val="false"/>
                <w:iCs w:val="false"/>
                <w:color w:val="auto"/>
                <w:kern w:val="0"/>
                <w:sz w:val="20"/>
                <w:szCs w:val="24"/>
                <w:lang w:val="de-DE" w:eastAsia="en-US" w:bidi="en-US"/>
              </w:rPr>
              <w:t>besonders schützenswerte</w:t>
            </w:r>
            <w:r>
              <w:rPr>
                <w:rStyle w:val="Emphasis"/>
                <w:i w:val="false"/>
                <w:iCs w:val="false"/>
              </w:rPr>
              <w:t>n</w:t>
            </w:r>
            <w:r>
              <w:rPr>
                <w:i w:val="false"/>
                <w:iCs w:val="false"/>
              </w:rPr>
              <w:t xml:space="preserve"> IT-Systeme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BodyText"/>
        <w:bidi w:val="0"/>
        <w:spacing w:before="0" w:after="120"/>
        <w:jc w:val="both"/>
        <w:rPr/>
      </w:pPr>
      <w:r>
        <w:rPr/>
      </w:r>
    </w:p>
    <w:p>
      <w:pPr>
        <w:pStyle w:val="Heading3"/>
        <w:numPr>
          <w:ilvl w:val="2"/>
          <w:numId w:val="1"/>
        </w:numPr>
        <w:tabs>
          <w:tab w:val="clear" w:pos="709"/>
          <w:tab w:val="left" w:pos="0" w:leader="none"/>
        </w:tabs>
        <w:bidi w:val="0"/>
        <w:ind w:hanging="0" w:start="0"/>
        <w:jc w:val="start"/>
        <w:rPr/>
      </w:pPr>
      <w:bookmarkStart w:id="134" w:name="__RefHeading___risikoanalyse_und_-behand"/>
      <w:bookmarkStart w:id="135" w:name="risikoanalyse_und_-behandlung"/>
      <w:bookmarkEnd w:id="134"/>
      <w:r>
        <w:rPr>
          <w:strike/>
        </w:rPr>
        <w:t>10.5.1 Risikoanalyse und behandlung</w:t>
      </w:r>
      <w:bookmarkEnd w:id="135"/>
    </w:p>
    <w:p>
      <w:pPr>
        <w:pStyle w:val="BodyText"/>
        <w:numPr>
          <w:ilvl w:val="2"/>
          <w:numId w:val="1"/>
        </w:numPr>
        <w:rPr/>
      </w:pPr>
      <w:r>
        <w:rPr/>
        <w:t>(entfällt, da besonders schützenswerte IT-Systeme auch wichtige IT-Systeme sind)</w:t>
      </w:r>
    </w:p>
    <w:p>
      <w:pPr>
        <w:pStyle w:val="Heading3"/>
        <w:numPr>
          <w:ilvl w:val="2"/>
          <w:numId w:val="1"/>
        </w:numPr>
        <w:tabs>
          <w:tab w:val="clear" w:pos="709"/>
          <w:tab w:val="left" w:pos="0" w:leader="none"/>
        </w:tabs>
        <w:bidi w:val="0"/>
        <w:ind w:hanging="0" w:start="0"/>
        <w:jc w:val="start"/>
        <w:rPr/>
      </w:pPr>
      <w:bookmarkStart w:id="136" w:name="__RefHeading___notbetriebsniveau_70"/>
      <w:bookmarkStart w:id="137" w:name="notbetriebsniveau"/>
      <w:bookmarkEnd w:id="136"/>
      <w:r>
        <w:rPr/>
        <w:t>10.5.2 Notbetriebsniveau</w:t>
      </w:r>
      <w:bookmarkEnd w:id="1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Für jedes kritische IT-System SOLLTE ein Notbetriebsniveau definiert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Für jedes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IT-System SOLLTE ein Notbetriebsniveau definiert werden.</w:t>
            </w:r>
          </w:p>
        </w:tc>
      </w:tr>
    </w:tbl>
    <w:p>
      <w:pPr>
        <w:pStyle w:val="Heading3"/>
        <w:numPr>
          <w:ilvl w:val="2"/>
          <w:numId w:val="1"/>
        </w:numPr>
        <w:tabs>
          <w:tab w:val="clear" w:pos="709"/>
          <w:tab w:val="left" w:pos="0" w:leader="none"/>
        </w:tabs>
        <w:bidi w:val="0"/>
        <w:ind w:hanging="0" w:start="0"/>
        <w:jc w:val="start"/>
        <w:rPr/>
      </w:pPr>
      <w:bookmarkStart w:id="138" w:name="__RefHeading___robustheit_71"/>
      <w:bookmarkStart w:id="139" w:name="robustheit"/>
      <w:bookmarkEnd w:id="138"/>
      <w:r>
        <w:rPr/>
        <w:t>10.5.3 Robustheit</w:t>
      </w:r>
      <w:bookmarkEnd w:id="1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DÜRFEN KEINE Entwicklungen oder Tests durchgeführt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Auf </w:t>
            </w:r>
            <w:r>
              <w:rPr>
                <w:rStyle w:val="Emphasis"/>
                <w:rFonts w:eastAsia="Bitstream Vera Sans" w:cs="Bitstream Vera Sans"/>
                <w:i/>
                <w:iCs/>
                <w:color w:val="auto"/>
                <w:kern w:val="0"/>
                <w:sz w:val="20"/>
                <w:szCs w:val="24"/>
                <w:lang w:val="de-DE" w:eastAsia="en-US" w:bidi="en-US"/>
              </w:rPr>
              <w:t>besonders schützenswerte</w:t>
            </w:r>
            <w:r>
              <w:rPr/>
              <w:t>n IT-Systemen DÜRFEN KEINE Entwicklungen oder Tests durchgeführt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MÜSSEN alle Netzwerkdienste, die nicht zur Aufgabenerfüllung benötigt werden, deinstalliert, abgeschaltet oder durch geeignete Filtermechanismen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Auf </w:t>
            </w:r>
            <w:r>
              <w:rPr>
                <w:rStyle w:val="Emphasis"/>
                <w:rFonts w:eastAsia="Bitstream Vera Sans" w:cs="Bitstream Vera Sans"/>
                <w:i/>
                <w:iCs/>
                <w:color w:val="auto"/>
                <w:kern w:val="0"/>
                <w:sz w:val="20"/>
                <w:szCs w:val="24"/>
                <w:lang w:val="de-DE" w:eastAsia="en-US" w:bidi="en-US"/>
              </w:rPr>
              <w:t>besonders schützenswerte</w:t>
            </w:r>
            <w:r>
              <w:rPr>
                <w:rStyle w:val="Emphasis"/>
              </w:rPr>
              <w:t>n</w:t>
            </w:r>
            <w:r>
              <w:rPr/>
              <w:t xml:space="preserve"> IT-Systemen MÜSSEN alle Netzwerkdienste, die nicht zur Aufgabenerfüllung benötigt werden, deinstalliert, abgeschaltet oder durch geeignete Filtermechanismen unzugänglich gemacht werden.</w:t>
            </w:r>
          </w:p>
        </w:tc>
      </w:tr>
    </w:tbl>
    <w:p>
      <w:pPr>
        <w:pStyle w:val="Heading3"/>
        <w:numPr>
          <w:ilvl w:val="2"/>
          <w:numId w:val="1"/>
        </w:numPr>
        <w:tabs>
          <w:tab w:val="clear" w:pos="709"/>
          <w:tab w:val="left" w:pos="0" w:leader="none"/>
        </w:tabs>
        <w:bidi w:val="0"/>
        <w:ind w:hanging="0" w:start="0"/>
        <w:jc w:val="start"/>
        <w:rPr/>
      </w:pPr>
      <w:bookmarkStart w:id="140" w:name="__RefHeading___externe_schnittstellen_u1"/>
      <w:bookmarkStart w:id="141" w:name="externe_schnittstellen_und_laufwerke1"/>
      <w:bookmarkEnd w:id="140"/>
      <w:r>
        <w:rPr/>
        <w:t>10.5.4 Externe Schnittstellen und Laufwerke</w:t>
      </w:r>
      <w:bookmarkEnd w:id="1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42" w:name="__RefHeading___aenderungsmanagement_73"/>
      <w:bookmarkStart w:id="143" w:name="aenderungsmanagement"/>
      <w:bookmarkEnd w:id="142"/>
      <w:r>
        <w:rPr/>
        <w:t>10.5.5 Änderungsmanagement</w:t>
      </w:r>
      <w:bookmarkEnd w:id="14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Änderungen, die auf kritischen IT-Systemen umgesetzt werden sollen, MÜSSEN zuvor in einer Testumgebung getestet und freigegeben worden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Änderungen, die auf </w:t>
            </w:r>
            <w:r>
              <w:rPr>
                <w:rFonts w:eastAsia="Bitstream Vera Sans" w:cs="Bitstream Vera Sans"/>
                <w:color w:val="auto"/>
                <w:kern w:val="0"/>
                <w:sz w:val="20"/>
                <w:szCs w:val="24"/>
                <w:lang w:val="de-DE" w:eastAsia="en-US" w:bidi="en-US"/>
              </w:rPr>
              <w:t>besonders schützenswerte</w:t>
            </w:r>
            <w:r>
              <w:rPr/>
              <w:t>n IT-Systemen umgesetzt werden sollen, MÜSSEN zuvor in einer Testumgebung getestet und freigegeben worden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kritische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w:t>
            </w:r>
            <w:r>
              <w:rPr>
                <w:rFonts w:eastAsia="Bitstream Vera Sans" w:cs="Bitstream Vera Sans"/>
                <w:color w:val="auto"/>
                <w:kern w:val="0"/>
                <w:sz w:val="20"/>
                <w:szCs w:val="24"/>
                <w:lang w:val="de-DE" w:eastAsia="en-US" w:bidi="en-US"/>
              </w:rPr>
              <w:t>besonders schützenswerte</w:t>
            </w:r>
            <w:r>
              <w:rPr/>
              <w:t>n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r>
    </w:tbl>
    <w:p>
      <w:pPr>
        <w:pStyle w:val="Heading3"/>
        <w:numPr>
          <w:ilvl w:val="2"/>
          <w:numId w:val="1"/>
        </w:numPr>
        <w:tabs>
          <w:tab w:val="clear" w:pos="709"/>
          <w:tab w:val="left" w:pos="0" w:leader="none"/>
        </w:tabs>
        <w:bidi w:val="0"/>
        <w:ind w:hanging="0" w:start="0"/>
        <w:jc w:val="start"/>
        <w:rPr/>
      </w:pPr>
      <w:bookmarkStart w:id="144" w:name="__RefHeading___dokumentation_74"/>
      <w:bookmarkStart w:id="145" w:name="dokumentation"/>
      <w:bookmarkEnd w:id="144"/>
      <w:r>
        <w:rPr/>
        <w:t>10.5.6 Dokumentation</w:t>
      </w:r>
      <w:bookmarkEnd w:id="14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jedes kritische IT-System MUSS eine Dokumentation vorhanden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jedes </w:t>
            </w:r>
            <w:r>
              <w:rPr>
                <w:rFonts w:eastAsia="Bitstream Vera Sans" w:cs="Bitstream Vera Sans"/>
                <w:color w:val="auto"/>
                <w:kern w:val="0"/>
                <w:sz w:val="20"/>
                <w:szCs w:val="24"/>
                <w:lang w:val="de-DE" w:eastAsia="en-US" w:bidi="en-US"/>
              </w:rPr>
              <w:t>besonders schützenswerte</w:t>
            </w:r>
            <w:r>
              <w:rPr/>
              <w:t xml:space="preserve"> IT-System MUSS eine Dokumentation vorhanden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Anhand der Dokumentation MUSS es fachlich versierten Personen möglich sein, folgende Punkte nachzuvollziehen: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Anhand der Dokumentation MUSS es fachlich versierten Personen möglich sein, folgende Punkte nachzuvollziehen: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wer für das IT-System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wer für das IT-System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wie und mit welchen Zugängen und Authentifizierungsmerkmalen der administrative Zugang zum IT-System möglich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wie und mit welchen Zugängen und Authentifizierungsmerkmalen der administrative Zugang zum IT-System möglich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grundlegenden Designentscheidungen bei der Installation getroffen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welche grundlegenden Designentscheidungen bei der Installation getroffen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Änderungen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welche Änderungen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wann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wann sie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wer sie vorgenommen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wer sie vorgenommen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warum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warum sie vorgenommen wurden</w:t>
            </w:r>
          </w:p>
        </w:tc>
      </w:tr>
    </w:tbl>
    <w:p>
      <w:pPr>
        <w:pStyle w:val="Heading3"/>
        <w:numPr>
          <w:ilvl w:val="2"/>
          <w:numId w:val="1"/>
        </w:numPr>
        <w:tabs>
          <w:tab w:val="clear" w:pos="709"/>
          <w:tab w:val="left" w:pos="0" w:leader="none"/>
        </w:tabs>
        <w:bidi w:val="0"/>
        <w:ind w:hanging="0" w:start="0"/>
        <w:jc w:val="start"/>
        <w:rPr/>
      </w:pPr>
      <w:bookmarkStart w:id="146" w:name="__RefHeading___datensicherung_75"/>
      <w:bookmarkStart w:id="147" w:name="datensicherung"/>
      <w:bookmarkEnd w:id="146"/>
      <w:r>
        <w:rPr/>
        <w:t>10.5.7 Datensicherung</w:t>
      </w:r>
      <w:bookmarkEnd w:id="14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Alle kritischen IT-Systeme MÜSSEN über eine Datensicherung (siehe Abschnitt 16.6)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kritischen IT-Systeme MÜSSEN über eine Datensicherung (siehe Abschnitt 16.6) verfügen.</w:t>
            </w:r>
          </w:p>
        </w:tc>
      </w:tr>
    </w:tbl>
    <w:p>
      <w:pPr>
        <w:pStyle w:val="Heading3"/>
        <w:numPr>
          <w:ilvl w:val="2"/>
          <w:numId w:val="1"/>
        </w:numPr>
        <w:tabs>
          <w:tab w:val="clear" w:pos="709"/>
          <w:tab w:val="left" w:pos="0" w:leader="none"/>
        </w:tabs>
        <w:bidi w:val="0"/>
        <w:ind w:hanging="0" w:start="0"/>
        <w:jc w:val="start"/>
        <w:rPr/>
      </w:pPr>
      <w:bookmarkStart w:id="148" w:name="__RefHeading___ueberwachung_76"/>
      <w:bookmarkStart w:id="149" w:name="ueberwachung"/>
      <w:bookmarkEnd w:id="148"/>
      <w:r>
        <w:rPr/>
        <w:t>10.5.8 Überwachung</w:t>
      </w:r>
      <w:bookmarkEnd w:id="14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Es MUSS überwacht werden, ob sich kritische IT-Systeme im Regelbetrieb befinden.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Es MUSS überwacht werden, ob sich </w:t>
            </w:r>
            <w:r>
              <w:rPr>
                <w:rFonts w:eastAsia="Bitstream Vera Sans" w:cs="Bitstream Vera Sans"/>
                <w:color w:val="auto"/>
                <w:kern w:val="0"/>
                <w:sz w:val="20"/>
                <w:szCs w:val="24"/>
                <w:lang w:val="de-DE" w:eastAsia="en-US" w:bidi="en-US"/>
              </w:rPr>
              <w:t>besonders schützenswerte</w:t>
            </w:r>
            <w:r>
              <w:rPr/>
              <w:t xml:space="preserve"> IT-Systeme im Regelbetrieb befinden.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Dabei MUSS sichergestellt werden, dass der Ausfall eines kritischen IT-Systems erkannt und entsprechende Gegenmaßnahmen eingeleitet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Dabei MUSS sichergestellt werden, dass der Ausfall eines </w:t>
            </w:r>
            <w:r>
              <w:rPr>
                <w:rFonts w:eastAsia="Bitstream Vera Sans" w:cs="Bitstream Vera Sans"/>
                <w:color w:val="auto"/>
                <w:kern w:val="0"/>
                <w:sz w:val="20"/>
                <w:szCs w:val="24"/>
                <w:lang w:val="de-DE" w:eastAsia="en-US" w:bidi="en-US"/>
              </w:rPr>
              <w:t>besonders schützenswerte</w:t>
            </w:r>
            <w:r>
              <w:rPr/>
              <w:t>n IT-Systems erkannt und entsprechende Gegenmaßnahmen eingeleitet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Darüber hinaus SOLLTEN die Ressourcen kritischer IT-Systeme überwacht werden, um Engpässe zu erkennen, bevor sie akut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Darüber hinaus SOLLTEN die Ressourcen </w:t>
            </w:r>
            <w:r>
              <w:rPr>
                <w:rStyle w:val="Emphasis"/>
                <w:rFonts w:eastAsia="Bitstream Vera Sans" w:cs="Bitstream Vera Sans"/>
                <w:i/>
                <w:iCs/>
                <w:color w:val="auto"/>
                <w:kern w:val="0"/>
                <w:sz w:val="20"/>
                <w:szCs w:val="24"/>
                <w:lang w:val="de-DE" w:eastAsia="en-US" w:bidi="en-US"/>
              </w:rPr>
              <w:t>besonders schützenswerte</w:t>
            </w:r>
            <w:r>
              <w:rPr>
                <w:rStyle w:val="Emphasis"/>
              </w:rPr>
              <w:t>r IT-Systeme überwacht werden, um Engpässe zu erkennen, bevor sie akut werden.</w:t>
            </w:r>
          </w:p>
        </w:tc>
      </w:tr>
    </w:tbl>
    <w:p>
      <w:pPr>
        <w:pStyle w:val="Heading3"/>
        <w:numPr>
          <w:ilvl w:val="2"/>
          <w:numId w:val="1"/>
        </w:numPr>
        <w:tabs>
          <w:tab w:val="clear" w:pos="709"/>
          <w:tab w:val="left" w:pos="0" w:leader="none"/>
        </w:tabs>
        <w:bidi w:val="0"/>
        <w:ind w:hanging="0" w:start="0"/>
        <w:jc w:val="start"/>
        <w:rPr/>
      </w:pPr>
      <w:bookmarkStart w:id="150" w:name="__RefHeading___ersatzsysteme_und_-verfah"/>
      <w:bookmarkStart w:id="151" w:name="ersatzsysteme_und_-verfahren"/>
      <w:bookmarkEnd w:id="150"/>
      <w:r>
        <w:rPr/>
        <w:t>10.5.9 Ersatzsysteme und -verfahren</w:t>
      </w:r>
      <w:bookmarkEnd w:id="1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Wenn ein kritisches IT-System innerhalb seiner MTA nicht wiederhergestellt werden kann, MUSS die Organisation über ein Ersatzsystem oder –verfahren verfügen, das es ermöglicht, die vom kritischen IT-System abhängigen zentralen Prozesse und Prozesse mit hohem Schadenspotential weiter zu betreiben.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ein </w:t>
            </w:r>
            <w:r>
              <w:rPr>
                <w:rFonts w:eastAsia="Bitstream Vera Sans" w:cs="Bitstream Vera Sans"/>
                <w:color w:val="auto"/>
                <w:kern w:val="0"/>
                <w:sz w:val="20"/>
                <w:szCs w:val="24"/>
                <w:lang w:val="de-DE" w:eastAsia="en-US" w:bidi="en-US"/>
              </w:rPr>
              <w:t>besonders schützenswerte</w:t>
            </w:r>
            <w:r>
              <w:rPr/>
              <w:t>s IT-System innerhalb seiner MTA nicht wiederhergestellt werden kann, MUSS die Organisation über ein Ersatzsystem oder –verfahren verfügen, das es ermöglicht, die von ihm abhängigen zentralen Prozesse und Prozesse mit hohem Schadenspotential weiter zu betreiben.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Das Ersatzsystem oder –verfahren SOLLTE das Notbetriebsniveau (siehe Abschnitt 10.5.2) des kritischen IT-Systems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Das Ersatzsystem oder –verfahren SOLLTE das Notbetriebsniveau (siehe Abschnitt 10.5.2) des </w:t>
            </w:r>
            <w:r>
              <w:rPr>
                <w:rStyle w:val="Emphasis"/>
                <w:rFonts w:eastAsia="Bitstream Vera Sans" w:cs="Bitstream Vera Sans"/>
                <w:i/>
                <w:iCs/>
                <w:color w:val="auto"/>
                <w:kern w:val="0"/>
                <w:sz w:val="20"/>
                <w:szCs w:val="24"/>
                <w:lang w:val="de-DE" w:eastAsia="en-US" w:bidi="en-US"/>
              </w:rPr>
              <w:t>besonders schützenswerte</w:t>
            </w:r>
            <w:r>
              <w:rPr>
                <w:rStyle w:val="Emphasis"/>
              </w:rPr>
              <w:t>n IT-Systems sicherstellen.</w:t>
            </w:r>
          </w:p>
        </w:tc>
      </w:tr>
    </w:tbl>
    <w:p>
      <w:pPr>
        <w:pStyle w:val="Heading3"/>
        <w:numPr>
          <w:ilvl w:val="2"/>
          <w:numId w:val="1"/>
        </w:numPr>
        <w:tabs>
          <w:tab w:val="clear" w:pos="709"/>
          <w:tab w:val="left" w:pos="0" w:leader="none"/>
        </w:tabs>
        <w:bidi w:val="0"/>
        <w:ind w:hanging="0" w:start="0"/>
        <w:jc w:val="start"/>
        <w:rPr/>
      </w:pPr>
      <w:bookmarkStart w:id="152" w:name="__RefHeading___kritische_individualsoftw"/>
      <w:bookmarkStart w:id="153" w:name="kritische_individualsoftware"/>
      <w:bookmarkEnd w:id="152"/>
      <w:r>
        <w:rPr/>
        <w:t xml:space="preserve">10.5.10 </w:t>
      </w:r>
      <w:r>
        <w:rPr/>
        <w:t>Besonders schützenswerte</w:t>
      </w:r>
      <w:r>
        <w:rPr/>
        <w:t xml:space="preserve"> Individualsoftware</w:t>
      </w:r>
      <w:bookmarkEnd w:id="15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durch vertragliche und/oder organisatorische Regelungen sicherstellen, dass sie kritische Individualsoftware auch in Zukunft verwenden und ihren Bedürfnissen anpassen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 xml:space="preserve">besonders schützenswert </w:t>
            </w:r>
            <w:r>
              <w:rPr>
                <w:rFonts w:eastAsia="Bitstream Vera Sans" w:cs="Bitstream Vera Sans"/>
                <w:color w:val="auto"/>
                <w:kern w:val="0"/>
                <w:sz w:val="20"/>
                <w:szCs w:val="24"/>
                <w:lang w:val="de-DE" w:eastAsia="en-US" w:bidi="en-US"/>
              </w:rPr>
              <w:t>(klingt komisch)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durch vertragliche und/oder organisatorische Regelungen sicherstellen, dass sie </w:t>
            </w:r>
            <w:r>
              <w:rPr/>
              <w:t>besonders schützenswerte</w:t>
            </w:r>
            <w:r>
              <w:rPr/>
              <w:t xml:space="preserve"> Individualsoftware auch in Zukunft verwenden und ihren Bedürfnissen anpassen kann.</w:t>
            </w:r>
          </w:p>
        </w:tc>
      </w:tr>
    </w:tbl>
    <w:p>
      <w:pPr>
        <w:pStyle w:val="Heading1"/>
        <w:numPr>
          <w:ilvl w:val="0"/>
          <w:numId w:val="1"/>
        </w:numPr>
        <w:tabs>
          <w:tab w:val="clear" w:pos="709"/>
          <w:tab w:val="left" w:pos="0" w:leader="none"/>
        </w:tabs>
        <w:bidi w:val="0"/>
        <w:ind w:hanging="0" w:start="0"/>
        <w:jc w:val="start"/>
        <w:rPr/>
      </w:pPr>
      <w:bookmarkStart w:id="154" w:name="__RefHeading___netzwerke_und_verbindunge"/>
      <w:bookmarkStart w:id="155" w:name="netzwerke_und_verbindungen"/>
      <w:bookmarkEnd w:id="154"/>
      <w:r>
        <w:rPr/>
        <w:t>11 Netzwerke und Verbindungen</w:t>
      </w:r>
      <w:bookmarkEnd w:id="15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Netzwerke und Verbindungen übertragen Informationen und vernetzen IT-Systeme miteinander. Deshalb ist es notwendig, sie angemessen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56" w:name="__RefHeading___netzwerkplan_80"/>
      <w:bookmarkStart w:id="157" w:name="netzwerkplan"/>
      <w:bookmarkEnd w:id="156"/>
      <w:r>
        <w:rPr/>
        <w:t>11.1 Netzwerkplan</w:t>
      </w:r>
      <w:bookmarkEnd w:id="15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Netzwerke der Organisation MÜSSEN so erfasst sein, dass fachlich versierte Personen folgende Punkte nachvollziehen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physikalische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aktive Netzwerkkomponenten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physikalisches Medium der Verbindungen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logische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Netzwerksegmente (siehe Abschnitt 11.4.2), deren Einsatzzweck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Fernzugänge (siehe Abschnitt 11.4.3)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G1.2.c</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Netzwerkkopplungen (siehe Abschnitt 11.4.4)</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G1.2.d</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Netzübergänge zu weniger oder nicht vertrauenswürdigen Netzwerken (siehe Abschnitt 11.3)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58" w:name="__RefHeading___aktive_netzwerkkomponente"/>
      <w:bookmarkStart w:id="159" w:name="aktive_netzwerkkomponenten"/>
      <w:bookmarkEnd w:id="158"/>
      <w:r>
        <w:rPr/>
        <w:t>11.2 Aktive Netzwerkkomponenten</w:t>
      </w:r>
      <w:bookmarkEnd w:id="15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Aktive Netzwerkkomponenten sind IT-Systeme und MÜSSEN gemäß Kapitel 10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60" w:name="__RefHeading___netzuebergaenge_82"/>
      <w:bookmarkStart w:id="161" w:name="netzuebergaenge"/>
      <w:bookmarkEnd w:id="160"/>
      <w:r>
        <w:rPr/>
        <w:t>11.3 Netzübergänge</w:t>
      </w:r>
      <w:bookmarkEnd w:id="16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Netzübergänge zu weniger oder nicht vertrauenswürdigen Netzwerken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Netzwerkverkehr wird auf das für die Funktionsfähigkeit notwendige Minimum beschränkt.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Inhalt erlaubter Verbindungen wird auf Schadsoftware und Angriffe untersucht; erkannte Schadsoftware und Angriffe werden blockiert.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Hinweise auf Schadsoftware in der IT-Infrastruktur der Organisation und Angriffe aus der IT-Infrastruktur der Organisation heraus werden als Sicherheitsvorfall behandelt.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Weitere Sicherheitsmaßnahmen SOLLTEN im Zuge einer Risikoanalyse und -behandlung (siehe Anhang A 2) ermittelt und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Für die sicherheitsrelevanten Einstellungen sind folgende Punkte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wer sie implementiert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wann sie implementiert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G1.1.c</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was sie bewirken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G1.1.d</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warum sie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angestrebten Verkehrsbeschränkungen werden wirksam umgesetzt.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62" w:name="__RefHeading___basisschutz_83"/>
      <w:bookmarkStart w:id="163" w:name="basisschutz1"/>
      <w:bookmarkEnd w:id="162"/>
      <w:r>
        <w:rPr/>
        <w:t>11.4 Basisschutz</w:t>
      </w:r>
      <w:bookmarkEnd w:id="16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Netzwerke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Netzwerke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 xml:space="preserve">hang A 2) und der Netzwerkverkehr von und zu ihnen auf das für ihre Funktionsfähigkeit notwendige Minimum beschränkt ist, z. B. durch eine geeignete Segmentierung </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r>
    </w:tbl>
    <w:p>
      <w:pPr>
        <w:pStyle w:val="BodyText"/>
        <w:bidi w:val="0"/>
        <w:spacing w:before="0" w:after="120"/>
        <w:jc w:val="both"/>
        <w:rPr/>
      </w:pPr>
      <w:r>
        <w:rPr/>
      </w:r>
    </w:p>
    <w:p>
      <w:pPr>
        <w:pStyle w:val="Heading3"/>
        <w:numPr>
          <w:ilvl w:val="2"/>
          <w:numId w:val="1"/>
        </w:numPr>
        <w:tabs>
          <w:tab w:val="clear" w:pos="709"/>
          <w:tab w:val="left" w:pos="0" w:leader="none"/>
        </w:tabs>
        <w:bidi w:val="0"/>
        <w:ind w:hanging="0" w:start="0"/>
        <w:jc w:val="start"/>
        <w:rPr/>
      </w:pPr>
      <w:bookmarkStart w:id="164" w:name="__RefHeading___netzwerkanschluesse_84"/>
      <w:bookmarkStart w:id="165" w:name="netzwerkanschluesse"/>
      <w:bookmarkEnd w:id="164"/>
      <w:r>
        <w:rPr/>
        <w:t>11.4.1 Netzwerkanschlüsse</w:t>
      </w:r>
      <w:bookmarkEnd w:id="16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Dauerhaft nicht genutzte Netzwerkanschlüsse MÜSSEN vor unberechtigter Nutzung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Dauerhaft nicht genutzte Netzwerkanschlüsse MÜSSEN vor unberechtigter Nutzung 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bspw. durch eine Zutrittsbeschränkung, eine Deaktivierung der Netzwerkanschlüsse oder durch eine Netzwerkzugangskontrolle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bspw. durch eine Zutrittsbeschränkung, eine Deaktivierung der Netzwerkanschlüsse oder durch eine Netzwerkzugangskontrolle geschehen.</w:t>
            </w:r>
          </w:p>
        </w:tc>
      </w:tr>
    </w:tbl>
    <w:p>
      <w:pPr>
        <w:pStyle w:val="Heading3"/>
        <w:numPr>
          <w:ilvl w:val="2"/>
          <w:numId w:val="1"/>
        </w:numPr>
        <w:tabs>
          <w:tab w:val="clear" w:pos="709"/>
          <w:tab w:val="left" w:pos="0" w:leader="none"/>
        </w:tabs>
        <w:bidi w:val="0"/>
        <w:ind w:hanging="0" w:start="0"/>
        <w:jc w:val="start"/>
        <w:rPr/>
      </w:pPr>
      <w:bookmarkStart w:id="166" w:name="__RefHeading___segmentierung_85"/>
      <w:bookmarkStart w:id="167" w:name="segmentierung"/>
      <w:bookmarkEnd w:id="166"/>
      <w:r>
        <w:rPr/>
        <w:t>11.4.2 Segmentierung</w:t>
      </w:r>
      <w:bookmarkEnd w:id="167"/>
    </w:p>
    <w:p>
      <w:pPr>
        <w:pStyle w:val="BodyText"/>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Notwendigkeit einer Segmentierung der Netzwerke der Organisation MUSS geprüft und die Entscheidung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Anforderungen der VdS 10k sind hier nicht ausreichend. Wir fordern in der VdS 10100 eine umfassende Segmentierung.</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MÜSSEN Kriterien definiert werden, anhand derer die Netzwerke der Organisation in einzelne Segmente unterteilt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Umsetzung der Segmentierung MUSS eine möglichst umfassende Beschränkung der Verbindungen sowie die Möglichkeit der Protokollierung von blockierten Verbindungen beinhalten.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Segmentierung MUSS eine möglichst umfassende Beschränkung der Verbindungen sowie die Möglichkeit der Protokollierung von blockierten Verbindungen beinhalten.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Die Segmentier</w:t>
            </w:r>
            <w:r>
              <w:rPr/>
              <w:t>u</w:t>
            </w:r>
            <w:r>
              <w:rPr/>
              <w:t xml:space="preserve">ng MUSS </w:t>
            </w:r>
            <w:r>
              <w:rPr/>
              <w:t xml:space="preserve">gewährleisten, dass </w:t>
            </w:r>
            <w:r>
              <w:rPr/>
              <w:t>d</w:t>
            </w:r>
            <w:r>
              <w:rPr/>
              <w:t xml:space="preserve">er Netzwerkverkehr </w:t>
            </w:r>
            <w:r>
              <w:rPr/>
              <w:t xml:space="preserve">zwischen den unterschiedlichen Schutzklassen </w:t>
            </w:r>
            <w:r>
              <w:rPr/>
              <w:t xml:space="preserve">auf das für die Funktionsfähigkeit notwendige Minimum beschränkt </w:t>
            </w:r>
            <w:r>
              <w:rPr/>
              <w:t>ist.</w:t>
            </w:r>
          </w:p>
        </w:tc>
      </w:tr>
    </w:tbl>
    <w:p>
      <w:pPr>
        <w:pStyle w:val="Heading3"/>
        <w:numPr>
          <w:ilvl w:val="2"/>
          <w:numId w:val="1"/>
        </w:numPr>
        <w:tabs>
          <w:tab w:val="clear" w:pos="709"/>
          <w:tab w:val="left" w:pos="0" w:leader="none"/>
        </w:tabs>
        <w:bidi w:val="0"/>
        <w:ind w:hanging="0" w:start="0"/>
        <w:jc w:val="start"/>
        <w:rPr/>
      </w:pPr>
      <w:bookmarkStart w:id="168" w:name="__RefHeading___fernzugang_86"/>
      <w:bookmarkStart w:id="169" w:name="fernzugang"/>
      <w:bookmarkEnd w:id="168"/>
      <w:r>
        <w:rPr/>
        <w:t>11.4.3 Fernzugang</w:t>
      </w:r>
      <w:bookmarkEnd w:id="16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Zugang zu nichtöffentlichen Bereichen von IT-Systemen der Organisation über weniger oder nicht vertrauenswürdige Netzwerke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nichtöffentlichen Bereichen von IT-Systemen der Organisation über weniger oder nicht vertrauenswürdige Netzwerke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Vertraulichkeit, Integrität und Authentizität der übertragenen Informationen wird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Vertraulichkeit, Integrität und Authentizität der übertragenen Informationen wird geschützt.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Zugang wird so gestaltet, dass über ihn nur IT-Systeme erreichbar sind, die der jeweilige Nutzer für seine Aufgabenerfüllung benötigt.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Zugang wird so gestaltet, dass über ihn nur IT-Systeme erreichbar sind, die der jeweilige Nutzer für seine Aufgabenerfüllung benötigt.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r>
    </w:tbl>
    <w:p>
      <w:pPr>
        <w:pStyle w:val="Heading3"/>
        <w:numPr>
          <w:ilvl w:val="2"/>
          <w:numId w:val="1"/>
        </w:numPr>
        <w:tabs>
          <w:tab w:val="clear" w:pos="709"/>
          <w:tab w:val="left" w:pos="0" w:leader="none"/>
        </w:tabs>
        <w:bidi w:val="0"/>
        <w:ind w:hanging="0" w:start="0"/>
        <w:jc w:val="start"/>
        <w:rPr/>
      </w:pPr>
      <w:bookmarkStart w:id="170" w:name="__RefHeading___netzwerkkopplung_87"/>
      <w:bookmarkStart w:id="171" w:name="netzwerkkopplung"/>
      <w:bookmarkEnd w:id="170"/>
      <w:r>
        <w:rPr/>
        <w:t>11.4.4 Netzwerkkopplung</w:t>
      </w:r>
      <w:bookmarkEnd w:id="17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Kopplung von Netzwerken der Organisation über weniger oder nicht vertrauenswürdige Netzwerke hinweg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Kopplung von Netzwerken der Organisation über weniger oder nicht vertrauenswürdige Netzwerke hinweg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die Vertraulichkeit, Integrität und Authentizität der übertragenen Informationen gewährleistet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die Vertraulichkeit, Integrität und Authentizität der übertragenen Informationen gewährleistet werden.</w:t>
            </w:r>
          </w:p>
        </w:tc>
      </w:tr>
    </w:tbl>
    <w:p>
      <w:pPr>
        <w:pStyle w:val="Heading2"/>
        <w:numPr>
          <w:ilvl w:val="1"/>
          <w:numId w:val="1"/>
        </w:numPr>
        <w:tabs>
          <w:tab w:val="clear" w:pos="709"/>
          <w:tab w:val="left" w:pos="0" w:leader="none"/>
        </w:tabs>
        <w:bidi w:val="0"/>
        <w:ind w:hanging="0" w:start="0"/>
        <w:jc w:val="start"/>
        <w:rPr/>
      </w:pPr>
      <w:bookmarkStart w:id="172" w:name="__RefHeading___zusaetzliche_massnahmen_2"/>
      <w:bookmarkStart w:id="173" w:name="zusaetzliche_massnahmen_fuer_kritische_v"/>
      <w:bookmarkEnd w:id="172"/>
      <w:r>
        <w:rPr/>
        <w:t>11.5 Zusätzliche Maßnahmen für wichtige Verbindungen</w:t>
      </w:r>
      <w:bookmarkEnd w:id="17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Verbindungen,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Verbindungen,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174" w:name="__RefHeading___mobile_datentraeger_89"/>
      <w:bookmarkStart w:id="175" w:name="mobile_datentraeger"/>
      <w:bookmarkEnd w:id="174"/>
      <w:r>
        <w:rPr/>
        <w:t>12 Mobile Datenträger</w:t>
      </w:r>
      <w:bookmarkEnd w:id="17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Datenträger sind aufgrund ihrer exponierten Nutzungsart besonders gefährdet. Deshalb ist es notwendig, die damit verbundenen Risiken angemessen zu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76" w:name="__RefHeading___is-richtlinie_90"/>
      <w:bookmarkStart w:id="177" w:name="is-richtlinie1"/>
      <w:bookmarkEnd w:id="176"/>
      <w:r>
        <w:rPr/>
        <w:t>12.1 IS-Richtlinie</w:t>
      </w:r>
      <w:bookmarkEnd w:id="17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Datenträgern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der Organisation auf mobilen Datenträgern gespeichert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78" w:name="__RefHeading___schutz_der_informationen1"/>
      <w:bookmarkStart w:id="179" w:name="schutz_der_informationen1"/>
      <w:bookmarkEnd w:id="178"/>
      <w:r>
        <w:rPr/>
        <w:t>12.2 Schutz der Informationen</w:t>
      </w:r>
      <w:bookmarkEnd w:id="17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auf den mobilen Datenträgern gespeicherten Informationen der Organisation SOLLTEN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80" w:name="__RefHeading___zusaetzliche_massnahmen_3"/>
      <w:bookmarkStart w:id="181" w:name="zusaetzliche_massnahmen_fuer_kritische_m"/>
      <w:bookmarkEnd w:id="180"/>
      <w:r>
        <w:rPr/>
        <w:t>12.3 Zusätzliche Maßnahmen für wichtige mobile Datenträger</w:t>
      </w:r>
      <w:bookmarkEnd w:id="18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mobilen Datenträger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alle </w:t>
            </w:r>
            <w:r>
              <w:rPr/>
              <w:t>wichtigen mobilen</w:t>
            </w:r>
            <w:r>
              <w:rPr/>
              <w:t xml:space="preserve"> Datenträger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182" w:name="__RefHeading___umgebung_93"/>
      <w:bookmarkStart w:id="183" w:name="umgebung"/>
      <w:bookmarkEnd w:id="182"/>
      <w:r>
        <w:rPr/>
        <w:t>13 Umgebung</w:t>
      </w:r>
      <w:bookmarkEnd w:id="18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t>Die Organisation MUSS ihre IT-Systeme und Datenleitungen gegen negative Umwelteinflüsse absichern.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IT-Systeme und Datenleitungen gegen negative Umwelteinflüsse absichern.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Dies SOLLTE auf Basis eines anerkannten Standards wie z. B. VdS 2007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auf Basis eines anerkannten Standards wie z. B. VdS 2007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184" w:name="__RefHeading___server_aktive_netzwerkkom"/>
      <w:bookmarkStart w:id="185" w:name="server_aktive_netzwerkkomponenten_und_ne"/>
      <w:bookmarkEnd w:id="184"/>
      <w:r>
        <w:rPr/>
        <w:t>13.1 Server, aktive Netzwerkkomponenten und Netzwerkverteilstellen</w:t>
      </w:r>
      <w:bookmarkEnd w:id="18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t>Server, aktive Netzwerkkomponenten und Netzwerkverteilstellen (z. B. Patchfelder) MÜSSEN vor Beschädigung und unberechtigtem Zutritt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aktive Netzwerkkomponenten und Netzwerkverteilstellen (z. B. Patchfelder) MÜSSEN vor Beschädigung und unberechtigtem Zutritt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Dies KANN z. B. durch bauliche Maßnahmen (Serverraum) oder durch abschließbare Schränke (Server- oder Netzwerkschränke)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bauliche Maßnahmen (Serverraum) oder durch abschließbare Schränke (Server- oder Netzwerkschränke)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Insbesondere SOLLTEN folgende Bedrohungen bewertet und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SOLLTEN folgende Bedrohungen bewertet und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E2.3.a</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Fest installierte Niederspannungsanlagen SOLLTEN gemäß gängiger Normen und Standards wie z. B. der DIN VDE 0100-Reihe errichtet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Fest installierte Niederspannungsanlagen SOLLTEN gemäß gängiger Normen und Standards wie z. B. der DIN VDE 0100-Reihe errichtet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E2.4</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4. Beschädigung und Verlust (wie z. B. Löschmittel, Vandalismus, Diebstahl)</w:t>
            </w:r>
          </w:p>
        </w:tc>
      </w:tr>
    </w:tbl>
    <w:p>
      <w:pPr>
        <w:pStyle w:val="Heading2"/>
        <w:numPr>
          <w:ilvl w:val="1"/>
          <w:numId w:val="1"/>
        </w:numPr>
        <w:tabs>
          <w:tab w:val="clear" w:pos="709"/>
          <w:tab w:val="left" w:pos="0" w:leader="none"/>
        </w:tabs>
        <w:bidi w:val="0"/>
        <w:ind w:hanging="0" w:start="0"/>
        <w:jc w:val="start"/>
        <w:rPr/>
      </w:pPr>
      <w:bookmarkStart w:id="186" w:name="__RefHeading___datenleitungen_95"/>
      <w:bookmarkStart w:id="187" w:name="datenleitungen"/>
      <w:bookmarkEnd w:id="186"/>
      <w:r>
        <w:rPr/>
        <w:t>13.2 Datenleitungen</w:t>
      </w:r>
      <w:bookmarkEnd w:id="18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Sämtliche Datenleitungen SOLLTEN gemäß gängiger Normen und Standards wie z. B. DIN EN 50173/4-Reihe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Datenleitungen SOLLTEN gemäß gängiger Normen und Standards wie z. B. DIN EN 50173/4-Reihe 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t>Wenn eine andere Vorgehensweise gewählt wird, MÜSSEN fest installierte Datenleitungen durch entsprechende bauliche Maßnahmen vor Beschädigung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fest installierte Datenleitungen durch entsprechende bauliche Maßnahmen vor Beschädigung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Dies KANN z. B. durch das Verlegen der Datenleitungen in Kabelkanälen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das Verlegen der Datenleitungen in Kabelkanälen umgesetzt werden.</w:t>
            </w:r>
          </w:p>
        </w:tc>
      </w:tr>
    </w:tbl>
    <w:p>
      <w:pPr>
        <w:pStyle w:val="Heading2"/>
        <w:numPr>
          <w:ilvl w:val="1"/>
          <w:numId w:val="1"/>
        </w:numPr>
        <w:tabs>
          <w:tab w:val="clear" w:pos="709"/>
          <w:tab w:val="left" w:pos="0" w:leader="none"/>
        </w:tabs>
        <w:bidi w:val="0"/>
        <w:ind w:hanging="0" w:start="0"/>
        <w:jc w:val="start"/>
        <w:rPr/>
      </w:pPr>
      <w:bookmarkStart w:id="188" w:name="__RefHeading___zusaetzliche_massnahmen_4"/>
      <w:bookmarkStart w:id="189" w:name="zusaetzliche_massnahmen_fuer_kritische_1"/>
      <w:bookmarkEnd w:id="188"/>
      <w:r>
        <w:rPr/>
        <w:t>13.3 Zusätzliche Maßnahmen für wichtige</w:t>
      </w:r>
      <w:r>
        <w:rPr/>
        <w:t>n</w:t>
      </w:r>
      <w:r>
        <w:rPr/>
        <w:t xml:space="preserve"> IT-Systeme</w:t>
      </w:r>
      <w:bookmarkEnd w:id="18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Im Zuge der Risikoanalyse und -behandlung (siehe Abschnitt 10.5.1) MÜSSEN für alle kritischen IT-Systeme folgende Bedrohungen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w:t>
            </w:r>
            <w:r>
              <w:rPr/>
              <w:t>ToDo: Prüfen, ob das passt</w:t>
            </w:r>
            <w:r>
              <w:rPr/>
              <w: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Im Zuge der Risikoanalyse und -behandlung (siehe Abschnitt 10.5.1) MÜSSEN für alle </w:t>
            </w:r>
            <w:r>
              <w:rPr/>
              <w:t>wichtigen</w:t>
            </w:r>
            <w:r>
              <w:rPr/>
              <w:t xml:space="preserve"> IT-Systeme folgende Bedrohungen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Beschädigung und Verlust (wie z. B. Löschmittel, Vandalismus, Diebstahl)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unautorisierter Zutritt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unautorisierter Zutritt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Ausspähen vertraulicher Informationen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Ausspähen vertraulicher 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 geprüft werden, kritische IT-Systeme in zusätzlich abgesicherten Gebäuden oder Gebäudeteilen unterzubringen (Sicherheitszonen).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 geprüft werden, kritische IT-Systeme in zusätzlich abgesicherten Gebäuden oder Gebäudeteilen unterzubringen (Sicherheitszonen).</w:t>
            </w:r>
          </w:p>
        </w:tc>
      </w:tr>
    </w:tbl>
    <w:p>
      <w:pPr>
        <w:pStyle w:val="Heading1"/>
        <w:numPr>
          <w:ilvl w:val="0"/>
          <w:numId w:val="1"/>
        </w:numPr>
        <w:tabs>
          <w:tab w:val="clear" w:pos="709"/>
          <w:tab w:val="left" w:pos="0" w:leader="none"/>
        </w:tabs>
        <w:bidi w:val="0"/>
        <w:ind w:hanging="0" w:start="0"/>
        <w:jc w:val="start"/>
        <w:rPr/>
      </w:pPr>
      <w:bookmarkStart w:id="190" w:name="__RefHeading___it-outsourcing_und_cloud_"/>
      <w:bookmarkStart w:id="191" w:name="it-outsourcing_und_cloud_computing"/>
      <w:bookmarkEnd w:id="190"/>
      <w:r>
        <w:rPr/>
        <w:t>14 IT-Outsourcing und Cloud Computing</w:t>
      </w:r>
      <w:bookmarkEnd w:id="19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ist es notwendig, dass die Sicherheitsinteressen der Organisation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92" w:name="__RefHeading___is-richtlinie_98"/>
      <w:bookmarkStart w:id="193" w:name="is-richtlinie2"/>
      <w:bookmarkEnd w:id="192"/>
      <w:r>
        <w:rPr/>
        <w:t>14.1 IS-Richtlinie</w:t>
      </w:r>
      <w:bookmarkEnd w:id="19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6.2 MÜSSEN in einer IS-Richtlinie die Bedingungen, unter welchen IT-Ressourcen ausgelagert werden dürfen,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94" w:name="__RefHeading___vorbereitung_99"/>
      <w:bookmarkStart w:id="195" w:name="vorbereitung"/>
      <w:bookmarkEnd w:id="194"/>
      <w:r>
        <w:rPr/>
        <w:t>14.2 Vorbereitung</w:t>
      </w:r>
      <w:bookmarkEnd w:id="19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Vorhaben, das zur Auslagerung von IT-Ressourcen führt, MÜSSEN folgende Punkte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welche IT-Ressourcen ausgelagert werden sollen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ob die auszulagernden IT-Ressourcen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MUSS die Organisation darauf vorbereitet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Kompetenzen für die Steuerung der auszulagernden IT-Ressourcen werden aufgebaut.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IT-Infrastruktur wird auf das Zusammenspiel mit den auszulagernden IT-Ressourcen vorbereitet.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2"/>
        <w:numPr>
          <w:ilvl w:val="1"/>
          <w:numId w:val="1"/>
        </w:numPr>
        <w:tabs>
          <w:tab w:val="clear" w:pos="709"/>
          <w:tab w:val="left" w:pos="0" w:leader="none"/>
        </w:tabs>
        <w:bidi w:val="0"/>
        <w:ind w:hanging="0" w:start="0"/>
        <w:jc w:val="start"/>
        <w:rPr/>
      </w:pPr>
      <w:bookmarkStart w:id="196" w:name="__RefHeading___vertragsgestaltung_100"/>
      <w:bookmarkStart w:id="197" w:name="vertragsgestaltung"/>
      <w:bookmarkEnd w:id="196"/>
      <w:r>
        <w:rPr/>
        <w:t>14.3 Vertragsgestaltung</w:t>
      </w:r>
      <w:bookmarkEnd w:id="19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Punkte sichergestellt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98" w:name="__RefHeading___zusaetzliche_massnahmen_5"/>
      <w:bookmarkStart w:id="199" w:name="zusaetzliche_massnahmen_fuer_kritische_2"/>
      <w:bookmarkEnd w:id="198"/>
      <w:r>
        <w:rPr/>
        <w:t>14.4 Zusätzliche Maßnahmen für kritische IT-Ressourcen</w:t>
      </w:r>
      <w:bookmarkEnd w:id="19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kritische IT-Ressourcen ausgelagert werden, MÜSSEN die Anforderungen aus Abschnitt 14.1 an ihre Vertraulichkeit, Verfügbarkeit und Integrität im Rahmen einer Risikoanalyse (siehe Anhang A 2.1) ermittelt und folgende Punkte vertraglich geregelt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Leistungen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vom Anbieter zu erbringenden Leistungen werden definiert und deren Messung und Überwachung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Die Standorte, an denen Leistungen erbracht werden, werden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Z1.1.c</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Sicherheitsmaßnahmen, die der Anbieter zum Schutz der ausgelagerten IT-Ressourcen treffen muss,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Z1.1.d</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Beschreibung der Schnittstellen zwischen der IT-Infrastruktur der Organisation und den ausgelagerten IT-Ressourcen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SOLLTEN Konsequenzen bei Nichteinhaltung der vertraglich vereinbarten Leistungen vereinbart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Kommunikation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Ansprechpartner auf Seiten der Organisation und des Anbieters werden benannt.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Vertraulichkeitsvereinbarung wird getroffen.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Z1.2.c</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Es wird vereinbart, ob und unter welchen Bedingungen der Anbieter dazu berechtigt ist, Daten an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Z1.2.d</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Informationspflicht des Anbieters bei Sicherheitsvorfällen, die die ausgelagerten IT-Ressourcen betreffen,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Leistungsänderungen und Vertragsauflösung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schriftliche Dokumentation und Meldung bei Änderungen an einem der oben genannten Punkte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1"/>
        <w:numPr>
          <w:ilvl w:val="0"/>
          <w:numId w:val="1"/>
        </w:numPr>
        <w:tabs>
          <w:tab w:val="clear" w:pos="709"/>
          <w:tab w:val="left" w:pos="0" w:leader="none"/>
        </w:tabs>
        <w:bidi w:val="0"/>
        <w:ind w:hanging="0" w:start="0"/>
        <w:jc w:val="start"/>
        <w:rPr/>
      </w:pPr>
      <w:bookmarkStart w:id="200" w:name="__RefHeading___zugaenge_und_zugriffsrech"/>
      <w:bookmarkStart w:id="201" w:name="zugaenge_und_zugriffsrechte"/>
      <w:bookmarkEnd w:id="200"/>
      <w:r>
        <w:rPr/>
        <w:t>15 Zugänge und Zugriffsrechte</w:t>
      </w:r>
      <w:bookmarkEnd w:id="20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Zugänge und Zugriffsrechte erlauben es, auf die nichtöffentliche IT der Organisation und ihre Daten zuzugreifen. Deshalb ist es notwendig, beide strukturiert zu verwalten.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02" w:name="__RefHeading___verwaltung_103"/>
      <w:bookmarkStart w:id="203" w:name="verwaltung"/>
      <w:bookmarkEnd w:id="202"/>
      <w:r>
        <w:rPr/>
        <w:t>15.1 Verwaltung</w:t>
      </w:r>
      <w:bookmarkEnd w:id="20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jeweiligen Vorgänge werden vor ihrer Umsetzung beantragt, geprüft und genehmigt.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Wenn ein Nutzer administrative Zugänge oder Zugriffsrechte erhalten soll, wird dies besonders begründet und vom IT-Verantwortlichen entschieden.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Antragssteller und Nutzer werden zeitnah über die erfolgte Durchführung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Wenn Zugänge oder Zugriffsrechte entzogen werden, KANN auf das Informieren des Nutzers verzichtet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Vor dem Löschen eines Zugangs werden die Daten, die mit ihm verknüpft sind, weitergegeben, gelöscht oder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Die jeweiligen Vorgänge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04" w:name="__RefHeading___zusaetzliche_massnahmen_6"/>
      <w:bookmarkStart w:id="205" w:name="zusaetzliche_massnahmen_fuer_kritische_3"/>
      <w:bookmarkEnd w:id="204"/>
      <w:r>
        <w:rPr/>
        <w:t>15.2 Zusätzliche Maßnahmen für besonders schützenswerte IT-Systeme und Informationen</w:t>
      </w:r>
      <w:bookmarkEnd w:id="20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Zugänge zu kritischen IT-Systemen sowie sämtliche Zugriffsrechte auf kritische Informationen MÜSSEN jährlich erfasst und daraufhin überprüft werden, ob sie gemäß der Verfahren aus Abschnitt 15.1 angelegt wurden und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ordnungsgemäß angelegte Zugänge und Zugriffsrechte MÜSSEN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1"/>
        <w:numPr>
          <w:ilvl w:val="0"/>
          <w:numId w:val="1"/>
        </w:numPr>
        <w:tabs>
          <w:tab w:val="clear" w:pos="709"/>
          <w:tab w:val="left" w:pos="0" w:leader="none"/>
        </w:tabs>
        <w:bidi w:val="0"/>
        <w:ind w:hanging="0" w:start="0"/>
        <w:jc w:val="start"/>
        <w:rPr/>
      </w:pPr>
      <w:bookmarkStart w:id="206" w:name="__RefHeading___datensicherung_und_archiv"/>
      <w:bookmarkStart w:id="207" w:name="datensicherung_und_archivierung"/>
      <w:bookmarkEnd w:id="206"/>
      <w:r>
        <w:rPr/>
        <w:t>16 Datensicherung und Archivierung</w:t>
      </w:r>
      <w:bookmarkEnd w:id="20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Daten können unbrauchbar werden oder verloren gehen. Deshalb ist es notwendig, durch eine Datensicherung die Integrität und Verfügbarkeit der Daten sicherzustellen.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08" w:name="__RefHeading___is-richtlinie_106"/>
      <w:bookmarkStart w:id="209" w:name="is-richtlinie3"/>
      <w:bookmarkEnd w:id="208"/>
      <w:r>
        <w:rPr/>
        <w:t>16.1 IS-Richtlinie</w:t>
      </w:r>
      <w:bookmarkEnd w:id="20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die Speicherorte für die Daten der Organisation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10" w:name="__RefHeading___archivierung_107"/>
      <w:bookmarkStart w:id="211" w:name="archivierung"/>
      <w:bookmarkEnd w:id="210"/>
      <w:r>
        <w:rPr/>
        <w:t>16.2 Archivierung</w:t>
      </w:r>
      <w:bookmarkEnd w:id="21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prüfen, welche Daten archiviert werden müssen, um betrieblichen, gesetzlichen und vertraglichen Anforderungen zu genügen.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12" w:name="__RefHeading___verfahren_108"/>
      <w:bookmarkStart w:id="213" w:name="verfahren"/>
      <w:bookmarkEnd w:id="212"/>
      <w:r>
        <w:rPr/>
        <w:t>16.3 Verfahren</w:t>
      </w:r>
      <w:bookmarkEnd w:id="213"/>
    </w:p>
    <w:p>
      <w:pPr>
        <w:pStyle w:val="BodyText"/>
        <w:tabs>
          <w:tab w:val="clear" w:pos="709"/>
          <w:tab w:val="left" w:pos="0" w:leader="none"/>
        </w:tabs>
        <w:bidi w:val="0"/>
        <w:ind w:hanging="0" w:start="0"/>
        <w:jc w:val="start"/>
        <w:rPr/>
      </w:pPr>
      <w:r>
        <w:rPr/>
        <w:t>ToDO: VdS 10005 nutzen, um die VdS 10k zu verbessern und auch hier zu übernehmen.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die Datensicherung, -wiederherstellung und -archivierung MÜSSEN Verfahren (siehe Anhang A 1) implementiert werden, die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gesicherten Daten werden bei Übertragung, Lagerung und Transport vor Änderungen, Beschädigung, Verlust und unberechtigter Einsichtnahme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 oder der Sicherungsmedien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gesicherten Daten werden nicht im gleichen Brandabschnitt wie die gesicherten IT-Systeme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Die Durchführung und die Ergebnisse der Tests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Verfahren SOLLTEN darüber hinaus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Einzelne Datensicherungen werden in festen zeitlichen Abständen (z. B. wöchentlich) an einen entfernten Standort ausgelagert, damit die gesicherten Daten auch bei größeren Schadensereignissen verfügbar bleiben.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Die Datensicherung wird nach dem Mehr-Generationen-Prinzip durchgeführt, um die Wahrscheinlichkeit eines umfangreichen Datenverlusts weiter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14" w:name="__RefHeading___weiterentwicklung_112"/>
      <w:bookmarkStart w:id="215" w:name="weiterentwicklung"/>
      <w:bookmarkEnd w:id="214"/>
      <w:r>
        <w:rPr/>
        <w:t>16.4 Weiterentwicklung</w:t>
      </w:r>
      <w:bookmarkEnd w:id="21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Notwendige Anpassungen MÜSSEN zeitnah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16" w:name="__RefHeading___basisschutz_113"/>
      <w:bookmarkStart w:id="217" w:name="basisschutz2"/>
      <w:bookmarkEnd w:id="216"/>
      <w:r>
        <w:rPr/>
        <w:t>16.5 Basisschutz</w:t>
      </w:r>
      <w:bookmarkEnd w:id="21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Speicherorte (siehe Abschnitt 16.1), Server, aktive Netzwerkkomponenten und mobile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Speicherorte (siehe Abschnitt 16.1), Server, aktive Netzwerkkomponenten und mobile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Speicherorte, Server, aktive Netzwerkkomponenten und mobile IT-Systeme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218" w:name="__RefHeading___speicherorte_114"/>
      <w:bookmarkStart w:id="219" w:name="speicherorte"/>
      <w:bookmarkEnd w:id="218"/>
      <w:r>
        <w:rPr/>
        <w:t>16.5.1 Speicherorte</w:t>
      </w:r>
      <w:bookmarkEnd w:id="21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Speicherorte MÜSSEN so gesichert werden, dass ihr letzter vollständig wiederherstellbarer Zustand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220" w:name="__RefHeading___server_115"/>
      <w:bookmarkStart w:id="221" w:name="server"/>
      <w:bookmarkEnd w:id="220"/>
      <w:r>
        <w:rPr/>
        <w:t>16.5.2 Server</w:t>
      </w:r>
      <w:bookmarkEnd w:id="22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3"/>
        <w:numPr>
          <w:ilvl w:val="2"/>
          <w:numId w:val="1"/>
        </w:numPr>
        <w:tabs>
          <w:tab w:val="clear" w:pos="709"/>
          <w:tab w:val="left" w:pos="0" w:leader="none"/>
        </w:tabs>
        <w:bidi w:val="0"/>
        <w:ind w:hanging="0" w:start="0"/>
        <w:jc w:val="start"/>
        <w:rPr/>
      </w:pPr>
      <w:bookmarkStart w:id="222" w:name="__RefHeading___aktive_netzwerkkomponent1"/>
      <w:bookmarkStart w:id="223" w:name="aktive_netzwerkkomponenten1"/>
      <w:bookmarkEnd w:id="222"/>
      <w:r>
        <w:rPr/>
        <w:t>16.5.3 Aktive Netzwerkkomponenten</w:t>
      </w:r>
      <w:bookmarkEnd w:id="22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Systemsoftware und Konfiguration der aktiven Netzwerkkomponenten MÜSSEN nach jeder Änderung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224" w:name="__RefHeading___mobile_it-systeme_117"/>
      <w:bookmarkStart w:id="225" w:name="mobile_it-systeme"/>
      <w:bookmarkEnd w:id="224"/>
      <w:r>
        <w:rPr/>
        <w:t>16.5.4 Mobile IT-Systeme</w:t>
      </w:r>
      <w:bookmarkEnd w:id="22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Vorgehensweise für die Datensicherung von einem Administrator vorgegeben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2"/>
        <w:numPr>
          <w:ilvl w:val="1"/>
          <w:numId w:val="1"/>
        </w:numPr>
        <w:tabs>
          <w:tab w:val="clear" w:pos="709"/>
          <w:tab w:val="left" w:pos="0" w:leader="none"/>
        </w:tabs>
        <w:bidi w:val="0"/>
        <w:ind w:hanging="0" w:start="0"/>
        <w:jc w:val="start"/>
        <w:rPr/>
      </w:pPr>
      <w:bookmarkStart w:id="226" w:name="__RefHeading___zusaetzliche_massnahmen_7"/>
      <w:bookmarkStart w:id="227" w:name="zusaetzliche_massnahmen_fuer_kritische_4"/>
      <w:bookmarkEnd w:id="226"/>
      <w:r>
        <w:rPr/>
        <w:t>16.6 Zusätzliche Maßnahmen für wichtige und besonders schützenswerte IT-Systeme</w:t>
      </w:r>
      <w:bookmarkEnd w:id="22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kritische IT-System MUSS über eine Datensicherung verfügen, die in Ergänzung zu Abschnitts 16.5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anpassen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3"/>
        <w:numPr>
          <w:ilvl w:val="2"/>
          <w:numId w:val="1"/>
        </w:numPr>
        <w:tabs>
          <w:tab w:val="clear" w:pos="709"/>
          <w:tab w:val="left" w:pos="0" w:leader="none"/>
        </w:tabs>
        <w:bidi w:val="0"/>
        <w:ind w:hanging="0" w:start="0"/>
        <w:jc w:val="start"/>
        <w:rPr/>
      </w:pPr>
      <w:bookmarkStart w:id="228" w:name="__RefHeading___risikoanalyse_119"/>
      <w:bookmarkStart w:id="229" w:name="risikoanalyse"/>
      <w:bookmarkEnd w:id="228"/>
      <w:r>
        <w:rPr/>
        <w:t>16.6.1 Risikoanalyse</w:t>
      </w:r>
      <w:bookmarkEnd w:id="22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die Folgen eines Datenverlusts analysiert und dabei der MTD bestimmt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230" w:name="__RefHeading___verfahren_120"/>
      <w:bookmarkStart w:id="231" w:name="verfahren1"/>
      <w:bookmarkEnd w:id="230"/>
      <w:r>
        <w:rPr/>
        <w:t>16.6.2 Verfahren</w:t>
      </w:r>
      <w:bookmarkEnd w:id="23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zur Datensicherung und -wiederherstellung MÜSSEN in Ergänzung zu Abschnitt 16.3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Kritische IT-Systeme werden vollständig gesichert (Systemsoftware, Konfigurationen, Anwendungssoftware, Anwendungs-, Logdaten, usw.).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MTD wird nicht überschritten.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Wiederherstellung innerhalb der MTA wird gewährleistet,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1"/>
        <w:numPr>
          <w:ilvl w:val="0"/>
          <w:numId w:val="1"/>
        </w:numPr>
        <w:tabs>
          <w:tab w:val="clear" w:pos="709"/>
          <w:tab w:val="left" w:pos="0" w:leader="none"/>
        </w:tabs>
        <w:bidi w:val="0"/>
        <w:ind w:hanging="0" w:start="0"/>
        <w:jc w:val="start"/>
        <w:rPr/>
      </w:pPr>
      <w:bookmarkStart w:id="232" w:name="__RefHeading___stoerungen_und_ausfaelle_"/>
      <w:bookmarkStart w:id="233" w:name="stoerungen_und_ausfaelle"/>
      <w:bookmarkEnd w:id="232"/>
      <w:r>
        <w:rPr/>
        <w:t xml:space="preserve">17 </w:t>
      </w:r>
      <w:bookmarkEnd w:id="233"/>
      <w:r>
        <w:rPr/>
        <w:t>Sicherheitsvorfälle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1" name="0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 Copy 1 Copy 1 Copy 1" descr="" title=""/>
                          <pic:cNvPicPr>
                            <a:picLocks noChangeAspect="1" noChangeArrowheads="1"/>
                          </pic:cNvPicPr>
                        </pic:nvPicPr>
                        <pic:blipFill>
                          <a:blip r:embed="rId12"/>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rFonts w:eastAsia="Bitstream Vera Sans" w:cs="Bitstream Vera Sans"/>
                <w:color w:val="auto"/>
                <w:sz w:val="20"/>
                <w:szCs w:val="24"/>
                <w:lang w:val="de-DE" w:eastAsia="en-US" w:bidi="en-US"/>
              </w:rPr>
              <w:t xml:space="preserve">Kapitel 17 und 18 werden in der VdS 10000 unter der Überschrift </w:t>
            </w:r>
            <w:r>
              <w:rPr>
                <w:rFonts w:eastAsia="Bitstream Vera Sans" w:cs="Bitstream Vera Sans"/>
                <w:color w:val="auto"/>
                <w:kern w:val="0"/>
                <w:sz w:val="20"/>
                <w:szCs w:val="24"/>
                <w:lang w:val="de-DE" w:eastAsia="en-US" w:bidi="en-US"/>
              </w:rPr>
              <w:t xml:space="preserve">„Sicherheitsvorfälle“ </w:t>
            </w:r>
            <w:r>
              <w:rPr>
                <w:rFonts w:eastAsia="Bitstream Vera Sans" w:cs="Bitstream Vera Sans"/>
                <w:color w:val="auto"/>
                <w:sz w:val="20"/>
                <w:szCs w:val="24"/>
                <w:lang w:val="de-DE" w:eastAsia="en-US" w:bidi="en-US"/>
              </w:rPr>
              <w:t>zusammengelegt.</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 (aufgenommen in Kapitel 3)</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34" w:name="__RefHeading___is-richtlinie_122"/>
      <w:bookmarkStart w:id="235" w:name="is-richtlinie4"/>
      <w:bookmarkEnd w:id="234"/>
      <w:r>
        <w:rPr/>
        <w:t>17.1 IS-Richtlinie</w:t>
      </w:r>
      <w:bookmarkEnd w:id="23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Sicherheitsvorfällen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Begriff „Sicherheitsvorfall“ wird klar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Definition </w:t>
            </w:r>
            <w:r>
              <w:rPr>
                <w:rFonts w:eastAsia="Bitstream Vera Sans" w:cs="Bitstream Vera Sans"/>
                <w:color w:val="auto"/>
                <w:kern w:val="0"/>
                <w:sz w:val="20"/>
                <w:szCs w:val="24"/>
                <w:lang w:val="de-DE" w:eastAsia="en-US" w:bidi="en-US"/>
              </w:rPr>
              <w:t>„erheblicher Sicherheitsvorfall“ in Kap. 3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Begriffe „Sicherheitsvorfall“ und </w:t>
            </w:r>
            <w:r>
              <w:rPr>
                <w:rFonts w:eastAsia="Bitstream Vera Sans" w:cs="Bitstream Vera Sans"/>
                <w:color w:val="auto"/>
                <w:kern w:val="0"/>
                <w:sz w:val="20"/>
                <w:szCs w:val="24"/>
                <w:lang w:val="de-DE" w:eastAsia="en-US" w:bidi="en-US"/>
              </w:rPr>
              <w:t xml:space="preserve">„erheblicher Sicherheitsvorfall“ </w:t>
            </w:r>
            <w:r>
              <w:rPr/>
              <w:t>werden klar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Hierbei SOLLTE aufgezählt werden, welche Auffälligkeiten zur Meldung eines möglichen Sicherheitsvorfalls führen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Jeder Mitarbeiter meldet mögliche Sicherheitsvorfälle über die dafür vorgesehenen Meldewege.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Administratoren untersuchen, ggf. in Zusammenarbeit mit den jeweiligen Prozessverantwortlichen, dem IT-Verantwortlichen und dem ISB, Sicherheitsvorfälle vordringlich.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Verantwortlichen untersuchen, ggf. in Zusammenarbeit mit den jeweiligen Prozessverantwortlichen, den IT-Verantwortlichen und dem ISB, Sicherheitsvorfälle vordringlich.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definiert, in welchen Fällen das Topmanagement über Sicherheitsvorfälle informiert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wie die Organisation intern und nach außen über akute und bewältigte Sicherheitsvorfälle kommuniziert.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6. Es wird definiert, ab wann ein Sicherheitsvorfall als </w:t>
            </w:r>
            <w:r>
              <w:rPr>
                <w:rFonts w:eastAsia="Bitstream Vera Sans" w:cs="Bitstream Vera Sans"/>
                <w:color w:val="auto"/>
                <w:kern w:val="0"/>
                <w:sz w:val="20"/>
                <w:szCs w:val="24"/>
                <w:lang w:val="de-DE" w:eastAsia="en-US" w:bidi="en-US"/>
              </w:rPr>
              <w:t>ein erheblicher Sicherheitsvorfall eingestuft wird.</w:t>
            </w:r>
          </w:p>
        </w:tc>
      </w:tr>
    </w:tbl>
    <w:p>
      <w:pPr>
        <w:pStyle w:val="Heading2"/>
        <w:numPr>
          <w:ilvl w:val="1"/>
          <w:numId w:val="1"/>
        </w:numPr>
        <w:tabs>
          <w:tab w:val="clear" w:pos="709"/>
          <w:tab w:val="left" w:pos="0" w:leader="none"/>
        </w:tabs>
        <w:bidi w:val="0"/>
        <w:ind w:hanging="0" w:start="0"/>
        <w:jc w:val="start"/>
        <w:rPr/>
      </w:pPr>
      <w:bookmarkStart w:id="236" w:name="__RefHeading___erkennen_129_Copy_1"/>
      <w:bookmarkStart w:id="237" w:name="erkennen_Copy_1"/>
      <w:bookmarkEnd w:id="236"/>
      <w:r>
        <w:rPr/>
        <w:t>17.2 Erkennen</w:t>
      </w:r>
      <w:bookmarkEnd w:id="2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Es SOLLTEN Maßnahmen implementiert werden, die es ermöglichen, Sicherheitsvorfälle zu erkennen, wie z. B.:</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MÜSSEN bei der VdS 10100?</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1. Intrusion Detection Systeme (IDS)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ToDo: Aktualisieren.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2. Integritätsprüfungen auf Prüfsummenbasis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3. Sensor-Systeme (Honeypots)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4. Überwachen der Zugriffe auf besonders sensible Dateien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ToDo: besser formulieren</w:t>
            </w:r>
          </w:p>
          <w:p>
            <w:pPr>
              <w:pStyle w:val="TableContents"/>
              <w:numPr>
                <w:ilvl w:val="0"/>
                <w:numId w:val="1"/>
              </w:numPr>
              <w:bidi w:val="0"/>
              <w:jc w:val="start"/>
              <w:rPr/>
            </w:pPr>
            <w:r>
              <w:rPr/>
              <w:t xml:space="preserve">ToDo: in die VdS 10k folgende Änderung implementieren: </w:t>
            </w:r>
            <w:r>
              <w:rPr>
                <w:rFonts w:eastAsia="Bitstream Vera Sans" w:cs="Bitstream Vera Sans"/>
                <w:color w:val="auto"/>
                <w:kern w:val="0"/>
                <w:sz w:val="20"/>
                <w:szCs w:val="24"/>
                <w:lang w:val="de-DE" w:eastAsia="en-US" w:bidi="en-US"/>
              </w:rPr>
              <w:t>„Zugriffe auf besonders sensible Informationen“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 xml:space="preserve">4. Überwachen der Zugriffe auf </w:t>
            </w:r>
            <w:r>
              <w:rPr>
                <w:rStyle w:val="Emphasis"/>
                <w:rFonts w:eastAsia="Bitstream Vera Sans" w:cs="Bitstream Vera Sans"/>
                <w:i/>
                <w:iCs/>
                <w:color w:val="auto"/>
                <w:kern w:val="0"/>
                <w:sz w:val="20"/>
                <w:szCs w:val="24"/>
                <w:lang w:val="de-DE" w:eastAsia="en-US" w:bidi="en-US"/>
              </w:rPr>
              <w:t>besonders schützenswerte Informationen</w:t>
            </w:r>
            <w:r>
              <w:rPr>
                <w:rStyle w:val="Emphasis"/>
              </w:rPr>
              <w:t xml:space="preserve"> </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5. Erfassen und Auswerten von Logmeldungen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r>
          </w:p>
        </w:tc>
      </w:tr>
    </w:tbl>
    <w:p>
      <w:pPr>
        <w:pStyle w:val="Heading2"/>
        <w:numPr>
          <w:ilvl w:val="1"/>
          <w:numId w:val="1"/>
        </w:numPr>
        <w:tabs>
          <w:tab w:val="clear" w:pos="709"/>
          <w:tab w:val="left" w:pos="0" w:leader="none"/>
        </w:tabs>
        <w:bidi w:val="0"/>
        <w:ind w:hanging="0" w:start="0"/>
        <w:jc w:val="start"/>
        <w:rPr/>
      </w:pPr>
      <w:bookmarkStart w:id="238" w:name="__RefHeading___reaktion_123"/>
      <w:bookmarkStart w:id="239" w:name="reaktion"/>
      <w:bookmarkEnd w:id="238"/>
      <w:r>
        <w:rPr/>
        <w:t>17.3 Reaktion</w:t>
      </w:r>
      <w:bookmarkEnd w:id="2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beim Auftreten eines Sicherheitsvorfalls folgende Reaktionen zeitnah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ein Überblick über die Situation gewonnen.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alle erforderlichen Maßnahmen getroffen, um Leib und Leben von Personen zu schützen.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Der Schaden wird durch Sofortmaßnahmen eingedämmt.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Der Schaden wird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Beweismittel werden gesichert.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Der Schaden wird behoben und der Regelbetrieb wieder aufgenommen.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findet eine Nacbhbereitung statt, bei der die Ursachen ermittelt und konkrete Verbesserungen erarbeitet werden; insbesondere werden dabei betroffene Verfahren (siehe Anhang A 1) und Risikoanalysen (siehe Anhang A 2)geprüft.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geringfügigen Störungen oder Ausfällen KÖNNEN einzelne Punkte ausgelassen und/oder das Verfahren vorzeitig beendet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Ggf. in die VdS 10000 aufnehmen?! Organisationen sind z. B. auch ohne NIS2 verpflichtet, Informationen an Dritte (z. B. an Versicherungen, Datenschutz-Aufsichtsbehörden usw.) weiterzugeben,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Grundlage für die Zusammenarbeit mit dem BSI legen.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1. Der Sicherheitsvorfall wird fortlaufend so dokumentiert, so dass die Organisation ihre Informationspflichten erfüllen kann.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Für die Erfüllung von § 32 Abs. 1,2 und 3, insbesondere Anfragen des B</w:t>
            </w:r>
            <w:r>
              <w:rPr>
                <w:rFonts w:eastAsia="Bitstream Vera Sans" w:cs="Bitstream Vera Sans"/>
                <w:color w:val="auto"/>
                <w:kern w:val="0"/>
                <w:sz w:val="20"/>
                <w:szCs w:val="24"/>
                <w:lang w:val="de-DE" w:eastAsia="en-US" w:bidi="en-US"/>
              </w:rPr>
              <w:t>SI zu beantworten.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Ist das nicht Aufgabe des ISB?!</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Gesicht nach außen und innen?!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 E</w:t>
            </w:r>
            <w:r>
              <w:rPr>
                <w:rFonts w:eastAsia="Bitstream Vera Sans" w:cs="Bitstream Vera Sans"/>
                <w:color w:val="auto"/>
                <w:kern w:val="0"/>
                <w:sz w:val="20"/>
                <w:szCs w:val="24"/>
                <w:lang w:val="de-DE" w:eastAsia="en-US" w:bidi="en-US"/>
              </w:rPr>
              <w:t>i</w:t>
            </w:r>
            <w:r>
              <w:rPr/>
              <w:t>nem Mitarbeiter mit entsprechender Fachkompetenz wird die Verantwortlichkeit zugeordnet, mit dem BSI zu kommunizieren.</w:t>
            </w:r>
          </w:p>
          <w:p>
            <w:pPr>
              <w:pStyle w:val="TableContents"/>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Diese Verantwortlichkeit KANN z. B. der ISB wahrnehmen.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32 Abs. 1,2 und 3</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3. Die Informationspflichten gem. § 32 BSIG (Erstmeldung, Bewertung des Sicherheitsvorfalls, Zwischenmeldungen auf Anfrage des BSI, ggf. Fortschrittsmeldungen und Abschlussmeldung) werden über das entsprechende Meldeverfahren des BSI erfüllt.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1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Ziel muss es sein, die Organisation auf eine Krisenkommunikation vorzubereiten.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4. Auf Anweisung des BSI werden die Empfänger der betroffenen Dienste unverzüglich über den Sicherheitsvorfall unterrichtet; hierzu werden entsprechende Inhalte, Empfängerlisten und Kommunikationswege vorbereitet, die auch bei einer Störung oder einem Ausfall der IT-Infrastruktur genutzt werden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2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Zusätzlich sollte die Empfehlung aufgenommen werden, auch für die interne Kommunikation entsprechende Vorkehrungen zu treffen.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5. Fällt die Organisation unter § 35 Abs. 2, werden dem BSI und den Empfängern der betroffenen Dienste darüber hinaus Informationen über die Bedrohung selbst und über mögliche Schutzmaßnahmen mitgeteilt, hierzu werden entsprechende Inhalte vorbereitet, die im Bedarfsfall nur noch angepasst werden müssen.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11</w:t>
            </w:r>
          </w:p>
        </w:tc>
        <w:tc>
          <w:tcPr>
            <w:tcW w:w="4712" w:type="dxa"/>
            <w:tcBorders>
              <w:start w:val="single" w:sz="2" w:space="0" w:color="000000"/>
              <w:bottom w:val="single" w:sz="2" w:space="0" w:color="000000"/>
              <w:end w:val="single" w:sz="2" w:space="0" w:color="000000"/>
            </w:tcBorders>
          </w:tcPr>
          <w:p>
            <w:pPr>
              <w:pStyle w:val="Normal"/>
              <w:bidi w:val="0"/>
              <w:jc w:val="start"/>
              <w:rPr/>
            </w:pPr>
            <w:r>
              <w:rPr/>
              <w:t>Das BSI SOLLTE in besonderen Fällen hinzugezogen werden, z. B. wenn ein Angriff besonderer technischer Qualität vorliegt oder wenn die zügige Wiederherstellung der Sicherheit oder Funktionsfähigkeit des betroffenen IT-Systems von besonderem öffentlichem Interesse ist.</w:t>
            </w:r>
          </w:p>
        </w:tc>
      </w:tr>
    </w:tbl>
    <w:p>
      <w:pPr>
        <w:pStyle w:val="Heading2"/>
        <w:numPr>
          <w:ilvl w:val="1"/>
          <w:numId w:val="1"/>
        </w:numPr>
        <w:tabs>
          <w:tab w:val="clear" w:pos="709"/>
          <w:tab w:val="left" w:pos="0" w:leader="none"/>
        </w:tabs>
        <w:bidi w:val="0"/>
        <w:ind w:hanging="0" w:start="0"/>
        <w:jc w:val="start"/>
        <w:rPr/>
      </w:pPr>
      <w:bookmarkStart w:id="240" w:name="__RefHeading___zusaetzliche_massnahmen_8"/>
      <w:bookmarkStart w:id="241" w:name="zusaetzliche_massnahmen_fuer_kritische_5"/>
      <w:bookmarkEnd w:id="240"/>
      <w:r>
        <w:rPr/>
        <w:t>17.4 Zusätzliche Maßnahmen für kritische IT-Systeme</w:t>
      </w:r>
      <w:bookmarkEnd w:id="2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242" w:name="__RefHeading___wiederanlaufplaene_125"/>
      <w:bookmarkStart w:id="243" w:name="wiederanlaufplaene"/>
      <w:bookmarkEnd w:id="242"/>
      <w:r>
        <w:rPr/>
        <w:t>17.4.1 Wiederanlaufpläne</w:t>
      </w:r>
      <w:bookmarkEnd w:id="24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kritische IT-System MUSS ein Verfahren (siehe Anhang A 1) für den Wiederanlauf implementiert werden (Wiederanlaufplan), das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 enthält eine Aufstellung der für die Wiederherstellung zwingend benötigten Ressourcen, wie z. B. Mitarbeiter und deren Kontaktdaten, Hardware, Software, Netzwerke, Dienste und Authentifizierungsmerkmale.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Er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Er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Er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244" w:name="__RefHeading___abhaengigkeiten_126"/>
      <w:bookmarkStart w:id="245" w:name="abhaengigkeiten"/>
      <w:bookmarkEnd w:id="244"/>
      <w:r>
        <w:rPr/>
        <w:t>17.4.2 Abhängigkeiten</w:t>
      </w:r>
      <w:bookmarkEnd w:id="24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die Abhängigkeiten der kritischen IT-Systeme untereinander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die Abhängigkeiten der kritischen IT-Systeme von sämtlichen kritischen IT-Ressourcen dokumentiert und dabei die Notwendigkeit weiterer Wiederanlaufpläne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 ihr geht eindeutig hervor, in welcher Reihenfolge die kritischen IT-Systeme wiederhergestellt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BodyText"/>
        <w:numPr>
          <w:ilvl w:val="0"/>
          <w:numId w:val="1"/>
        </w:numPr>
        <w:rPr/>
      </w:pPr>
      <w:r>
        <w:rPr/>
      </w:r>
      <w:bookmarkStart w:id="246" w:name="__RefHeading___sicherheitsvorfaelle_127"/>
      <w:bookmarkStart w:id="247" w:name="__RefHeading___sicherheitsvorfaelle_127"/>
      <w:bookmarkEnd w:id="247"/>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2" name="0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 Copy 1 Copy 1 Copy 1 Copy 1" descr="" title=""/>
                          <pic:cNvPicPr>
                            <a:picLocks noChangeAspect="1" noChangeArrowheads="1"/>
                          </pic:cNvPicPr>
                        </pic:nvPicPr>
                        <pic:blipFill>
                          <a:blip r:embed="rId13"/>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bidi w:val="0"/>
              <w:ind w:hanging="0" w:start="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Kapitel 18 der VdS 10000 entfällt in Zukunft.</w:t>
            </w:r>
          </w:p>
        </w:tc>
      </w:tr>
    </w:tbl>
    <w:p>
      <w:pPr>
        <w:pStyle w:val="Heading1"/>
        <w:numPr>
          <w:ilvl w:val="0"/>
          <w:numId w:val="1"/>
        </w:numPr>
        <w:tabs>
          <w:tab w:val="clear" w:pos="709"/>
          <w:tab w:val="left" w:pos="0" w:leader="none"/>
        </w:tabs>
        <w:bidi w:val="0"/>
        <w:ind w:hanging="0" w:start="0"/>
        <w:jc w:val="start"/>
        <w:rPr/>
      </w:pPr>
      <w:bookmarkStart w:id="248" w:name="__RefHeading___anhang_a_131"/>
      <w:bookmarkStart w:id="249" w:name="anhang_a"/>
      <w:bookmarkEnd w:id="248"/>
      <w:r>
        <w:rPr/>
        <w:t>Anhang A</w:t>
      </w:r>
      <w:bookmarkEnd w:id="249"/>
    </w:p>
    <w:p>
      <w:pPr>
        <w:pStyle w:val="Heading2"/>
        <w:numPr>
          <w:ilvl w:val="1"/>
          <w:numId w:val="1"/>
        </w:numPr>
        <w:tabs>
          <w:tab w:val="clear" w:pos="709"/>
          <w:tab w:val="left" w:pos="0" w:leader="none"/>
        </w:tabs>
        <w:bidi w:val="0"/>
        <w:ind w:hanging="0" w:start="0"/>
        <w:jc w:val="start"/>
        <w:rPr/>
      </w:pPr>
      <w:bookmarkStart w:id="250" w:name="__RefHeading___a_1_verfahren_132"/>
      <w:bookmarkStart w:id="251" w:name="a_1_verfahren"/>
      <w:bookmarkEnd w:id="250"/>
      <w:r>
        <w:rPr/>
        <w:t>A 1 Verfahren</w:t>
      </w:r>
      <w:bookmarkEnd w:id="2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Verfahren planen, steuern und stetig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Qualitätsmanagements auf Basis eines anerkannten Standards wie z. B. DIN EN ISO 9001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definiert, wer für die Durchführung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Verfahren werden in einer für die jeweilige Zielgruppe zugänglichen und verständlichen Form dokumentiert und bekannt 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Verfahren werden verbessert, wenn Mängel in ihrer Umsetzung, Angemessenheit oder Effektivität erkannt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52" w:name="__RefHeading___a_2_risikoanalyse_und_-be"/>
      <w:bookmarkStart w:id="253" w:name="a_2_risikoanalyse_und_-behandlung"/>
      <w:bookmarkEnd w:id="252"/>
      <w:r>
        <w:rPr/>
        <w:t>A 2 Risiko</w:t>
      </w:r>
      <w:bookmarkEnd w:id="253"/>
      <w:r>
        <w:rPr/>
        <w:t>management</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pPr>
            <w:r>
              <w:rPr>
                <w:i w:val="false"/>
                <w:iCs w:val="false"/>
              </w:rPr>
              <w:t xml:space="preserve">Die Organisation MUSS die in diesen Richtlinien geforderten </w:t>
            </w:r>
            <w:r>
              <w:rPr>
                <w:rStyle w:val="Emphasis"/>
                <w:rFonts w:eastAsia="Bitstream Vera Sans" w:cs="Bitstream Vera Sans"/>
                <w:i w:val="false"/>
                <w:iCs w:val="false"/>
                <w:color w:val="auto"/>
                <w:kern w:val="0"/>
                <w:sz w:val="20"/>
                <w:szCs w:val="24"/>
                <w:lang w:val="de-DE" w:eastAsia="en-US" w:bidi="en-US"/>
              </w:rPr>
              <w:t>Risikoanalysen</w:t>
            </w:r>
            <w:r>
              <w:rPr>
                <w:i w:val="false"/>
                <w:iCs w:val="false"/>
              </w:rPr>
              <w:t xml:space="preserve"> durchführen und erkannte Risiken zeitnah und angemessen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Risikoanalysen durchführen und erkannte Risiken zeitnah und angemessen behandeln.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SOLLTE im Rahmen eines Risikomanagements auf Basis eines anerkannten Standards wie BSI-Standard 200-3, ISO/IEC 27005 oder ISO 31000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Risikomanagements auf Basis eines anerkannten Standards wie BSI-Standard 200-3, ISO/IEC 27005 oder ISO 31000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w:t>
            </w:r>
          </w:p>
          <w:p>
            <w:pPr>
              <w:pStyle w:val="TableContents"/>
              <w:bidi w:val="0"/>
              <w:jc w:val="start"/>
              <w:rPr/>
            </w:pPr>
            <w:r>
              <w:rPr/>
              <w:t>Durch diese Vorgabe wird die Vorgehensweise für die Risikoidentifikation, der Risikoanalyse und der Risikobehandlung definiert und dokumentiert.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3"/>
        <w:numPr>
          <w:ilvl w:val="2"/>
          <w:numId w:val="1"/>
        </w:numPr>
        <w:tabs>
          <w:tab w:val="clear" w:pos="709"/>
          <w:tab w:val="left" w:pos="0" w:leader="none"/>
        </w:tabs>
        <w:bidi w:val="0"/>
        <w:ind w:hanging="0" w:start="0"/>
        <w:jc w:val="start"/>
        <w:rPr/>
      </w:pPr>
      <w:bookmarkStart w:id="254" w:name="__RefHeading___a_2.1_risikoanalyse_134_C"/>
      <w:bookmarkStart w:id="255" w:name="a_2.1_risikoanalyse_Copy_1"/>
      <w:bookmarkEnd w:id="254"/>
      <w:r>
        <w:rPr/>
        <w:t xml:space="preserve">A 2.1 </w:t>
      </w:r>
      <w:bookmarkEnd w:id="255"/>
      <w:r>
        <w:rPr/>
        <w:t>Methodik</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Die Vorgehensweisen für die Risikoidentifikation, -analyse und -behandlung MÜSSEN festgelegt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Es MÜSSEN </w:t>
            </w:r>
            <w:r>
              <w:rPr>
                <w:rFonts w:eastAsia="Bitstream Vera Sans" w:cs="Bitstream Vera Sans"/>
                <w:color w:val="auto"/>
                <w:kern w:val="0"/>
                <w:sz w:val="20"/>
                <w:szCs w:val="24"/>
                <w:lang w:val="de-DE" w:eastAsia="en-US" w:bidi="en-US"/>
              </w:rPr>
              <w:t>Kriterien</w:t>
            </w:r>
            <w:r>
              <w:rPr/>
              <w:t xml:space="preserve"> für die Bewertung der Schadenshöhe und der Eintrittswahrscheinlichkeit festgelegt werden, anhand derer Risiken bewertet werden und anhand derer zuverlässig festgestellt werden kann, ob ein Risiko akzeptiert werden kann (Risikoakzeptanzgrenze).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Die Kriterien für die Bewertung der Schadenshöhe MÜSSEN konkrete Anforderungen an die Vertraulichkeit, Verfügbarkeit und </w:t>
            </w:r>
            <w:r>
              <w:rPr>
                <w:rFonts w:eastAsia="Bitstream Vera Sans" w:cs="Bitstream Vera Sans"/>
                <w:color w:val="auto"/>
                <w:kern w:val="0"/>
                <w:sz w:val="20"/>
                <w:szCs w:val="24"/>
                <w:lang w:val="de-DE" w:eastAsia="en-US" w:bidi="en-US"/>
              </w:rPr>
              <w:t>Integrität des Gegenstands der Risikoanalyse beinhalten.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Vorgehensweisen MÜSSEN so gewählt sein, dass sie zu reproduzierbaren und schlüssigen Ergebnissen 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 xml:space="preserve">- BSIG § 30 Abs.2: </w:t>
            </w:r>
            <w:r>
              <w:rPr>
                <w:rFonts w:eastAsia="Bitstream Vera Sans" w:cs="Bitstream Vera Sans"/>
                <w:i/>
                <w:iCs/>
                <w:color w:val="auto"/>
                <w:kern w:val="0"/>
                <w:sz w:val="20"/>
                <w:szCs w:val="24"/>
                <w:lang w:val="de-DE" w:eastAsia="en-US" w:bidi="en-US"/>
              </w:rPr>
              <w:t>„Maßnahmen nach Absatz 1 sollen den Stand der Technik einhalten, die einschlägigen europäischen und internationalen Normen berücksichtigen und müssen auf einem gefahrenübergreifenden Ansatz beruhen.“</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numPr>
                <w:ilvl w:val="0"/>
                <w:numId w:val="1"/>
              </w:numPr>
              <w:bidi w:val="0"/>
              <w:jc w:val="start"/>
              <w:rPr>
                <w:i/>
                <w:i/>
                <w:iCs/>
              </w:rPr>
            </w:pPr>
            <w:r>
              <w:rPr>
                <w:i/>
                <w:iCs/>
              </w:rPr>
              <w:t>- ISO 31010 in Kap. 2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Die Auswahl der Vorgehensweisen SOLLTE auf Basis eines anerkannten Standards wie z. B. ISO 31010 erfolgen.</w:t>
            </w:r>
          </w:p>
        </w:tc>
      </w:tr>
    </w:tbl>
    <w:p>
      <w:pPr>
        <w:pStyle w:val="Heading3"/>
        <w:numPr>
          <w:ilvl w:val="2"/>
          <w:numId w:val="1"/>
        </w:numPr>
        <w:tabs>
          <w:tab w:val="clear" w:pos="709"/>
          <w:tab w:val="left" w:pos="0" w:leader="none"/>
        </w:tabs>
        <w:bidi w:val="0"/>
        <w:ind w:hanging="0" w:start="0"/>
        <w:jc w:val="start"/>
        <w:rPr/>
      </w:pPr>
      <w:bookmarkStart w:id="256" w:name="__RefHeading___a_2.1_risikoanalyse_134"/>
      <w:bookmarkStart w:id="257" w:name="a_2.1_risikoanalyse"/>
      <w:bookmarkEnd w:id="256"/>
      <w:r>
        <w:rPr/>
        <w:t>A 2.2 Risikoanalyse</w:t>
      </w:r>
      <w:bookmarkEnd w:id="25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Eine Risikoanalyse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Eine Risikoanalyse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Ihre Dokumentation beinhaltet das Vorgehen für das Identifizieren und Bewerten von Risiken.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Alternativ:</w:t>
            </w:r>
          </w:p>
          <w:p>
            <w:pPr>
              <w:pStyle w:val="TableContents"/>
              <w:bidi w:val="0"/>
              <w:jc w:val="start"/>
              <w:rPr/>
            </w:pPr>
            <w:r>
              <w:rPr/>
              <w:t>1. Die Dokumentation beinhaltet das Vorgehen für das Identifizieren und Bewerten von Risiken sowie deren Ergebnisse.</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1. Ihre Durchführung und ihre Ergebnisse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Die Vorgehensweise gewährleistet, dass Bedrohungen und Schwachstellen zuverlässig erkannt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Erfüllung von § 30 (1) </w:t>
            </w:r>
            <w:r>
              <w:rPr>
                <w:rFonts w:eastAsia="Bitstream Vera Sans" w:cs="Bitstream Vera Sans"/>
                <w:color w:val="auto"/>
                <w:kern w:val="0"/>
                <w:sz w:val="20"/>
                <w:szCs w:val="24"/>
                <w:lang w:val="de-DE" w:eastAsia="en-US" w:bidi="en-US"/>
              </w:rPr>
              <w:t xml:space="preserve">„um Störungen der Verfügbarkeit, Integrität und Vertraulichkeit der informationstechnischen Systeme, Komponenten und Prozesse (...) zu vermeiden und Auswirkungen (…) möglichst gering zu halten“ </w:t>
            </w:r>
            <w:r>
              <w:rPr/>
              <w:t xml:space="preserve">und (2) </w:t>
            </w:r>
            <w:r>
              <w:rPr>
                <w:rFonts w:eastAsia="Bitstream Vera Sans" w:cs="Bitstream Vera Sans"/>
                <w:color w:val="auto"/>
                <w:kern w:val="0"/>
                <w:sz w:val="20"/>
                <w:szCs w:val="24"/>
                <w:lang w:val="de-DE" w:eastAsia="en-US" w:bidi="en-US"/>
              </w:rPr>
              <w:t>„gefahrenübergreifender Ansatz“</w:t>
            </w:r>
          </w:p>
          <w:p>
            <w:pPr>
              <w:pStyle w:val="TableContents"/>
              <w:bidi w:val="0"/>
              <w:jc w:val="start"/>
              <w:rPr/>
            </w:pPr>
            <w:r>
              <w:rPr/>
            </w:r>
          </w:p>
          <w:p>
            <w:pPr>
              <w:pStyle w:val="TableContents"/>
              <w:bidi w:val="0"/>
              <w:jc w:val="start"/>
              <w:rPr>
                <w:u w:val="single"/>
              </w:rPr>
            </w:pPr>
            <w:r>
              <w:rPr>
                <w:u w:val="single"/>
              </w:rPr>
              <w:t>ACHTUNG!</w:t>
            </w:r>
          </w:p>
          <w:p>
            <w:pPr>
              <w:pStyle w:val="TableContents"/>
              <w:bidi w:val="0"/>
              <w:jc w:val="start"/>
              <w:rPr/>
            </w:pPr>
            <w:r>
              <w:rPr/>
              <w:t>Als Grundlage der Risikoidentifikation benötigen wir konkrete Anforderungen an die Verfügbarkeit, Integrität und Vertraulichkeit von Prozessen (9.1), Informationen (9.2) und IT-Ressourcen (9.3). Dabei sollten die Anforderungen an Informationen und IT-Ressourcen von denen der Prozesse vereerbt werden. Noch unklar!</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Vorgehensweise gewährleistet, dass umfassend nach möglichen Bedrohungen und Schwachstellen gesucht wird (gefahrenübergreifender Ansatz), die Störungen der Verfügbarkeit, Integrität und Vertraulichkeit der informationstechnischen Systeme, Komponenten und Prozesse hervorrufen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 Für die Umsetzung eines schlagkräftigen Risikomanagements ist es sicher hilfreich, das Rad nicht neu erfinden zu müssen. Es bestehen verschiedene Sammlungen von Bedrohungen bzw. Gefährdungen, die hinzugezogen werden können.</w:t>
            </w:r>
          </w:p>
          <w:p>
            <w:pPr>
              <w:pStyle w:val="TableContents"/>
              <w:bidi w:val="0"/>
              <w:jc w:val="start"/>
              <w:rPr>
                <w:i w:val="false"/>
                <w:i w:val="false"/>
                <w:iCs w:val="false"/>
              </w:rPr>
            </w:pPr>
            <w:r>
              <w:rPr>
                <w:i w:val="false"/>
                <w:iCs w:val="false"/>
              </w:rPr>
              <w:t xml:space="preserve">- ENISA Thread Taxonomy, ISO 27005 und/oder die Aufstellung </w:t>
            </w:r>
            <w:r>
              <w:rPr>
                <w:rFonts w:eastAsia="Bitstream Vera Sans" w:cs="Bitstream Vera Sans"/>
                <w:i w:val="false"/>
                <w:iCs w:val="false"/>
                <w:color w:val="auto"/>
                <w:kern w:val="0"/>
                <w:sz w:val="20"/>
                <w:szCs w:val="24"/>
                <w:lang w:val="de-DE" w:eastAsia="en-US" w:bidi="en-US"/>
              </w:rPr>
              <w:t>„</w:t>
            </w:r>
            <w:r>
              <w:rPr>
                <w:i w:val="false"/>
                <w:iCs w:val="false"/>
              </w:rPr>
              <w:t>Elementare Gefährdungen</w:t>
            </w:r>
            <w:r>
              <w:rPr>
                <w:rFonts w:eastAsia="Bitstream Vera Sans" w:cs="Bitstream Vera Sans"/>
                <w:i w:val="false"/>
                <w:iCs w:val="false"/>
                <w:color w:val="auto"/>
                <w:kern w:val="0"/>
                <w:sz w:val="20"/>
                <w:szCs w:val="24"/>
                <w:lang w:val="de-DE" w:eastAsia="en-US" w:bidi="en-US"/>
              </w:rPr>
              <w:t>“</w:t>
            </w:r>
            <w:r>
              <w:rPr>
                <w:i w:val="false"/>
                <w:iCs w:val="false"/>
              </w:rPr>
              <w:t xml:space="preserve"> des BSI in Kapitel 2 aufnehmen.</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Dabei SOLLTEN entsprechende Kataloge wie z. B. ENISA Thread Taxonomy, der Annex der ISO 27005 oder die Aufstellung </w:t>
            </w:r>
            <w:r>
              <w:rPr>
                <w:rFonts w:eastAsia="Bitstream Vera Sans" w:cs="Bitstream Vera Sans"/>
                <w:i/>
                <w:iCs/>
                <w:color w:val="auto"/>
                <w:kern w:val="0"/>
                <w:sz w:val="20"/>
                <w:szCs w:val="24"/>
                <w:lang w:val="de-DE" w:eastAsia="en-US" w:bidi="en-US"/>
              </w:rPr>
              <w:t>„</w:t>
            </w:r>
            <w:r>
              <w:rPr>
                <w:i/>
                <w:iCs/>
              </w:rPr>
              <w:t>Elementare Gefährdungen</w:t>
            </w:r>
            <w:r>
              <w:rPr>
                <w:rFonts w:eastAsia="Bitstream Vera Sans" w:cs="Bitstream Vera Sans"/>
                <w:i/>
                <w:iCs/>
                <w:color w:val="auto"/>
                <w:kern w:val="0"/>
                <w:sz w:val="20"/>
                <w:szCs w:val="24"/>
                <w:lang w:val="de-DE" w:eastAsia="en-US" w:bidi="en-US"/>
              </w:rPr>
              <w:t>“</w:t>
            </w:r>
            <w:r>
              <w:rPr>
                <w:i/>
                <w:iCs/>
              </w:rPr>
              <w:t xml:space="preserve"> des BSI </w:t>
            </w:r>
            <w:r>
              <w:rPr>
                <w:rFonts w:eastAsia="Bitstream Vera Sans" w:cs="Bitstream Vera Sans"/>
                <w:i/>
                <w:iCs/>
                <w:color w:val="auto"/>
                <w:kern w:val="0"/>
                <w:sz w:val="20"/>
                <w:szCs w:val="24"/>
                <w:lang w:val="de-DE" w:eastAsia="en-US" w:bidi="en-US"/>
              </w:rPr>
              <w:t>berücksichtigt</w:t>
            </w:r>
            <w:r>
              <w:rPr>
                <w:i/>
                <w:iCs/>
              </w:rPr>
              <w:t xml:space="preserve">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Bewertung von Risiken erfolgt auf Basis der potentiellen Schäden und deren Eintrittswahrscheinlichkeit.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Bewertung von Risiken erfolgt auf Basis der potentiellen Schäden und deren Eintrittswahrscheinlichkeit.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Das Ergebnis der Risikoanalyse ermöglicht eine Priorisierung bei der Risikobehandlung.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Das Ergebnis der Risikoanalyse ermöglicht eine Priorisierung bei der Risikobehandlung.</w:t>
            </w:r>
          </w:p>
        </w:tc>
      </w:tr>
    </w:tbl>
    <w:p>
      <w:pPr>
        <w:pStyle w:val="Heading3"/>
        <w:numPr>
          <w:ilvl w:val="2"/>
          <w:numId w:val="1"/>
        </w:numPr>
        <w:tabs>
          <w:tab w:val="clear" w:pos="709"/>
          <w:tab w:val="left" w:pos="0" w:leader="none"/>
        </w:tabs>
        <w:bidi w:val="0"/>
        <w:ind w:hanging="0" w:start="0"/>
        <w:jc w:val="start"/>
        <w:rPr/>
      </w:pPr>
      <w:bookmarkStart w:id="258" w:name="__RefHeading___a_2.2_risikobehandlung_13"/>
      <w:bookmarkStart w:id="259" w:name="a_2.2_risikobehandlung"/>
      <w:bookmarkEnd w:id="258"/>
      <w:r>
        <w:rPr/>
        <w:t>A 2.3 Risikobehandlung</w:t>
      </w:r>
      <w:bookmarkEnd w:id="25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vMerge w:val="restart"/>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Identifizierte Risiken MÜSSEN angemessen, zeitnah und priorisiert behandelt werden, indem geeignete Maßnahmen zur Vermeidung, Reduzierung oder Übertragung der Risiken (z. B. durch den Abschluss einer Versicherung) definiert, dokumentiert und umgesetzt  oder indem Risiken akzeptiert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Identifizierte Risiken MÜSSEN angemessen,  und priorisiert behandelt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 30 (1): </w:t>
            </w:r>
            <w:r>
              <w:rPr>
                <w:rFonts w:eastAsia="Bitstream Vera Sans" w:cs="Bitstream Vera Sans"/>
                <w:color w:val="auto"/>
                <w:kern w:val="0"/>
                <w:sz w:val="20"/>
                <w:szCs w:val="24"/>
                <w:lang w:val="de-DE" w:eastAsia="en-US" w:bidi="en-US"/>
              </w:rPr>
              <w:t>„geeignete, verhältnismäßige und wirksame technische und organisatorische Maßnahmen“</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Text der VdS 10k entsprechend angepasst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Dazu MÜSSEN geeignete, verhältnismäßige und wirksame technische und/oder organisatorische Maßnahmen zur Vermeidung, Reduzierung oder Übertragung der Risiken (z. B. durch den Abschluss einer Versicherung) definiert, dokumentiert und umgesetzt werden oder die entsprechenden Risiken MÜSSEN akzeptiert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Mit dieser Formulierung bereiten wir den Ausschluss von IT-Systemen oder gesamten Netzwerksegmenten usw. von den geforderten Maßnahmen vor. Diese Empfehlung stellt eigentlich eine Selbstverständlichkeit dar und kann ggf. gestrichen werden.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Risiken KÖNNEN generell akzeptiert werden, wenn sie die Kriterien der Risikoakzeptanz (siehe Abschnitt A 2.1) erfüllen.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Identifizierte organisatorische Maßnahmen SOLLTEN in IS Richtlinien (siehe Kapitel 6) oder in Verfahren (siehe Anhang A 2.1) aufgenommen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Organisatorische Maßnahmen in RL und Verfahren verankern: SOLLTE oder MUSS?</w:t>
            </w:r>
          </w:p>
          <w:p>
            <w:pPr>
              <w:pStyle w:val="TableContents"/>
              <w:bidi w:val="0"/>
              <w:jc w:val="start"/>
              <w:rPr/>
            </w:pPr>
            <w:r>
              <w:rPr/>
              <w:t>Kann in die VdS 10k als SOLLTE aufgenommen werden.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Identifizierte organisatorische Maßnahmen SOLLTEN in IS-Richtlinien (siehe Kapitel 6) oder in Verfahren (siehe Anhang A 2.1) aufgenommen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rPr/>
            </w:pPr>
            <w:r>
              <w:rPr/>
              <w:t>§ 30 Abs. 1 („Die Einhaltung der Verpflichtung nach Satz 1 ist durch die Einrichtungen zu dokumentieren.</w:t>
            </w:r>
            <w:r>
              <w:rPr>
                <w:rFonts w:eastAsia="Bitstream Vera Sans" w:cs="Bitstream Vera Sans"/>
                <w:color w:val="auto"/>
                <w:kern w:val="0"/>
                <w:sz w:val="20"/>
                <w:szCs w:val="24"/>
                <w:lang w:val="de-DE" w:eastAsia="en-US" w:bidi="en-US"/>
              </w:rPr>
              <w:t>“)</w:t>
            </w:r>
          </w:p>
        </w:tc>
        <w:tc>
          <w:tcPr>
            <w:tcW w:w="4712" w:type="dxa"/>
            <w:tcBorders>
              <w:start w:val="single" w:sz="2" w:space="0" w:color="000000"/>
              <w:bottom w:val="single" w:sz="2" w:space="0" w:color="000000"/>
              <w:end w:val="single" w:sz="2" w:space="0" w:color="000000"/>
            </w:tcBorders>
          </w:tcPr>
          <w:p>
            <w:pPr>
              <w:pStyle w:val="Normal"/>
              <w:bidi w:val="0"/>
              <w:jc w:val="start"/>
              <w:rPr/>
            </w:pPr>
            <w:r>
              <w:rPr/>
              <w:t>Die Dokumentation der Maßnahmen MUSS beinhalten, warum sie als geeignet, verhältnismäßig und wirksam angesehen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Maßnahmen MUSS kontrolliert und auf Wirksamkeit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Maßnahmen MUSS kontrolliert und auf Wirksamkeit geprüft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Hierzu SOLLTEN erhebliche Risiken einzelnen Mitarbeitern (Risk Owner) zugeordnet und konkrete zeitliche Vorgaben für deren Behandlung definiert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Risiken nicht angemessen behandelt werden können, MÜSSEN sie vom Topmanagement akzeptiert und dies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Risiken nicht angemessen behandelt werden können, MÜSSEN sie vom Topmanagement akzeptiert und dies dokumentiert werden.</w:t>
            </w:r>
          </w:p>
        </w:tc>
      </w:tr>
    </w:tbl>
    <w:p>
      <w:pPr>
        <w:pStyle w:val="Heading3"/>
        <w:numPr>
          <w:ilvl w:val="2"/>
          <w:numId w:val="1"/>
        </w:numPr>
        <w:tabs>
          <w:tab w:val="clear" w:pos="709"/>
          <w:tab w:val="left" w:pos="0" w:leader="none"/>
        </w:tabs>
        <w:bidi w:val="0"/>
        <w:ind w:hanging="0" w:start="0"/>
        <w:jc w:val="start"/>
        <w:rPr/>
      </w:pPr>
      <w:bookmarkStart w:id="260" w:name="__RefHeading___a_2.3_wiederholung_und_an"/>
      <w:bookmarkStart w:id="261" w:name="a_2.3_wiederholung_und_anpassung"/>
      <w:bookmarkEnd w:id="260"/>
      <w:r>
        <w:rPr/>
        <w:t>A 2.4 Wiederholung und Anpassung</w:t>
      </w:r>
      <w:bookmarkEnd w:id="26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Risikoanalysen MÜSSEN jährlich auf ihre Aktualität geprüft und bei Bedarf wiederholt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Risikoanalysen MÜSSEN jährlich auf ihre Aktualität geprüft und bei Bedarf wiederholt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Sie MÜSSEN darüber hinaus zeitnah überarbeitet werden, wenn eine der folgenden Faktoren auftritt: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Risikoanalysen </w:t>
            </w:r>
            <w:r>
              <w:rPr>
                <w:rFonts w:eastAsia="Bitstream Vera Sans" w:cs="Bitstream Vera Sans"/>
                <w:color w:val="auto"/>
                <w:kern w:val="0"/>
                <w:sz w:val="20"/>
                <w:szCs w:val="24"/>
                <w:lang w:val="de-DE" w:eastAsia="en-US" w:bidi="en-US"/>
              </w:rPr>
              <w:t>→</w:t>
            </w:r>
            <w:r>
              <w:rPr/>
              <w:t xml:space="preserve"> Sie (Diese Änderung bitte auch in die VdS 10k aufnehmen), ansonsten: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Sie MÜSSEN darüber hinaus zeitnah überarbeitet werden, wenn eine der folgenden Faktoren auftritt: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Der Gegenstand der Risikoanalyse hat sich wesentlich verändert (z. B. die Hardware, die Software oder die Konfiguration eines IT-Systems).</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Gegenstand der Risikoanalyse hat sich wesentlich verändert (z. B. die Hardware, die Software oder die Konfiguration eines IT-Systems).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Der Einsatzzweck des untersuchten Gegenstands hat sich wesentlich geändert.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Einsatzzweck des untersuchten Gegenstands hat sich wesentlich geändert.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Gefährdungslage hat sich erhöht (z. B. wenn eine neue Gefährdung bekannt wurde oder sich eine bestehende Gefährdung wesentlich erhöht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Gefährdungslage hat sich erhöht (z. B. wenn eine neue Gefährdung bekannt wurde oder sich eine bestehende Gefährdung wesentlich erhöht hat).</w:t>
            </w:r>
          </w:p>
        </w:tc>
      </w:tr>
    </w:tbl>
    <w:p>
      <w:pPr>
        <w:pStyle w:val="Heading3"/>
        <w:numPr>
          <w:ilvl w:val="2"/>
          <w:numId w:val="1"/>
        </w:numPr>
        <w:tabs>
          <w:tab w:val="clear" w:pos="709"/>
          <w:tab w:val="left" w:pos="0" w:leader="none"/>
        </w:tabs>
        <w:bidi w:val="0"/>
        <w:ind w:hanging="0" w:start="0"/>
        <w:jc w:val="start"/>
        <w:rPr/>
      </w:pPr>
      <w:bookmarkStart w:id="262" w:name="__RefHeading___a_2.3_wiederholung_und_a1"/>
      <w:bookmarkStart w:id="263" w:name="a_2.3_wiederholung_und_anpassung_Copy_1_"/>
      <w:bookmarkEnd w:id="262"/>
      <w:r>
        <w:rPr/>
        <w:t xml:space="preserve">A 2.5 </w:t>
      </w:r>
      <w:bookmarkEnd w:id="263"/>
      <w:r>
        <w:rPr/>
        <w:t>Überwachung</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r>
              <w:rPr/>
              <w:t>§ 38 (1):</w:t>
            </w:r>
          </w:p>
          <w:p>
            <w:pPr>
              <w:pStyle w:val="TableContents"/>
              <w:numPr>
                <w:ilvl w:val="0"/>
                <w:numId w:val="1"/>
              </w:numPr>
              <w:bidi w:val="0"/>
              <w:jc w:val="start"/>
              <w:rPr/>
            </w:pPr>
            <w:r>
              <w:rPr/>
              <w:t>Geschäftsleitungen besonders wichtiger Einrichtungen und wichtiger Einrichtungen sind verpflichtet, die von diesen Einrichtungen nach § 30 zu ergreifenden Risikomanagementmaßnahmen im Bereich der Cybersicherheit zu billigen und ihre Umsetzung zu überwachen.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Maßnahmen des Risikomanagements MÜSSEN jährlich vom Topmanagement geprüft und gebilligt werden.</w:t>
            </w:r>
          </w:p>
        </w:tc>
      </w:tr>
    </w:tbl>
    <w:p>
      <w:pPr>
        <w:pStyle w:val="BodyText"/>
        <w:numPr>
          <w:ilvl w:val="0"/>
          <w:numId w:val="1"/>
        </w:numPr>
        <w:spacing w:before="0" w:after="120"/>
        <w:rPr/>
      </w:pPr>
      <w:r>
        <w:rPr/>
      </w:r>
    </w:p>
    <w:sectPr>
      <w:headerReference w:type="even" r:id="rId14"/>
      <w:headerReference w:type="default" r:id="rId15"/>
      <w:headerReference w:type="first" r:id="rId16"/>
      <w:footerReference w:type="even" r:id="rId17"/>
      <w:footerReference w:type="default" r:id="rId18"/>
      <w:footerReference w:type="first" r:id="rId19"/>
      <w:type w:val="nextPage"/>
      <w:pgSz w:orient="landscape" w:w="16838" w:h="11906"/>
      <w:pgMar w:left="567" w:right="567" w:gutter="0" w:header="567" w:top="1080" w:footer="1134" w:bottom="1647"/>
      <w:pgNumType w:fmt="decimal"/>
      <w:formProt w:val="false"/>
      <w:textDirection w:val="lrTb"/>
      <w:docGrid w:type="default" w:linePitch="600" w:charSpace="4096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characterSet="windows-1252"/>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characterSet="utf-8"/>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Bitstream Vera Sans">
    <w:charset w:val="01" w:characterSet="utf-8"/>
    <w:family w:val="roman"/>
    <w:pitch w:val="variable"/>
  </w:font>
  <w:font w:name="Arial">
    <w:charset w:val="01" w:characterSet="utf-8"/>
    <w:family w:val="roman"/>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Arial">
    <w:charset w:val="01" w:characterSet="utf-8"/>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Bitstream Vera Sans">
    <w:charset w:val="01" w:characterSet="utf-8"/>
    <w:family w:val="swiss"/>
    <w:pitch w:val="variable"/>
  </w:font>
  <w:font w:name="StarSymbol">
    <w:altName w:val="Arial Unicode MS"/>
    <w:charset w:val="01" w:characterSet="utf-8"/>
    <w:family w:val="roman"/>
    <w:pitch w:val="variable"/>
  </w:font>
  <w:font w:name="Bitstream Vera Sans Mono">
    <w:charset w:val="01" w:characterSet="utf-8"/>
    <w:family w:val="roman"/>
    <w:pitch w:val="variable"/>
  </w:font>
  <w:font w:name="Symbol">
    <w:charset w:val="02"/>
    <w:family w:val="auto"/>
    <w:pitch w:val="default"/>
  </w:font>
  <w:font w:name="OpenSymbol">
    <w:altName w:val="Arial Unicode MS"/>
    <w:charset w:val="01"/>
    <w:family w:val="auto"/>
    <w:pitch w:val="variable"/>
    <w:embedRegular r:id="rId17" w:fontKey="{11014A78-CABC-4EF0-12AC-5CD89AEFDE11}"/>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84</w:t>
    </w:r>
    <w:r>
      <w:rPr/>
      <w:fldChar w:fldCharType="end"/>
    </w:r>
    <w:r>
      <w:rPr/>
      <w:t xml:space="preserve"> von </w:t>
    </w:r>
    <w:r>
      <w:rPr/>
      <w:fldChar w:fldCharType="begin"/>
    </w:r>
    <w:r>
      <w:rPr/>
      <w:instrText xml:space="preserve"> NUMPAGES </w:instrText>
    </w:r>
    <w:r>
      <w:rPr/>
      <w:fldChar w:fldCharType="separate"/>
    </w:r>
    <w:r>
      <w:rPr/>
      <w:t>84</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84</w:t>
    </w:r>
    <w:r>
      <w:rPr/>
      <w:fldChar w:fldCharType="end"/>
    </w:r>
    <w:r>
      <w:rPr/>
      <w:t xml:space="preserve"> von </w:t>
    </w:r>
    <w:r>
      <w:rPr/>
      <w:fldChar w:fldCharType="begin"/>
    </w:r>
    <w:r>
      <w:rPr/>
      <w:instrText xml:space="preserve"> NUMPAGES </w:instrText>
    </w:r>
    <w:r>
      <w:rPr/>
      <w:fldChar w:fldCharType="separate"/>
    </w:r>
    <w:r>
      <w:rPr/>
      <w:t>84</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0.1.</w:t>
    </w:r>
    <w:r>
      <w:rPr>
        <w:u w:val="single"/>
      </w:rPr>
      <w:t>2</w:t>
    </w:r>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0.1.</w:t>
    </w:r>
    <w:r>
      <w:rPr>
        <w:u w:val="single"/>
      </w:rPr>
      <w:t>2</w:t>
    </w:r>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start"/>
      <w:pPr>
        <w:tabs>
          <w:tab w:val="num" w:pos="0"/>
        </w:tabs>
        <w:ind w:start="0" w:hanging="0"/>
      </w:pPr>
      <w:rPr/>
    </w:lvl>
    <w:lvl w:ilvl="1">
      <w:start w:val="1"/>
      <w:numFmt w:val="none"/>
      <w:suff w:val="nothing"/>
      <w:lvlText w:val="%2"/>
      <w:lvlJc w:val="start"/>
      <w:pPr>
        <w:tabs>
          <w:tab w:val="num" w:pos="0"/>
        </w:tabs>
        <w:ind w:start="0" w:hanging="0"/>
      </w:pPr>
      <w:rPr/>
    </w:lvl>
    <w:lvl w:ilvl="2">
      <w:start w:val="1"/>
      <w:numFmt w:val="none"/>
      <w:suff w:val="nothing"/>
      <w:lvlText w:val="%3"/>
      <w:lvlJc w:val="start"/>
      <w:pPr>
        <w:tabs>
          <w:tab w:val="num" w:pos="0"/>
        </w:tabs>
        <w:ind w:start="0" w:hanging="0"/>
      </w:pPr>
      <w:rPr/>
    </w:lvl>
    <w:lvl w:ilvl="3">
      <w:start w:val="1"/>
      <w:numFmt w:val="none"/>
      <w:suff w:val="nothing"/>
      <w:lvlText w:val="%4"/>
      <w:lvlJc w:val="start"/>
      <w:pPr>
        <w:tabs>
          <w:tab w:val="num" w:pos="0"/>
        </w:tabs>
        <w:ind w:start="0" w:hanging="0"/>
      </w:pPr>
      <w:rPr/>
    </w:lvl>
    <w:lvl w:ilvl="4">
      <w:start w:val="1"/>
      <w:numFmt w:val="none"/>
      <w:suff w:val="nothing"/>
      <w:lvlText w:val="%5"/>
      <w:lvlJc w:val="start"/>
      <w:pPr>
        <w:tabs>
          <w:tab w:val="num" w:pos="0"/>
        </w:tabs>
        <w:ind w:start="0" w:hanging="0"/>
      </w:pPr>
      <w:rPr/>
    </w:lvl>
    <w:lvl w:ilvl="5">
      <w:start w:val="1"/>
      <w:numFmt w:val="none"/>
      <w:suff w:val="nothing"/>
      <w:lvlText w:val="%6"/>
      <w:lvlJc w:val="start"/>
      <w:pPr>
        <w:tabs>
          <w:tab w:val="num" w:pos="0"/>
        </w:tabs>
        <w:ind w:start="0" w:hanging="0"/>
      </w:pPr>
      <w:rPr/>
    </w:lvl>
    <w:lvl w:ilvl="6">
      <w:start w:val="1"/>
      <w:numFmt w:val="none"/>
      <w:suff w:val="nothing"/>
      <w:lvlText w:val="%7"/>
      <w:lvlJc w:val="start"/>
      <w:pPr>
        <w:tabs>
          <w:tab w:val="num" w:pos="0"/>
        </w:tabs>
        <w:ind w:start="0" w:hanging="0"/>
      </w:pPr>
      <w:rPr/>
    </w:lvl>
    <w:lvl w:ilvl="7">
      <w:start w:val="1"/>
      <w:numFmt w:val="none"/>
      <w:suff w:val="nothing"/>
      <w:lvlText w:val="%8"/>
      <w:lvlJc w:val="start"/>
      <w:pPr>
        <w:tabs>
          <w:tab w:val="num" w:pos="0"/>
        </w:tabs>
        <w:ind w:start="0" w:hanging="0"/>
      </w:pPr>
      <w:rPr/>
    </w:lvl>
    <w:lvl w:ilvl="8">
      <w:start w:val="1"/>
      <w:numFmt w:val="none"/>
      <w:suff w:val="nothing"/>
      <w:lvlText w:val="%9"/>
      <w:lvlJc w:val="start"/>
      <w:pPr>
        <w:tabs>
          <w:tab w:val="num" w:pos="0"/>
        </w:tabs>
        <w:ind w:start="0" w:hanging="0"/>
      </w:pPr>
      <w:rPr/>
    </w:lvl>
  </w:abstractNum>
  <w:abstractNum w:abstractNumId="2">
    <w:lvl w:ilvl="0">
      <w:start w:val="1"/>
      <w:numFmt w:val="bullet"/>
      <w:lvlText w:val=""/>
      <w:lvlJc w:val="start"/>
      <w:pPr>
        <w:tabs>
          <w:tab w:val="num" w:pos="227"/>
        </w:tabs>
        <w:ind w:start="227" w:hanging="22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abstractNum w:abstractNumId="3">
    <w:lvl w:ilvl="0">
      <w:start w:val="1"/>
      <w:numFmt w:val="decimal"/>
      <w:lvlText w:val="%1."/>
      <w:lvlJc w:val="start"/>
      <w:pPr>
        <w:tabs>
          <w:tab w:val="num" w:pos="283"/>
        </w:tabs>
        <w:ind w:start="283" w:hanging="283"/>
      </w:pPr>
      <w:rPr/>
    </w:lvl>
    <w:lvl w:ilvl="1">
      <w:start w:val="1"/>
      <w:numFmt w:val="decimal"/>
      <w:lvlText w:val="%2."/>
      <w:lvlJc w:val="start"/>
      <w:pPr>
        <w:tabs>
          <w:tab w:val="num" w:pos="567"/>
        </w:tabs>
        <w:ind w:start="567" w:hanging="283"/>
      </w:pPr>
      <w:rPr/>
    </w:lvl>
    <w:lvl w:ilvl="2">
      <w:start w:val="1"/>
      <w:numFmt w:val="decimal"/>
      <w:lvlText w:val="%3."/>
      <w:lvlJc w:val="start"/>
      <w:pPr>
        <w:tabs>
          <w:tab w:val="num" w:pos="850"/>
        </w:tabs>
        <w:ind w:start="850" w:hanging="283"/>
      </w:pPr>
      <w:rPr/>
    </w:lvl>
    <w:lvl w:ilvl="3">
      <w:start w:val="1"/>
      <w:numFmt w:val="decimal"/>
      <w:lvlText w:val="%4."/>
      <w:lvlJc w:val="start"/>
      <w:pPr>
        <w:tabs>
          <w:tab w:val="num" w:pos="1134"/>
        </w:tabs>
        <w:ind w:start="1134" w:hanging="283"/>
      </w:pPr>
      <w:rPr/>
    </w:lvl>
    <w:lvl w:ilvl="4">
      <w:start w:val="1"/>
      <w:numFmt w:val="decimal"/>
      <w:lvlText w:val="%5."/>
      <w:lvlJc w:val="start"/>
      <w:pPr>
        <w:tabs>
          <w:tab w:val="num" w:pos="1417"/>
        </w:tabs>
        <w:ind w:start="1417" w:hanging="283"/>
      </w:pPr>
      <w:rPr/>
    </w:lvl>
    <w:lvl w:ilvl="5">
      <w:start w:val="1"/>
      <w:numFmt w:val="decimal"/>
      <w:lvlText w:val="%6."/>
      <w:lvlJc w:val="start"/>
      <w:pPr>
        <w:tabs>
          <w:tab w:val="num" w:pos="1701"/>
        </w:tabs>
        <w:ind w:start="1701" w:hanging="283"/>
      </w:pPr>
      <w:rPr/>
    </w:lvl>
    <w:lvl w:ilvl="6">
      <w:start w:val="1"/>
      <w:numFmt w:val="decimal"/>
      <w:lvlText w:val="%7."/>
      <w:lvlJc w:val="start"/>
      <w:pPr>
        <w:tabs>
          <w:tab w:val="num" w:pos="1984"/>
        </w:tabs>
        <w:ind w:start="1984" w:hanging="283"/>
      </w:pPr>
      <w:rPr/>
    </w:lvl>
    <w:lvl w:ilvl="7">
      <w:start w:val="1"/>
      <w:numFmt w:val="decimal"/>
      <w:lvlText w:val="%8."/>
      <w:lvlJc w:val="start"/>
      <w:pPr>
        <w:tabs>
          <w:tab w:val="num" w:pos="2268"/>
        </w:tabs>
        <w:ind w:start="2268" w:hanging="283"/>
      </w:pPr>
      <w:rPr/>
    </w:lvl>
    <w:lvl w:ilvl="8">
      <w:start w:val="1"/>
      <w:numFmt w:val="decimal"/>
      <w:lvlText w:val="%9."/>
      <w:lvlJc w:val="start"/>
      <w:pPr>
        <w:tabs>
          <w:tab w:val="num" w:pos="2551"/>
        </w:tabs>
        <w:ind w:start="2551" w:hanging="283"/>
      </w:pPr>
      <w:rPr/>
    </w:lvl>
  </w:abstractNum>
  <w:abstractNum w:abstractNumId="4">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5">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6">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60"/>
  <w:trackRevisions/>
  <w:embedTrueTypeFonts/>
  <w:defaultTabStop w:val="709"/>
  <w:autoHyphenation w:val="true"/>
  <w:compat>
    <w:doNotBreakWrappedTables/>
    <w:compatSetting w:name="compatibilityMode" w:uri="http://schemas.microsoft.com/office/word" w:val="15"/>
  </w:compat>
  <w:themeFontLang w:val="" w:eastAsia="" w:bidi=""/>
  <w:docVars>
    <w:docVar w:name="USERINFO_NAME" w:val="0"/>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Bitstream Vera Sans" w:hAnsi="Bitstream Vera Sans" w:eastAsia="Bitstream Vera Sans" w:cs="Bitstream Vera Sans"/>
        <w:sz w:val="24"/>
        <w:szCs w:val="24"/>
        <w:lang w:val="de-DE" w:eastAsia="en-US" w:bidi="en-US"/>
      </w:rPr>
    </w:rPrDefault>
    <w:pPrDefault>
      <w:pPr>
        <w:suppressAutoHyphens w:val="true"/>
      </w:pPr>
    </w:pPrDefault>
  </w:docDefaults>
  <w:style w:type="paragraph" w:styleId="Normal">
    <w:name w:val="Normal"/>
    <w:qFormat/>
    <w:pPr>
      <w:widowControl w:val="false"/>
      <w:suppressAutoHyphens w:val="true"/>
      <w:overflowPunct w:val="false"/>
      <w:bidi w:val="0"/>
      <w:spacing w:before="0" w:after="0"/>
      <w:jc w:val="start"/>
    </w:pPr>
    <w:rPr>
      <w:rFonts w:ascii="Arial" w:hAnsi="Arial" w:eastAsia="Bitstream Vera Sans" w:cs="Bitstream Vera Sans"/>
      <w:color w:val="auto"/>
      <w:kern w:val="0"/>
      <w:sz w:val="20"/>
      <w:szCs w:val="24"/>
      <w:lang w:val="de-DE" w:eastAsia="en-US" w:bidi="en-US"/>
    </w:rPr>
  </w:style>
  <w:style w:type="paragraph" w:styleId="Heading1">
    <w:name w:val="Heading 1"/>
    <w:basedOn w:val="Heading"/>
    <w:next w:val="BodyText"/>
    <w:qFormat/>
    <w:pPr>
      <w:numPr>
        <w:ilvl w:val="0"/>
        <w:numId w:val="1"/>
      </w:numPr>
      <w:outlineLvl w:val="0"/>
    </w:pPr>
    <w:rPr>
      <w:rFonts w:ascii="Arial" w:hAnsi="Arial" w:eastAsia="Bitstream Vera Sans" w:cs="Bitstream Vera Sans"/>
      <w:b w:val="false"/>
      <w:bCs/>
      <w:sz w:val="36"/>
      <w:szCs w:val="48"/>
    </w:rPr>
  </w:style>
  <w:style w:type="paragraph" w:styleId="Heading2">
    <w:name w:val="Heading 2"/>
    <w:basedOn w:val="Heading"/>
    <w:next w:val="BodyText"/>
    <w:qFormat/>
    <w:pPr>
      <w:numPr>
        <w:ilvl w:val="1"/>
        <w:numId w:val="1"/>
      </w:numPr>
      <w:outlineLvl w:val="1"/>
    </w:pPr>
    <w:rPr>
      <w:rFonts w:ascii="Arial" w:hAnsi="Arial" w:eastAsia="Bitstream Vera Sans" w:cs="Bitstream Vera Sans"/>
      <w:b w:val="false"/>
      <w:bCs/>
      <w:sz w:val="28"/>
      <w:szCs w:val="36"/>
    </w:rPr>
  </w:style>
  <w:style w:type="paragraph" w:styleId="Heading3">
    <w:name w:val="Heading 3"/>
    <w:basedOn w:val="Heading"/>
    <w:next w:val="BodyText"/>
    <w:qFormat/>
    <w:pPr>
      <w:numPr>
        <w:ilvl w:val="2"/>
        <w:numId w:val="1"/>
      </w:numPr>
      <w:outlineLvl w:val="2"/>
    </w:pPr>
    <w:rPr>
      <w:rFonts w:ascii="Bitstream Vera Sans" w:hAnsi="Bitstream Vera Sans" w:eastAsia="Bitstream Vera Sans" w:cs="Bitstream Vera Sans"/>
      <w:b/>
      <w:bCs/>
      <w:sz w:val="28"/>
      <w:szCs w:val="28"/>
    </w:rPr>
  </w:style>
  <w:style w:type="paragraph" w:styleId="Heading4">
    <w:name w:val="Heading 4"/>
    <w:basedOn w:val="Heading"/>
    <w:next w:val="BodyText"/>
    <w:qFormat/>
    <w:pPr>
      <w:numPr>
        <w:ilvl w:val="3"/>
        <w:numId w:val="1"/>
      </w:numPr>
      <w:outlineLvl w:val="3"/>
    </w:pPr>
    <w:rPr>
      <w:rFonts w:ascii="Bitstream Vera Sans" w:hAnsi="Bitstream Vera Sans" w:eastAsia="Bitstream Vera Sans" w:cs="Bitstream Vera Sans"/>
      <w:b/>
      <w:bCs/>
      <w:sz w:val="24"/>
      <w:szCs w:val="24"/>
    </w:rPr>
  </w:style>
  <w:style w:type="paragraph" w:styleId="Heading5">
    <w:name w:val="Heading 5"/>
    <w:basedOn w:val="Heading"/>
    <w:next w:val="BodyText"/>
    <w:qFormat/>
    <w:pPr>
      <w:numPr>
        <w:ilvl w:val="4"/>
        <w:numId w:val="1"/>
      </w:numPr>
      <w:outlineLvl w:val="4"/>
    </w:pPr>
    <w:rPr>
      <w:rFonts w:ascii="Bitstream Vera Sans" w:hAnsi="Bitstream Vera Sans" w:eastAsia="Bitstream Vera Sans" w:cs="Bitstream Vera Sans"/>
      <w:b/>
      <w:bCs/>
      <w:sz w:val="20"/>
      <w:szCs w:val="20"/>
    </w:rPr>
  </w:style>
  <w:style w:type="character" w:styleId="NumberingSymbols">
    <w:name w:val="Numbering Symbols"/>
    <w:qFormat/>
    <w:rPr/>
  </w:style>
  <w:style w:type="character" w:styleId="Bullets">
    <w:name w:val="Bullets"/>
    <w:qFormat/>
    <w:rPr>
      <w:rFonts w:ascii="StarSymbol" w:hAnsi="StarSymbol" w:eastAsia="StarSymbol" w:cs="StarSymbol"/>
      <w:sz w:val="18"/>
      <w:szCs w:val="18"/>
    </w:rPr>
  </w:style>
  <w:style w:type="character" w:styleId="Hyperlink">
    <w:name w:val="Hyperlink"/>
    <w:rPr>
      <w:color w:val="000080"/>
      <w:u w:val="single"/>
    </w:rPr>
  </w:style>
  <w:style w:type="character" w:styleId="FollowedHyperlink">
    <w:name w:val="FollowedHyperlink"/>
    <w:rPr>
      <w:color w:val="800000"/>
      <w:u w:val="single"/>
    </w:rPr>
  </w:style>
  <w:style w:type="character" w:styleId="Locallink">
    <w:name w:val="Local link"/>
    <w:qFormat/>
    <w:rPr>
      <w:b/>
      <w:color w:val="000000"/>
      <w:u w:val="single"/>
    </w:rPr>
  </w:style>
  <w:style w:type="character" w:styleId="VisitedLocalLink">
    <w:name w:val="Visited Local Link"/>
    <w:qFormat/>
    <w:rPr>
      <w:b/>
      <w:color w:val="000000"/>
      <w:u w:val="single"/>
    </w:rPr>
  </w:style>
  <w:style w:type="character" w:styleId="Emphasis">
    <w:name w:val="Emphasis"/>
    <w:qFormat/>
    <w:rPr>
      <w:i/>
      <w:iCs/>
    </w:rPr>
  </w:style>
  <w:style w:type="character" w:styleId="Strong">
    <w:name w:val="Strong"/>
    <w:qFormat/>
    <w:rPr>
      <w:b/>
      <w:bCs/>
    </w:rPr>
  </w:style>
  <w:style w:type="character" w:styleId="SourceText">
    <w:name w:val="Source Text"/>
    <w:qFormat/>
    <w:rPr>
      <w:rFonts w:ascii="Bitstream Vera Sans Mono" w:hAnsi="Bitstream Vera Sans Mono" w:eastAsia="Bitstream Vera Sans Mono" w:cs="Bitstream Vera Sans Mono"/>
    </w:rPr>
  </w:style>
  <w:style w:type="character" w:styleId="FootnoteCharacters">
    <w:name w:val="Footnote Characters"/>
    <w:qFormat/>
    <w:rPr>
      <w:color w:val="2B73B7"/>
      <w:vertAlign w:val="superscript"/>
    </w:rPr>
  </w:style>
  <w:style w:type="character" w:styleId="FootnoteReference">
    <w:name w:val="Footnote Reference"/>
    <w:rPr>
      <w:color w:val="2B73B7"/>
      <w:vertAlign w:val="superscript"/>
    </w:rPr>
  </w:style>
  <w:style w:type="character" w:styleId="ListSymbols">
    <w:name w:val="List Symbols"/>
    <w:qFormat/>
    <w:rPr/>
  </w:style>
  <w:style w:type="character" w:styleId="PluginODTAutoStyleText4">
    <w:name w:val="PluginODTAutoStyle_Text_4"/>
    <w:qFormat/>
    <w:rPr>
      <w:color w:val="000000"/>
    </w:rPr>
  </w:style>
  <w:style w:type="character" w:styleId="PluginODTAutoStyleText5">
    <w:name w:val="PluginODTAutoStyle_Text_5"/>
    <w:qFormat/>
    <w:rPr>
      <w:color w:val="000000"/>
    </w:rPr>
  </w:style>
  <w:style w:type="character" w:styleId="PluginODTAutoStyleText6">
    <w:name w:val="PluginODTAutoStyle_Text_6"/>
    <w:qFormat/>
    <w:rPr>
      <w:color w:val="000000"/>
    </w:rPr>
  </w:style>
  <w:style w:type="character" w:styleId="IndexLink">
    <w:name w:val="Index Link"/>
    <w:qFormat/>
    <w:rPr/>
  </w:style>
  <w:style w:type="character" w:styleId="LineNumber">
    <w:name w:val="Line Number"/>
    <w:rPr/>
  </w:style>
  <w:style w:type="paragraph" w:styleId="Heading">
    <w:name w:val="Heading"/>
    <w:basedOn w:val="Normal"/>
    <w:next w:val="BodyText"/>
    <w:qFormat/>
    <w:pPr>
      <w:keepNext w:val="true"/>
      <w:spacing w:before="240" w:after="120"/>
    </w:pPr>
    <w:rPr>
      <w:rFonts w:ascii="Bitstream Vera Sans" w:hAnsi="Bitstream Vera Sans" w:eastAsia="Bitstream Vera Sans" w:cs="Bitstream Vera Sans"/>
      <w:sz w:val="28"/>
      <w:szCs w:val="28"/>
    </w:rPr>
  </w:style>
  <w:style w:type="paragraph" w:styleId="BodyText">
    <w:name w:val="Body Text"/>
    <w:basedOn w:val="Normal"/>
    <w:pPr>
      <w:spacing w:before="0" w:after="120"/>
      <w:jc w:val="both"/>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BlockQuotation">
    <w:name w:val="Block Quotation"/>
    <w:basedOn w:val="Normal"/>
    <w:qFormat/>
    <w:pPr>
      <w:spacing w:before="0" w:after="283"/>
      <w:ind w:hanging="0" w:start="567" w:end="567"/>
    </w:pPr>
    <w:rPr/>
  </w:style>
  <w:style w:type="paragraph" w:styleId="PreformattedText">
    <w:name w:val="Preformatted Text"/>
    <w:basedOn w:val="Normal"/>
    <w:qFormat/>
    <w:pPr>
      <w:spacing w:before="0" w:after="113"/>
    </w:pPr>
    <w:rPr>
      <w:rFonts w:ascii="Bitstream Vera Sans Mono" w:hAnsi="Bitstream Vera Sans Mono" w:eastAsia="Bitstream Vera Sans Mono" w:cs="Bitstream Vera Sans Mono"/>
    </w:rPr>
  </w:style>
  <w:style w:type="paragraph" w:styleId="SourceCode">
    <w:name w:val="Source Code"/>
    <w:basedOn w:val="PreformattedText"/>
    <w:qFormat/>
    <w:pPr>
      <w:pBdr>
        <w:top w:val="single" w:sz="2" w:space="1" w:color="8CACBB"/>
        <w:left w:val="single" w:sz="2" w:space="1" w:color="8CACBB"/>
        <w:bottom w:val="single" w:sz="2" w:space="1" w:color="8CACBB"/>
        <w:right w:val="single" w:sz="2" w:space="1" w:color="8CACBB"/>
      </w:pBdr>
      <w:shd w:val="clear" w:fill="F7F9FA"/>
    </w:pPr>
    <w:rPr/>
  </w:style>
  <w:style w:type="paragraph" w:styleId="SourceFile">
    <w:name w:val="Source File"/>
    <w:basedOn w:val="PreformattedText"/>
    <w:qFormat/>
    <w:pPr>
      <w:pBdr>
        <w:top w:val="single" w:sz="2" w:space="1" w:color="8CACBB"/>
        <w:left w:val="single" w:sz="2" w:space="1" w:color="8CACBB"/>
        <w:bottom w:val="single" w:sz="2" w:space="1" w:color="8CACBB"/>
        <w:right w:val="single" w:sz="2" w:space="1" w:color="8CACBB"/>
      </w:pBdr>
      <w:shd w:val="clear" w:fill="F1F4F5"/>
    </w:pPr>
    <w:rPr/>
  </w:style>
  <w:style w:type="paragraph" w:styleId="HorizontalLine">
    <w:name w:val="Horizontal Line"/>
    <w:basedOn w:val="Normal"/>
    <w:next w:val="BodyText"/>
    <w:qFormat/>
    <w:pPr>
      <w:suppressLineNumbers/>
      <w:spacing w:before="0" w:after="283"/>
    </w:pPr>
    <w:rPr>
      <w:sz w:val="12"/>
      <w:szCs w:val="12"/>
    </w:rPr>
  </w:style>
  <w:style w:type="paragraph" w:styleId="FootnoteText">
    <w:name w:val="Footnote Text"/>
    <w:basedOn w:val="Normal"/>
    <w:pPr>
      <w:suppressLineNumbers/>
      <w:ind w:hanging="283" w:start="283" w:end="0"/>
    </w:pPr>
    <w:rPr>
      <w:sz w:val="20"/>
      <w:szCs w:val="20"/>
    </w:rPr>
  </w:style>
  <w:style w:type="paragraph" w:styleId="Quotation1">
    <w:name w:val="Quotation 1"/>
    <w:basedOn w:val="Normal"/>
    <w:qFormat/>
    <w:pPr>
      <w:pBdr>
        <w:left w:val="single" w:sz="40" w:space="1" w:color="C0C0C0"/>
      </w:pBdr>
      <w:spacing w:before="142" w:after="142"/>
      <w:ind w:hanging="0" w:start="567" w:end="0"/>
    </w:pPr>
    <w:rPr/>
  </w:style>
  <w:style w:type="paragraph" w:styleId="Quotation2">
    <w:name w:val="Quotation 2"/>
    <w:basedOn w:val="Normal"/>
    <w:qFormat/>
    <w:pPr>
      <w:pBdr>
        <w:left w:val="single" w:sz="40" w:space="1" w:color="9966CC"/>
      </w:pBdr>
      <w:spacing w:before="142" w:after="142"/>
      <w:ind w:hanging="0" w:start="1134" w:end="0"/>
    </w:pPr>
    <w:rPr/>
  </w:style>
  <w:style w:type="paragraph" w:styleId="Quotation3">
    <w:name w:val="Quotation 3"/>
    <w:basedOn w:val="Normal"/>
    <w:qFormat/>
    <w:pPr>
      <w:pBdr>
        <w:left w:val="single" w:sz="40" w:space="1" w:color="C5000B"/>
      </w:pBdr>
      <w:spacing w:before="142" w:after="142"/>
      <w:ind w:hanging="0" w:start="1701" w:end="0"/>
    </w:pPr>
    <w:rPr/>
  </w:style>
  <w:style w:type="paragraph" w:styleId="Quotation4">
    <w:name w:val="Quotation 4"/>
    <w:basedOn w:val="Normal"/>
    <w:qFormat/>
    <w:pPr>
      <w:pBdr>
        <w:left w:val="single" w:sz="40" w:space="1" w:color="579D1C"/>
      </w:pBdr>
      <w:spacing w:before="142" w:after="142"/>
      <w:ind w:hanging="0" w:start="2268" w:end="0"/>
    </w:pPr>
    <w:rPr/>
  </w:style>
  <w:style w:type="paragraph" w:styleId="Quotation5">
    <w:name w:val="Quotation 5"/>
    <w:basedOn w:val="Normal"/>
    <w:qFormat/>
    <w:pPr>
      <w:pBdr>
        <w:left w:val="single" w:sz="40" w:space="1" w:color="FF9966"/>
      </w:pBdr>
      <w:spacing w:before="142" w:after="142"/>
      <w:ind w:hanging="0" w:start="2835" w:end="0"/>
    </w:pPr>
    <w:rPr/>
  </w:style>
  <w:style w:type="paragraph" w:styleId="IndexHeading">
    <w:name w:val="Index Heading"/>
    <w:basedOn w:val="Heading"/>
    <w:pPr>
      <w:suppressLineNumbers/>
      <w:ind w:hanging="0" w:start="0" w:end="0"/>
    </w:pPr>
    <w:rPr>
      <w:b/>
      <w:bCs/>
      <w:sz w:val="32"/>
      <w:szCs w:val="32"/>
    </w:rPr>
  </w:style>
  <w:style w:type="paragraph" w:styleId="TOCHeading">
    <w:name w:val="TOC Heading"/>
    <w:basedOn w:val="Heading"/>
    <w:qFormat/>
    <w:pPr>
      <w:suppressLineNumbers/>
      <w:ind w:hanging="0" w:start="0" w:end="0"/>
    </w:pPr>
    <w:rPr>
      <w:b/>
      <w:bCs/>
      <w:sz w:val="32"/>
      <w:szCs w:val="32"/>
    </w:rPr>
  </w:style>
  <w:style w:type="paragraph" w:styleId="Numbering1Content">
    <w:name w:val="Numbering 1 Content"/>
    <w:basedOn w:val="Normal"/>
    <w:qFormat/>
    <w:pPr>
      <w:numPr>
        <w:ilvl w:val="0"/>
        <w:numId w:val="3"/>
      </w:numPr>
    </w:pPr>
    <w:rPr/>
  </w:style>
  <w:style w:type="paragraph" w:styleId="Numbering1ContentFirst">
    <w:name w:val="Numbering 1 Content First"/>
    <w:basedOn w:val="Numbering1Content"/>
    <w:next w:val="BodyText"/>
    <w:qFormat/>
    <w:pPr>
      <w:spacing w:before="283" w:after="0"/>
    </w:pPr>
    <w:rPr/>
  </w:style>
  <w:style w:type="paragraph" w:styleId="Numbering1ContentLast">
    <w:name w:val="Numbering 1 Content Last"/>
    <w:basedOn w:val="Numbering1Content"/>
    <w:next w:val="BodyText"/>
    <w:qFormat/>
    <w:pPr>
      <w:spacing w:before="0" w:after="283"/>
    </w:pPr>
    <w:rPr/>
  </w:style>
  <w:style w:type="paragraph" w:styleId="List1Content">
    <w:name w:val="List 1 Content"/>
    <w:basedOn w:val="Normal"/>
    <w:qFormat/>
    <w:pPr>
      <w:numPr>
        <w:ilvl w:val="0"/>
        <w:numId w:val="2"/>
      </w:numPr>
    </w:pPr>
    <w:rPr/>
  </w:style>
  <w:style w:type="paragraph" w:styleId="List1ContentFirst">
    <w:name w:val="List 1 Content First"/>
    <w:basedOn w:val="List1Content"/>
    <w:next w:val="BodyText"/>
    <w:qFormat/>
    <w:pPr>
      <w:spacing w:before="0" w:after="0"/>
    </w:pPr>
    <w:rPr/>
  </w:style>
  <w:style w:type="paragraph" w:styleId="List1ContentLast">
    <w:name w:val="List 1 Content Last"/>
    <w:basedOn w:val="List1Content"/>
    <w:next w:val="BodyText"/>
    <w:qFormat/>
    <w:pPr>
      <w:spacing w:before="0" w:after="0"/>
    </w:pPr>
    <w:rPr/>
  </w:style>
  <w:style w:type="paragraph" w:styleId="PluginODTAutoStyleParagraph1">
    <w:name w:val="PluginODTAutoStyle_Paragraph_1"/>
    <w:basedOn w:val="Index"/>
    <w:qFormat/>
    <w:pPr>
      <w:tabs>
        <w:tab w:val="clear" w:pos="709"/>
        <w:tab w:val="right" w:pos="9638" w:leader="dot"/>
      </w:tabs>
      <w:ind w:hanging="0" w:start="0" w:end="0"/>
    </w:pPr>
    <w:rPr/>
  </w:style>
  <w:style w:type="paragraph" w:styleId="PluginODTAutoStyleParagraph2">
    <w:name w:val="PluginODTAutoStyle_Paragraph_2"/>
    <w:basedOn w:val="Index"/>
    <w:qFormat/>
    <w:pPr>
      <w:tabs>
        <w:tab w:val="clear" w:pos="709"/>
        <w:tab w:val="right" w:pos="9637" w:leader="dot"/>
      </w:tabs>
      <w:ind w:hanging="0" w:start="283" w:end="0"/>
    </w:pPr>
    <w:rPr/>
  </w:style>
  <w:style w:type="paragraph" w:styleId="PluginODTAutoStyleParagraph3">
    <w:name w:val="PluginODTAutoStyle_Paragraph_3"/>
    <w:basedOn w:val="Index"/>
    <w:qFormat/>
    <w:pPr>
      <w:tabs>
        <w:tab w:val="clear" w:pos="709"/>
        <w:tab w:val="right" w:pos="9638" w:leader="dot"/>
      </w:tabs>
      <w:ind w:hanging="0" w:start="567" w:end="0"/>
    </w:pPr>
    <w:rPr/>
  </w:style>
  <w:style w:type="paragraph" w:styleId="HeaderandFooter">
    <w:name w:val="Header and Footer"/>
    <w:basedOn w:val="Normal"/>
    <w:qFormat/>
    <w:pPr>
      <w:suppressLineNumbers/>
      <w:tabs>
        <w:tab w:val="clear" w:pos="709"/>
        <w:tab w:val="center" w:pos="4819" w:leader="none"/>
        <w:tab w:val="right" w:pos="9638" w:leader="none"/>
      </w:tabs>
    </w:pPr>
    <w:rPr/>
  </w:style>
  <w:style w:type="paragraph" w:styleId="Header">
    <w:name w:val="Header"/>
    <w:basedOn w:val="Normal"/>
    <w:pPr>
      <w:suppressLineNumbers/>
      <w:tabs>
        <w:tab w:val="clear" w:pos="709"/>
        <w:tab w:val="center" w:pos="4819" w:leader="none"/>
        <w:tab w:val="right" w:pos="9638" w:leader="none"/>
      </w:tabs>
    </w:pPr>
    <w:rPr/>
  </w:style>
  <w:style w:type="paragraph" w:styleId="Footer">
    <w:name w:val="Footer"/>
    <w:basedOn w:val="Normal"/>
    <w:pPr>
      <w:suppressLineNumbers/>
      <w:pBdr>
        <w:top w:val="single" w:sz="2" w:space="1" w:color="000000"/>
      </w:pBdr>
      <w:tabs>
        <w:tab w:val="clear" w:pos="709"/>
        <w:tab w:val="center" w:pos="4819" w:leader="none"/>
        <w:tab w:val="right" w:pos="9638" w:leader="none"/>
      </w:tabs>
    </w:pPr>
    <w:rPr/>
  </w:style>
  <w:style w:type="paragraph" w:styleId="Title">
    <w:name w:val="Title"/>
    <w:basedOn w:val="Heading"/>
    <w:next w:val="BodyText"/>
    <w:qFormat/>
    <w:pPr>
      <w:jc w:val="center"/>
    </w:pPr>
    <w:rPr>
      <w:b/>
      <w:bCs/>
      <w:sz w:val="56"/>
      <w:szCs w:val="56"/>
    </w:rPr>
  </w:style>
  <w:style w:type="paragraph" w:styleId="Subtitle">
    <w:name w:val="Subtitle"/>
    <w:basedOn w:val="Heading"/>
    <w:next w:val="BodyText"/>
    <w:qFormat/>
    <w:pPr>
      <w:spacing w:before="60" w:after="120"/>
      <w:jc w:val="center"/>
    </w:pPr>
    <w:rPr>
      <w:sz w:val="36"/>
      <w:szCs w:val="36"/>
    </w:rPr>
  </w:style>
  <w:style w:type="paragraph" w:styleId="TOC1">
    <w:name w:val="TOC 1"/>
    <w:basedOn w:val="Index"/>
    <w:pPr>
      <w:tabs>
        <w:tab w:val="clear" w:pos="709"/>
        <w:tab w:val="right" w:pos="15704" w:leader="dot"/>
      </w:tabs>
      <w:ind w:hanging="0" w:start="0"/>
    </w:pPr>
    <w:rPr/>
  </w:style>
  <w:style w:type="paragraph" w:styleId="TOC4">
    <w:name w:val="TOC 4"/>
    <w:basedOn w:val="Index"/>
    <w:pPr>
      <w:tabs>
        <w:tab w:val="clear" w:pos="709"/>
        <w:tab w:val="right" w:pos="15704" w:leader="dot"/>
      </w:tabs>
      <w:ind w:hanging="0" w:start="850"/>
    </w:pPr>
    <w:rPr/>
  </w:style>
  <w:style w:type="paragraph" w:styleId="TOC2">
    <w:name w:val="TOC 2"/>
    <w:basedOn w:val="Index"/>
    <w:pPr>
      <w:tabs>
        <w:tab w:val="clear" w:pos="709"/>
        <w:tab w:val="right" w:pos="15704" w:leader="dot"/>
      </w:tabs>
      <w:ind w:hanging="0" w:start="283"/>
    </w:pPr>
    <w:rPr/>
  </w:style>
  <w:style w:type="paragraph" w:styleId="TOC3">
    <w:name w:val="TOC 3"/>
    <w:basedOn w:val="Index"/>
    <w:pPr>
      <w:tabs>
        <w:tab w:val="clear" w:pos="709"/>
        <w:tab w:val="right" w:pos="15704" w:leader="dot"/>
      </w:tabs>
      <w:ind w:hanging="0" w:start="567"/>
    </w:pPr>
    <w:rPr/>
  </w:style>
  <w:style w:type="numbering" w:styleId="Bullet">
    <w:name w:val="Bullet •"/>
    <w:qFormat/>
  </w:style>
  <w:style w:type="numbering" w:styleId="Numbering1">
    <w:name w:val="Numbering 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1.png"/><Relationship Id="rId6" Type="http://schemas.openxmlformats.org/officeDocument/2006/relationships/image" Target="media/image1.png"/><Relationship Id="rId7" Type="http://schemas.openxmlformats.org/officeDocument/2006/relationships/image" Target="media/image1.png"/><Relationship Id="rId8" Type="http://schemas.openxmlformats.org/officeDocument/2006/relationships/image" Target="media/image1.png"/><Relationship Id="rId9" Type="http://schemas.openxmlformats.org/officeDocument/2006/relationships/image" Target="media/image1.png"/><Relationship Id="rId10" Type="http://schemas.openxmlformats.org/officeDocument/2006/relationships/image" Target="media/image1.png"/><Relationship Id="rId11" Type="http://schemas.openxmlformats.org/officeDocument/2006/relationships/image" Target="media/image1.png"/><Relationship Id="rId12" Type="http://schemas.openxmlformats.org/officeDocument/2006/relationships/image" Target="media/image1.png"/><Relationship Id="rId13" Type="http://schemas.openxmlformats.org/officeDocument/2006/relationships/image" Target="media/image1.png"/><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header" Target="header3.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oter" Target="footer3.xml"/><Relationship Id="rId20" Type="http://schemas.openxmlformats.org/officeDocument/2006/relationships/numbering" Target="numbering.xml"/><Relationship Id="rId21" Type="http://schemas.openxmlformats.org/officeDocument/2006/relationships/fontTable" Target="fontTable.xml"/><Relationship Id="rId22" Type="http://schemas.openxmlformats.org/officeDocument/2006/relationships/settings" Target="settings.xml"/><Relationship Id="rId23"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
</Relationships>
</file>

<file path=word/_rels/header2.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_rels/header3.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7835</TotalTime>
  <Application>LibreOffice/24.2.3.2$Linux_X86_64 LibreOffice_project/433d9c2ded56988e8a90e6b2e771ee4e6a5ab2ba</Application>
  <AppVersion>15.0000</AppVersion>
  <Pages>84</Pages>
  <Words>18424</Words>
  <Characters>124121</Characters>
  <CharactersWithSpaces>139909</CharactersWithSpaces>
  <Paragraphs>2665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2024-05-21T19:00:08Z</dcterms:created>
  <dc:creator>Mark Semmler</dc:creator>
  <dc:description/>
  <dc:language>en-US</dc:language>
  <cp:lastModifiedBy>Mark Semmler</cp:lastModifiedBy>
  <cp:lastPrinted>2024-06-27T11:39:29Z</cp:lastPrinted>
  <dcterms:modified xsi:type="dcterms:W3CDTF">2024-06-27T16:05:27Z</dcterms:modified>
  <cp:revision>124</cp:revision>
  <dc:subject/>
  <dc:title>trainings:sem-2tage-10k:10k_kommentiert_komplett_assessment</dc:title>
</cp:coreProperties>
</file>

<file path=docProps/custom.xml><?xml version="1.0" encoding="utf-8"?>
<Properties xmlns="http://schemas.openxmlformats.org/officeDocument/2006/custom-properties" xmlns:vt="http://schemas.openxmlformats.org/officeDocument/2006/docPropsVTypes"/>
</file>