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r>
          </w:p>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p>
            <w:pPr>
              <w:pStyle w:val="Normal"/>
              <w:bidi w:val="0"/>
              <w:jc w:val="start"/>
              <w:rPr/>
            </w:pPr>
            <w:r>
              <w:rPr/>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
      <w:r>
        <w:br w:type="page"/>
      </w:r>
    </w:p>
    <w:p>
      <w:pPr>
        <w:pStyle w:val="Normal"/>
        <w:bidi w:val="0"/>
        <w:jc w:val="center"/>
        <w:rPr/>
      </w:pPr>
      <w:r>
        <w:rPr/>
        <w:drawing>
          <wp:inline distT="0" distB="0" distL="0" distR="0">
            <wp:extent cx="6224905" cy="5245735"/>
            <wp:effectExtent l="0" t="0" r="0" b="0"/>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3"/>
                    <a:stretch>
                      <a:fillRect/>
                    </a:stretch>
                  </pic:blipFill>
                  <pic:spPr bwMode="auto">
                    <a:xfrm>
                      <a:off x="0" y="0"/>
                      <a:ext cx="6224905" cy="5245735"/>
                    </a:xfrm>
                    <a:prstGeom prst="rect">
                      <a:avLst/>
                    </a:prstGeom>
                  </pic:spPr>
                </pic:pic>
              </a:graphicData>
            </a:graphic>
          </wp:inline>
        </w:drawing>
      </w:r>
      <w:r>
        <w:br w:type="page"/>
      </w:r>
    </w:p>
    <w:p>
      <w:pPr>
        <w:pStyle w:val="Normal"/>
        <w:bidi w:val="0"/>
        <w:jc w:val="center"/>
        <w:rPr/>
      </w:pPr>
      <w:r>
        <w:rPr/>
        <w:drawing>
          <wp:inline distT="0" distB="0" distL="0" distR="0">
            <wp:extent cx="9972040" cy="504698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046980"/>
                    </a:xfrm>
                    <a:prstGeom prst="rect">
                      <a:avLst/>
                    </a:prstGeom>
                  </pic:spPr>
                </pic:pic>
              </a:graphicData>
            </a:graphic>
          </wp:inline>
        </w:drawing>
      </w:r>
      <w:r>
        <w:br w:type="page"/>
      </w:r>
    </w:p>
    <w:p>
      <w:pPr>
        <w:pStyle w:val="Normal"/>
        <w:bidi w:val="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3Asem-2t"/>
      <w:bookmarkEnd w:id="1"/>
      <w:bookmarkEnd w:id="3"/>
      <w:r>
        <w:rPr/>
        <w:t>V</w:t>
      </w:r>
      <w:bookmarkEnd w:id="2"/>
      <w:r>
        <w:rPr/>
        <w:t>dS 10100, Version 0.1.</w:t>
      </w:r>
      <w:r>
        <w:rPr/>
        <w:t>1</w:t>
      </w:r>
      <w:r>
        <w:rPr/>
        <w:t xml:space="preserve"> vom 2</w:t>
      </w:r>
      <w:r>
        <w:rPr/>
        <w:t>7</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0.1.1 vom 24.06.2024</w:t>
              <w:tab/>
              <w:t>5</w:t>
            </w:r>
          </w:hyperlink>
        </w:p>
        <w:p>
          <w:pPr>
            <w:pStyle w:val="TOC4"/>
            <w:rPr/>
          </w:pPr>
          <w:hyperlink w:anchor="__RefHeading___vds-richtlinien_fuer_die_">
            <w:r>
              <w:rPr>
                <w:rStyle w:val="IndexLink"/>
              </w:rPr>
              <w:t>0 VdS-Richtlinien für die Informationsverarbeitung</w:t>
              <w:tab/>
              <w:t>5</w:t>
            </w:r>
          </w:hyperlink>
        </w:p>
        <w:p>
          <w:pPr>
            <w:pStyle w:val="TOC1"/>
            <w:rPr/>
          </w:pPr>
          <w:hyperlink w:anchor="__RefHeading___informationssicherheitsma">
            <w:r>
              <w:rPr>
                <w:rStyle w:val="IndexLink"/>
              </w:rPr>
              <w:t>Strukturierte Informationssicherheit gemäß NIS2</w:t>
              <w:tab/>
              <w:t>5</w:t>
            </w:r>
          </w:hyperlink>
        </w:p>
        <w:p>
          <w:pPr>
            <w:pStyle w:val="TOC4"/>
            <w:rPr/>
          </w:pPr>
          <w:hyperlink w:anchor="__RefHeading___anforderungen_4">
            <w:r>
              <w:rPr>
                <w:rStyle w:val="IndexLink"/>
              </w:rPr>
              <w:t>Anforderungen</w:t>
              <w:tab/>
              <w:t>9</w:t>
            </w:r>
          </w:hyperlink>
        </w:p>
        <w:p>
          <w:pPr>
            <w:pStyle w:val="TOC1"/>
            <w:rPr/>
          </w:pPr>
          <w:hyperlink w:anchor="__RefHeading___allgemeines_5">
            <w:r>
              <w:rPr>
                <w:rStyle w:val="IndexLink"/>
              </w:rPr>
              <w:t>1 Allgemeines</w:t>
              <w:tab/>
              <w:t>9</w:t>
            </w:r>
          </w:hyperlink>
        </w:p>
        <w:p>
          <w:pPr>
            <w:pStyle w:val="TOC2"/>
            <w:rPr/>
          </w:pPr>
          <w:hyperlink w:anchor="__RefHeading___anwendungshinweise_6">
            <w:r>
              <w:rPr>
                <w:rStyle w:val="IndexLink"/>
              </w:rPr>
              <w:t>1.1 Anwendungshinweise</w:t>
              <w:tab/>
              <w:t>9</w:t>
            </w:r>
          </w:hyperlink>
        </w:p>
        <w:p>
          <w:pPr>
            <w:pStyle w:val="TOC2"/>
            <w:rPr/>
          </w:pPr>
          <w:hyperlink w:anchor="__RefHeading___anwendungs-_und_geltungsb">
            <w:r>
              <w:rPr>
                <w:rStyle w:val="IndexLink"/>
              </w:rPr>
              <w:t>1.2 Anwendungs- und Geltungsbereich</w:t>
              <w:tab/>
              <w:t>11</w:t>
            </w:r>
          </w:hyperlink>
        </w:p>
        <w:p>
          <w:pPr>
            <w:pStyle w:val="TOC3"/>
            <w:rPr/>
          </w:pPr>
          <w:hyperlink w:anchor="__RefHeading___Toc49840_1658012805">
            <w:r>
              <w:rPr>
                <w:rStyle w:val="IndexLink"/>
              </w:rPr>
              <w:t>1.2.1 Analyse und Registrierung</w:t>
              <w:tab/>
              <w:t>11</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14</w:t>
            </w:r>
          </w:hyperlink>
        </w:p>
        <w:p>
          <w:pPr>
            <w:pStyle w:val="TOC1"/>
            <w:rPr/>
          </w:pPr>
          <w:hyperlink w:anchor="__RefHeading___organisation_der_informat">
            <w:r>
              <w:rPr>
                <w:rStyle w:val="IndexLink"/>
              </w:rPr>
              <w:t>4 Organisation der Informationssicherheit</w:t>
              <w:tab/>
              <w:t>23</w:t>
            </w:r>
          </w:hyperlink>
        </w:p>
        <w:p>
          <w:pPr>
            <w:pStyle w:val="TOC2"/>
            <w:rPr/>
          </w:pPr>
          <w:hyperlink w:anchor="__RefHeading___verantwortlichkeiten_12">
            <w:r>
              <w:rPr>
                <w:rStyle w:val="IndexLink"/>
              </w:rPr>
              <w:t>4.1 Verantwortlichkeiten</w:t>
              <w:tab/>
              <w:t>23</w:t>
            </w:r>
          </w:hyperlink>
        </w:p>
        <w:p>
          <w:pPr>
            <w:pStyle w:val="TOC3"/>
            <w:rPr/>
          </w:pPr>
          <w:hyperlink w:anchor="__RefHeading___zuweisung_und_dokumentati">
            <w:r>
              <w:rPr>
                <w:rStyle w:val="IndexLink"/>
              </w:rPr>
              <w:t>4.1.1 Zuweisung und Dokumentation</w:t>
              <w:tab/>
              <w:t>23</w:t>
            </w:r>
          </w:hyperlink>
        </w:p>
        <w:p>
          <w:pPr>
            <w:pStyle w:val="TOC3"/>
            <w:rPr/>
          </w:pPr>
          <w:hyperlink w:anchor="__RefHeading___funktionstrennungen_14">
            <w:r>
              <w:rPr>
                <w:rStyle w:val="IndexLink"/>
              </w:rPr>
              <w:t>4.1.2 Funktionstrennungen</w:t>
              <w:tab/>
              <w:t>24</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25</w:t>
            </w:r>
          </w:hyperlink>
        </w:p>
        <w:p>
          <w:pPr>
            <w:pStyle w:val="TOC2"/>
            <w:rPr/>
          </w:pPr>
          <w:hyperlink w:anchor="__RefHeading___topmanagement_17">
            <w:r>
              <w:rPr>
                <w:rStyle w:val="IndexLink"/>
              </w:rPr>
              <w:t>4.2 Topmanagement</w:t>
              <w:tab/>
              <w:t>25</w:t>
            </w:r>
          </w:hyperlink>
        </w:p>
        <w:p>
          <w:pPr>
            <w:pStyle w:val="TOC2"/>
            <w:rPr/>
          </w:pPr>
          <w:hyperlink w:anchor="__RefHeading___informationssicherheitsbe">
            <w:r>
              <w:rPr>
                <w:rStyle w:val="IndexLink"/>
              </w:rPr>
              <w:t>4.3 Informationssicherheitsbeauftragter (ISB)</w:t>
              <w:tab/>
              <w:t>26</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27</w:t>
            </w:r>
          </w:hyperlink>
        </w:p>
        <w:p>
          <w:pPr>
            <w:pStyle w:val="TOC2"/>
            <w:rPr/>
          </w:pPr>
          <w:hyperlink w:anchor="__RefHeading___administratoren_21">
            <w:r>
              <w:rPr>
                <w:rStyle w:val="IndexLink"/>
              </w:rPr>
              <w:t>4.6 Administratoren</w:t>
              <w:tab/>
              <w:t>28</w:t>
            </w:r>
          </w:hyperlink>
        </w:p>
        <w:p>
          <w:pPr>
            <w:pStyle w:val="TOC2"/>
            <w:rPr/>
          </w:pPr>
          <w:hyperlink w:anchor="__RefHeading___vorgesetzte_22">
            <w:r>
              <w:rPr>
                <w:rStyle w:val="IndexLink"/>
              </w:rPr>
              <w:t>4.7 Vorgesetzte</w:t>
              <w:tab/>
              <w:t>28</w:t>
            </w:r>
          </w:hyperlink>
        </w:p>
        <w:p>
          <w:pPr>
            <w:pStyle w:val="TOC2"/>
            <w:rPr/>
          </w:pPr>
          <w:hyperlink w:anchor="__RefHeading___mitarbeiter_23">
            <w:r>
              <w:rPr>
                <w:rStyle w:val="IndexLink"/>
              </w:rPr>
              <w:t>4.8 Mitarbeiter</w:t>
              <w:tab/>
              <w:t>28</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29</w:t>
            </w:r>
          </w:hyperlink>
        </w:p>
        <w:p>
          <w:pPr>
            <w:pStyle w:val="TOC1"/>
            <w:rPr/>
          </w:pPr>
          <w:hyperlink w:anchor="__RefHeading___leitlinie_zur_information">
            <w:r>
              <w:rPr>
                <w:rStyle w:val="IndexLink"/>
              </w:rPr>
              <w:t>5 Leitlinie zur Informationssicherheit (IS-Leitlinie)</w:t>
              <w:tab/>
              <w:t>29</w:t>
            </w:r>
          </w:hyperlink>
        </w:p>
        <w:p>
          <w:pPr>
            <w:pStyle w:val="TOC2"/>
            <w:rPr/>
          </w:pPr>
          <w:hyperlink w:anchor="__RefHeading___allgemeine_anforderungen_">
            <w:r>
              <w:rPr>
                <w:rStyle w:val="IndexLink"/>
              </w:rPr>
              <w:t>5.1 Allgemeine Anforderungen</w:t>
              <w:tab/>
              <w:t>29</w:t>
            </w:r>
          </w:hyperlink>
        </w:p>
        <w:p>
          <w:pPr>
            <w:pStyle w:val="TOC2"/>
            <w:rPr/>
          </w:pPr>
          <w:hyperlink w:anchor="__RefHeading___inhalte_28">
            <w:r>
              <w:rPr>
                <w:rStyle w:val="IndexLink"/>
              </w:rPr>
              <w:t>5.2 Inhalte</w:t>
              <w:tab/>
              <w:t>30</w:t>
            </w:r>
          </w:hyperlink>
        </w:p>
        <w:p>
          <w:pPr>
            <w:pStyle w:val="TOC1"/>
            <w:rPr/>
          </w:pPr>
          <w:hyperlink w:anchor="__RefHeading___richtlinien_zur_informati">
            <w:r>
              <w:rPr>
                <w:rStyle w:val="IndexLink"/>
              </w:rPr>
              <w:t>6 Richtlinien zur Informationssicherheit (IS-Richtlinien)</w:t>
              <w:tab/>
              <w:t>30</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31</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33</w:t>
            </w:r>
          </w:hyperlink>
        </w:p>
        <w:p>
          <w:pPr>
            <w:pStyle w:val="TOC1"/>
            <w:rPr/>
          </w:pPr>
          <w:hyperlink w:anchor="__RefHeading___mitarbeiter_39">
            <w:r>
              <w:rPr>
                <w:rStyle w:val="IndexLink"/>
              </w:rPr>
              <w:t>7 Mitarbeiter</w:t>
              <w:tab/>
              <w:t>34</w:t>
            </w:r>
          </w:hyperlink>
        </w:p>
        <w:p>
          <w:pPr>
            <w:pStyle w:val="TOC2"/>
            <w:rPr/>
          </w:pPr>
          <w:hyperlink w:anchor="__RefHeading___vor_aufnahme_der_taetigke">
            <w:r>
              <w:rPr>
                <w:rStyle w:val="IndexLink"/>
              </w:rPr>
              <w:t>7.1 Vor Aufnahme der Tätigkeit</w:t>
              <w:tab/>
              <w:t>34</w:t>
            </w:r>
          </w:hyperlink>
        </w:p>
        <w:p>
          <w:pPr>
            <w:pStyle w:val="TOC2"/>
            <w:rPr/>
          </w:pPr>
          <w:hyperlink w:anchor="__RefHeading___aufnahme_der_taetigkeit_4">
            <w:r>
              <w:rPr>
                <w:rStyle w:val="IndexLink"/>
              </w:rPr>
              <w:t>7.2 Aufnahme der Tätigkeit</w:t>
              <w:tab/>
              <w:t>34</w:t>
            </w:r>
          </w:hyperlink>
        </w:p>
        <w:p>
          <w:pPr>
            <w:pStyle w:val="TOC2"/>
            <w:rPr/>
          </w:pPr>
          <w:hyperlink w:anchor="__RefHeading___beendigung_oder_wechsel_d">
            <w:r>
              <w:rPr>
                <w:rStyle w:val="IndexLink"/>
              </w:rPr>
              <w:t>7.3 Beendigung oder Wechsel der Tätigkeit</w:t>
              <w:tab/>
              <w:t>35</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w:t>
              <w:tab/>
              <w:t>38</w:t>
            </w:r>
          </w:hyperlink>
        </w:p>
        <w:p>
          <w:pPr>
            <w:pStyle w:val="TOC2"/>
            <w:rPr/>
          </w:pPr>
          <w:hyperlink w:anchor="__RefHeading___prozesse_47">
            <w:r>
              <w:rPr>
                <w:rStyle w:val="IndexLink"/>
              </w:rPr>
              <w:t>9.1 Prozesse</w:t>
              <w:tab/>
              <w:t>39</w:t>
            </w:r>
          </w:hyperlink>
        </w:p>
        <w:p>
          <w:pPr>
            <w:pStyle w:val="TOC2"/>
            <w:rPr/>
          </w:pPr>
          <w:hyperlink w:anchor="__RefHeading___prozesse_47_Copy_1">
            <w:r>
              <w:rPr>
                <w:rStyle w:val="IndexLink"/>
              </w:rPr>
              <w:t>9.x Wichtige IT-Ressourcen</w:t>
              <w:tab/>
              <w:t>39</w:t>
            </w:r>
          </w:hyperlink>
        </w:p>
        <w:p>
          <w:pPr>
            <w:pStyle w:val="TOC2"/>
            <w:rPr/>
          </w:pPr>
          <w:hyperlink w:anchor="__RefHeading___informationen_48">
            <w:r>
              <w:rPr>
                <w:rStyle w:val="IndexLink"/>
              </w:rPr>
              <w:t>9.2 besonders schützenswerte Informationen</w:t>
              <w:tab/>
              <w:t>41</w:t>
            </w:r>
          </w:hyperlink>
        </w:p>
        <w:p>
          <w:pPr>
            <w:pStyle w:val="TOC2"/>
            <w:rPr/>
          </w:pPr>
          <w:hyperlink w:anchor="__RefHeading___it-ressourcen_49">
            <w:r>
              <w:rPr>
                <w:rStyle w:val="IndexLink"/>
              </w:rPr>
              <w:t>9.3 Besonders schützenswerte IT-Ressourcen</w:t>
              <w:tab/>
              <w:t>42</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10.5 Zusätzliche Maßnahmen für besonders schützen</w:t>
            </w:r>
            <w:r>
              <w:rPr>
                <w:rStyle w:val="IndexLink"/>
                <w:i/>
                <w:iCs/>
              </w:rPr>
              <w:t>swerte IT-Systeme</w:t>
            </w:r>
            <w:r>
              <w:rPr>
                <w:rStyle w:val="IndexLink"/>
              </w:rPr>
              <w:tab/>
              <w:t>54</w:t>
            </w:r>
          </w:hyperlink>
        </w:p>
        <w:p>
          <w:pPr>
            <w:pStyle w:val="TOC3"/>
            <w:rPr/>
          </w:pPr>
          <w:hyperlink w:anchor="__RefHeading___risikoanalyse_und_-behand">
            <w:r>
              <w:rPr>
                <w:rStyle w:val="IndexLink"/>
              </w:rPr>
              <w:t>10.5.1 Risikoanalyse und behandlung (entfällt, da besonders schützenswerte ITSysteme auch wichtige IT-Systeme sind)</w:t>
              <w:tab/>
              <w:t>54</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Kritische Individualsoftware</w:t>
              <w:tab/>
              <w:t>57</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2">
            <w:r>
              <w:rPr>
                <w:rStyle w:val="IndexLink"/>
              </w:rPr>
              <w:t>11.5 Zusätzliche Maßnahmen für wichtige und besonders schützenswerte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und besonders schützenswerte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 und besonders schützenswerte IT-Systeme</w:t>
              <w:tab/>
              <w:t>65</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67</w:t>
            </w:r>
          </w:hyperlink>
        </w:p>
        <w:p>
          <w:pPr>
            <w:pStyle w:val="TOC2"/>
            <w:rPr/>
          </w:pPr>
          <w:hyperlink w:anchor="__RefHeading___zusaetzliche_massnahmen_5">
            <w:r>
              <w:rPr>
                <w:rStyle w:val="IndexLink"/>
              </w:rPr>
              <w:t>14.4 Zusätzliche Maßnahmen für kritische IT-Ressourcen</w:t>
              <w:tab/>
              <w:t>67</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71</w:t>
            </w:r>
          </w:hyperlink>
        </w:p>
        <w:p>
          <w:pPr>
            <w:pStyle w:val="TOC2"/>
            <w:rPr/>
          </w:pPr>
          <w:hyperlink w:anchor="__RefHeading___verfahren_108">
            <w:r>
              <w:rPr>
                <w:rStyle w:val="IndexLink"/>
              </w:rPr>
              <w:t>16.3 Verfahren</w:t>
              <w:tab/>
              <w:t>71</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73</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74</w:t>
            </w:r>
          </w:hyperlink>
        </w:p>
        <w:p>
          <w:pPr>
            <w:pStyle w:val="TOC3"/>
            <w:rPr/>
          </w:pPr>
          <w:hyperlink w:anchor="__RefHeading___aktive_netzwerkkomponent1">
            <w:r>
              <w:rPr>
                <w:rStyle w:val="IndexLink"/>
              </w:rPr>
              <w:t>16.5.3 Aktive Netzwerkkomponenten</w:t>
              <w:tab/>
              <w:t>74</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75</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76</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77</w:t>
            </w:r>
          </w:hyperlink>
        </w:p>
        <w:p>
          <w:pPr>
            <w:pStyle w:val="TOC2"/>
            <w:rPr/>
          </w:pPr>
          <w:hyperlink w:anchor="__RefHeading___zusaetzliche_massnahmen_8">
            <w:r>
              <w:rPr>
                <w:rStyle w:val="IndexLink"/>
              </w:rPr>
              <w:t>17.4 Zusätzliche Maßnahmen für kritische IT-Systeme</w:t>
              <w:tab/>
              <w:t>79</w:t>
            </w:r>
          </w:hyperlink>
        </w:p>
        <w:p>
          <w:pPr>
            <w:pStyle w:val="TOC3"/>
            <w:rPr/>
          </w:pPr>
          <w:hyperlink w:anchor="__RefHeading___wiederanlaufplaene_125">
            <w:r>
              <w:rPr>
                <w:rStyle w:val="IndexLink"/>
              </w:rPr>
              <w:t>17.4.1 Wiederanlaufpläne</w:t>
              <w:tab/>
              <w:t>79</w:t>
            </w:r>
          </w:hyperlink>
        </w:p>
        <w:p>
          <w:pPr>
            <w:pStyle w:val="TOC3"/>
            <w:rPr/>
          </w:pPr>
          <w:hyperlink w:anchor="__RefHeading___abhaengigkeiten_126">
            <w:r>
              <w:rPr>
                <w:rStyle w:val="IndexLink"/>
              </w:rPr>
              <w:t>17.4.2 Abhängigkeiten</w:t>
              <w:tab/>
              <w:t>80</w:t>
            </w:r>
          </w:hyperlink>
        </w:p>
        <w:p>
          <w:pPr>
            <w:pStyle w:val="TOC1"/>
            <w:rPr/>
          </w:pPr>
          <w:hyperlink w:anchor="__RefHeading___anhang_a_131">
            <w:r>
              <w:rPr>
                <w:rStyle w:val="IndexLink"/>
              </w:rPr>
              <w:t>Anhang A</w:t>
              <w:tab/>
              <w:t>81</w:t>
            </w:r>
          </w:hyperlink>
        </w:p>
        <w:p>
          <w:pPr>
            <w:pStyle w:val="TOC2"/>
            <w:rPr/>
          </w:pPr>
          <w:hyperlink w:anchor="__RefHeading___a_1_verfahren_132">
            <w:r>
              <w:rPr>
                <w:rStyle w:val="IndexLink"/>
              </w:rPr>
              <w:t>A 1 Verfahren</w:t>
              <w:tab/>
              <w:t>81</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82</w:t>
            </w:r>
          </w:hyperlink>
        </w:p>
        <w:p>
          <w:pPr>
            <w:pStyle w:val="TOC3"/>
            <w:rPr/>
          </w:pPr>
          <w:hyperlink w:anchor="__RefHeading___a_2.1_risikoanalyse_134">
            <w:r>
              <w:rPr>
                <w:rStyle w:val="IndexLink"/>
              </w:rPr>
              <w:t>A 2.2 Risikoanalyse</w:t>
              <w:tab/>
              <w:t>83</w:t>
            </w:r>
          </w:hyperlink>
        </w:p>
        <w:p>
          <w:pPr>
            <w:pStyle w:val="TOC3"/>
            <w:rPr/>
          </w:pPr>
          <w:hyperlink w:anchor="__RefHeading___a_2.2_risikobehandlung_13">
            <w:r>
              <w:rPr>
                <w:rStyle w:val="IndexLink"/>
              </w:rPr>
              <w:t>A 2.3 Risikobehandlung</w:t>
              <w:tab/>
              <w:t>84</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85</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w:t>
            </w:r>
            <w:r>
              <w:rPr/>
              <w:t xml:space="preserve">Abschnitt </w:t>
            </w:r>
            <w:bookmarkStart w:id="21" w:name="anwendungshinweise_Copy_1"/>
            <w:r>
              <w:rPr/>
              <w:t xml:space="preserve">1.1 </w:t>
            </w:r>
            <w:r>
              <w:rPr/>
              <w:t>(</w:t>
            </w:r>
            <w:r>
              <w:rPr/>
              <w:t>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9.x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 xml:space="preserve">9.2 </w:t>
      </w:r>
      <w:r>
        <w:rPr>
          <w:rFonts w:eastAsia="Bitstream Vera Sans" w:cs="Bitstream Vera Sans"/>
          <w:b w:val="false"/>
          <w:bCs/>
          <w:color w:val="auto"/>
          <w:kern w:val="0"/>
          <w:sz w:val="28"/>
          <w:szCs w:val="36"/>
          <w:lang w:val="de-DE" w:eastAsia="en-US" w:bidi="en-US"/>
        </w:rPr>
        <w:t>besonders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„Unmittelbare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Quantitative Merkmale definieren, ab welcher Menge die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rFonts w:eastAsia="Bitstream Vera Sans" w:cs="Bitstream Vera Sans"/>
                <w:color w:val="auto"/>
                <w:kern w:val="0"/>
                <w:sz w:val="20"/>
                <w:szCs w:val="24"/>
                <w:lang w:val="de-DE" w:eastAsia="en-US" w:bidi="en-US"/>
              </w:rPr>
              <w:t>besonders schützenswerte</w:t>
            </w:r>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w:t>
            </w:r>
            <w:r>
              <w:rPr>
                <w:rFonts w:eastAsia="Bitstream Vera Sans" w:cs="Bitstream Vera Sans"/>
                <w:color w:val="auto"/>
                <w:kern w:val="0"/>
                <w:sz w:val="20"/>
                <w:szCs w:val="24"/>
                <w:lang w:val="de-DE" w:eastAsia="en-US" w:bidi="en-US"/>
              </w:rPr>
              <w: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Muss in Abschnitt 10.5 umziehen.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Besonders schützenswerte IT-Ressourcen sind wichtige IT-Ressourcen und MÜSSEN entsprechend behandelt werden.</w:t>
            </w:r>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nstufung des Systems.</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Es wird ermittelt, ob das IT-System </w:t>
            </w:r>
            <w:r>
              <w:rPr/>
              <w:t xml:space="preserve">wichtig oder besonders schützenswert </w:t>
            </w:r>
            <w:r>
              <w:rPr/>
              <w:t>ist (siehe Abschnitt 9.3).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t xml:space="preserve">10.5.1 Risikoanalyse und </w:t>
      </w:r>
      <w:r>
        <w:rPr>
          <w:strike/>
        </w:rPr>
        <w:t>behandlung</w:t>
      </w:r>
      <w:bookmarkEnd w:id="135"/>
      <w:r>
        <w:rPr>
          <w:strike/>
        </w:rPr>
        <w:t xml:space="preserve"> (entfällt, da besonders schützenswerte IT</w:t>
      </w:r>
      <w:r>
        <w:rPr>
          <w:strike w:val="false"/>
          <w:dstrike w:val="false"/>
        </w:rPr>
        <w:t>Systeme auch wichtige IT-Systeme sind)</w:t>
      </w:r>
    </w:p>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10.5.10 Kritische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pPr>
      <w:r>
        <w:rPr/>
        <w:t>ToDO:</w:t>
      </w:r>
    </w:p>
    <w:p>
      <w:pPr>
        <w:pStyle w:val="BodyText"/>
        <w:tabs>
          <w:tab w:val="clear" w:pos="709"/>
          <w:tab w:val="left" w:pos="0" w:leader="none"/>
        </w:tabs>
        <w:bidi w:val="0"/>
        <w:ind w:hanging="0" w:start="0"/>
        <w:jc w:val="start"/>
        <w:rPr/>
      </w:pPr>
      <w:r>
        <w:rPr/>
        <w:t>Es müssen Kriterien für die Segmentierung aufgestellt werden.</w:t>
      </w:r>
    </w:p>
    <w:p>
      <w:pPr>
        <w:pStyle w:val="BodyText"/>
        <w:tabs>
          <w:tab w:val="clear" w:pos="709"/>
          <w:tab w:val="left" w:pos="0" w:leader="none"/>
        </w:tabs>
        <w:bidi w:val="0"/>
        <w:ind w:hanging="0" w:start="0"/>
        <w:jc w:val="start"/>
        <w:rPr/>
      </w:pPr>
      <w:r>
        <w:rPr/>
        <w:t>Die Netzwerke MÜSSEN anhand dieser Kriterien in möglichst umfassend voneinander abgeschottete Netzwerkbereiche unterteilt werden (Segmente), dabei MÜSSEN die besonders schützenswerten von den wichtigen IT-Systemen und den restlichen IT-Systemen separiert werden.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2"/>
      <w:bookmarkStart w:id="173" w:name="zusaetzliche_massnahmen_fuer_kritische_v"/>
      <w:bookmarkEnd w:id="172"/>
      <w:r>
        <w:rPr/>
        <w:t>11.5 Zusätzliche Maßnahmen für wichtige und besonders schützenswerte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und besonders schützenswerten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12.3 Zusätzliche Maßnahmen für wichtige und besonders schützenswerte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 &amp;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1"/>
      <w:bookmarkEnd w:id="188"/>
      <w:r>
        <w:rPr/>
        <w:t>13.3 Zusätzliche Maßnahmen für wichtige und besonders schützenswerte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2"/>
      <w:bookmarkEnd w:id="198"/>
      <w:r>
        <w:rPr/>
        <w:t>14.4 Zusätzliche Maßnahmen für kritische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besonders schützenswerte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wichtige und besonders schützenswerte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pPr>
      <w:r>
        <w:rPr/>
      </w:r>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Kapitel 18 der VdS 10000 entfällt in Zukunft.</w:t>
            </w:r>
          </w:p>
        </w:tc>
      </w:tr>
    </w:tbl>
    <w:p>
      <w:pPr>
        <w:pStyle w:val="Heading1"/>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die in diesen Richtlinien geforderten Risikoanalysen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Achtung! Risikomanagement! Muss umformuliert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7802</TotalTime>
  <Application>LibreOffice/24.2.3.2$Linux_X86_64 LibreOffice_project/433d9c2ded56988e8a90e6b2e771ee4e6a5ab2ba</Application>
  <AppVersion>15.0000</AppVersion>
  <Pages>84</Pages>
  <Words>17728</Words>
  <Characters>119047</Characters>
  <CharactersWithSpaces>134230</CharactersWithSpaces>
  <Paragraphs>2574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2024-06-24T17:47:28Z</cp:lastPrinted>
  <dcterms:modified xsi:type="dcterms:W3CDTF">2024-06-27T11:38:14Z</dcterms:modified>
  <cp:revision>120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